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EA785B" w:rsidP="00EA785B">
            <w:pPr>
              <w:pStyle w:val="T2"/>
            </w:pPr>
            <w:r>
              <w:t xml:space="preserve">Editor questions </w:t>
            </w:r>
            <w:r w:rsidR="00AF2617">
              <w:t>#1</w:t>
            </w:r>
          </w:p>
        </w:tc>
      </w:tr>
      <w:tr w:rsidR="00CA09B2">
        <w:trPr>
          <w:trHeight w:val="359"/>
          <w:jc w:val="center"/>
        </w:trPr>
        <w:tc>
          <w:tcPr>
            <w:tcW w:w="9576" w:type="dxa"/>
            <w:gridSpan w:val="5"/>
            <w:vAlign w:val="center"/>
          </w:tcPr>
          <w:p w:rsidR="00CA09B2" w:rsidRDefault="00CA09B2" w:rsidP="00EA785B">
            <w:pPr>
              <w:pStyle w:val="T2"/>
              <w:ind w:left="0"/>
              <w:rPr>
                <w:sz w:val="20"/>
              </w:rPr>
            </w:pPr>
            <w:r>
              <w:rPr>
                <w:sz w:val="20"/>
              </w:rPr>
              <w:t>Date:</w:t>
            </w:r>
            <w:r>
              <w:rPr>
                <w:b w:val="0"/>
                <w:sz w:val="20"/>
              </w:rPr>
              <w:t xml:space="preserve">  </w:t>
            </w:r>
            <w:r w:rsidR="00EA785B">
              <w:rPr>
                <w:b w:val="0"/>
                <w:sz w:val="20"/>
              </w:rPr>
              <w:t>2013</w:t>
            </w:r>
            <w:r>
              <w:rPr>
                <w:b w:val="0"/>
                <w:sz w:val="20"/>
              </w:rPr>
              <w:t>-</w:t>
            </w:r>
            <w:r w:rsidR="00EA785B">
              <w:rPr>
                <w:b w:val="0"/>
                <w:sz w:val="20"/>
              </w:rPr>
              <w:t>09</w:t>
            </w:r>
            <w:r>
              <w:rPr>
                <w:b w:val="0"/>
                <w:sz w:val="20"/>
              </w:rPr>
              <w:t>-</w:t>
            </w:r>
            <w:r w:rsidR="00EA785B">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A785B">
            <w:pPr>
              <w:pStyle w:val="T2"/>
              <w:spacing w:after="0"/>
              <w:ind w:left="0" w:right="0"/>
              <w:rPr>
                <w:b w:val="0"/>
                <w:sz w:val="20"/>
              </w:rPr>
            </w:pPr>
            <w:r>
              <w:rPr>
                <w:b w:val="0"/>
                <w:sz w:val="20"/>
              </w:rPr>
              <w:t>Lee Armstrong</w:t>
            </w:r>
          </w:p>
        </w:tc>
        <w:tc>
          <w:tcPr>
            <w:tcW w:w="2064" w:type="dxa"/>
            <w:vAlign w:val="center"/>
          </w:tcPr>
          <w:p w:rsidR="00CA09B2" w:rsidRDefault="00EA785B">
            <w:pPr>
              <w:pStyle w:val="T2"/>
              <w:spacing w:after="0"/>
              <w:ind w:left="0" w:right="0"/>
              <w:rPr>
                <w:b w:val="0"/>
                <w:sz w:val="20"/>
              </w:rPr>
            </w:pPr>
            <w:r>
              <w:rPr>
                <w:b w:val="0"/>
                <w:sz w:val="20"/>
              </w:rPr>
              <w:t>US DoT</w:t>
            </w:r>
          </w:p>
        </w:tc>
        <w:tc>
          <w:tcPr>
            <w:tcW w:w="2814" w:type="dxa"/>
            <w:vAlign w:val="center"/>
          </w:tcPr>
          <w:p w:rsidR="00CA09B2" w:rsidRDefault="00EA785B">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EA785B">
            <w:pPr>
              <w:pStyle w:val="T2"/>
              <w:spacing w:after="0"/>
              <w:ind w:left="0" w:right="0"/>
              <w:rPr>
                <w:b w:val="0"/>
                <w:sz w:val="20"/>
              </w:rPr>
            </w:pPr>
            <w:r>
              <w:rPr>
                <w:b w:val="0"/>
                <w:sz w:val="20"/>
              </w:rPr>
              <w:t>+1 617 1701</w:t>
            </w:r>
          </w:p>
        </w:tc>
        <w:tc>
          <w:tcPr>
            <w:tcW w:w="1647" w:type="dxa"/>
            <w:vAlign w:val="center"/>
          </w:tcPr>
          <w:p w:rsidR="00CA09B2" w:rsidRDefault="00EA785B">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A5184">
      <w:pPr>
        <w:pStyle w:val="T1"/>
        <w:spacing w:after="120"/>
        <w:rPr>
          <w:sz w:val="22"/>
        </w:rPr>
      </w:pPr>
      <w:r w:rsidRPr="005A518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EA785B">
                  <w:pPr>
                    <w:jc w:val="both"/>
                  </w:pPr>
                  <w:r>
                    <w:t>In resolving Ballot 198 comments identified with Editor responsibility, there were some resolutions that the editor felt needed TG approval, either to determine that they are indeed editorial and not technical or to select one from multiple optional resolutions.</w:t>
                  </w:r>
                  <w:r w:rsidR="00F91DCD">
                    <w:t xml:space="preserve"> Some have proposals that are not sufficiently defined to enable them to be implemented.</w:t>
                  </w:r>
                </w:p>
              </w:txbxContent>
            </v:textbox>
          </v:shape>
        </w:pict>
      </w:r>
    </w:p>
    <w:p w:rsidR="00EA785B" w:rsidRDefault="00CA09B2" w:rsidP="00EA78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2B0387" w:rsidTr="00897AAC">
        <w:tc>
          <w:tcPr>
            <w:tcW w:w="738" w:type="dxa"/>
            <w:tcBorders>
              <w:top w:val="single" w:sz="8" w:space="0" w:color="auto"/>
              <w:left w:val="single" w:sz="8" w:space="0" w:color="auto"/>
              <w:bottom w:val="single" w:sz="8" w:space="0" w:color="auto"/>
              <w:right w:val="single" w:sz="8" w:space="0" w:color="auto"/>
            </w:tcBorders>
          </w:tcPr>
          <w:p w:rsidR="00897AAC" w:rsidRPr="00897AAC" w:rsidRDefault="00897AAC" w:rsidP="00897AAC">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897AAC" w:rsidRPr="00897AAC" w:rsidRDefault="00897AAC" w:rsidP="00897AAC">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897AAC" w:rsidRPr="00897AAC" w:rsidRDefault="00897AAC" w:rsidP="00897AAC">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897AAC" w:rsidRPr="00897AAC" w:rsidRDefault="00897AAC" w:rsidP="00897AAC">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897AAC" w:rsidRPr="00897AAC" w:rsidRDefault="00897AAC" w:rsidP="00897AAC">
            <w:pPr>
              <w:jc w:val="center"/>
              <w:rPr>
                <w:b/>
              </w:rPr>
            </w:pPr>
            <w:r w:rsidRPr="00897AAC">
              <w:rPr>
                <w:b/>
              </w:rPr>
              <w:t>Issue</w:t>
            </w:r>
          </w:p>
        </w:tc>
      </w:tr>
      <w:tr w:rsidR="002B0387" w:rsidTr="00897AAC">
        <w:tc>
          <w:tcPr>
            <w:tcW w:w="738" w:type="dxa"/>
            <w:tcBorders>
              <w:top w:val="single" w:sz="8" w:space="0" w:color="auto"/>
            </w:tcBorders>
          </w:tcPr>
          <w:p w:rsidR="00897AAC" w:rsidRDefault="00897AAC" w:rsidP="00EA785B">
            <w:r>
              <w:t>2498</w:t>
            </w:r>
          </w:p>
        </w:tc>
        <w:tc>
          <w:tcPr>
            <w:tcW w:w="1170" w:type="dxa"/>
            <w:tcBorders>
              <w:top w:val="single" w:sz="8" w:space="0" w:color="auto"/>
            </w:tcBorders>
          </w:tcPr>
          <w:p w:rsidR="00897AAC" w:rsidRDefault="00897AAC" w:rsidP="00EA785B">
            <w:r>
              <w:t>3/2/3</w:t>
            </w:r>
          </w:p>
        </w:tc>
        <w:tc>
          <w:tcPr>
            <w:tcW w:w="1800" w:type="dxa"/>
            <w:tcBorders>
              <w:top w:val="single" w:sz="8" w:space="0" w:color="auto"/>
            </w:tcBorders>
          </w:tcPr>
          <w:p w:rsidR="00897AAC" w:rsidRDefault="00897AAC" w:rsidP="00EA785B">
            <w:r w:rsidRPr="00EA785B">
              <w:t>FILSC defined twice</w:t>
            </w:r>
          </w:p>
        </w:tc>
        <w:tc>
          <w:tcPr>
            <w:tcW w:w="2430" w:type="dxa"/>
            <w:tcBorders>
              <w:top w:val="single" w:sz="8" w:space="0" w:color="auto"/>
            </w:tcBorders>
          </w:tcPr>
          <w:p w:rsidR="00897AAC" w:rsidRDefault="00897AAC" w:rsidP="00EA785B">
            <w:r w:rsidRPr="00EA785B">
              <w:t>Line 28,51: we only need one of them.</w:t>
            </w:r>
          </w:p>
        </w:tc>
        <w:tc>
          <w:tcPr>
            <w:tcW w:w="3240" w:type="dxa"/>
            <w:tcBorders>
              <w:top w:val="single" w:sz="8" w:space="0" w:color="auto"/>
            </w:tcBorders>
          </w:tcPr>
          <w:p w:rsidR="00897AAC" w:rsidRDefault="00897AAC" w:rsidP="00EA785B">
            <w:r>
              <w:t>Need to decide which should be deleted and wording of the one retained.</w:t>
            </w:r>
          </w:p>
        </w:tc>
      </w:tr>
    </w:tbl>
    <w:p w:rsidR="00F91DCD" w:rsidRPr="00783024" w:rsidRDefault="00F91DCD" w:rsidP="00F91DC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2"/>
          <w:szCs w:val="22"/>
        </w:rPr>
      </w:pPr>
      <w:r w:rsidRPr="00783024">
        <w:rPr>
          <w:b w:val="0"/>
          <w:sz w:val="22"/>
          <w:szCs w:val="22"/>
        </w:rPr>
        <w:t>Essentially repeated by</w:t>
      </w:r>
      <w:r w:rsidRPr="00783024">
        <w:rPr>
          <w:sz w:val="22"/>
          <w:szCs w:val="22"/>
        </w:rPr>
        <w:t xml:space="preserve"> </w:t>
      </w:r>
      <w:r w:rsidRPr="00783024">
        <w:rPr>
          <w:b w:val="0"/>
          <w:bCs w:val="0"/>
          <w:w w:val="100"/>
          <w:sz w:val="22"/>
          <w:szCs w:val="22"/>
        </w:rPr>
        <w:t>CIDs 2060, 2498, 2631, 2794, 2633, 2717, 2391, 2795, 2761, 2584. Also includes/impacts FILS definition.</w:t>
      </w:r>
    </w:p>
    <w:p w:rsidR="00897AAC" w:rsidRDefault="00897AAC">
      <w:r>
        <w:t>Current D1.1 contents:</w:t>
      </w:r>
    </w:p>
    <w:p w:rsidR="00CA09B2" w:rsidRDefault="005A5184">
      <w:r w:rsidRPr="005A5184">
        <w:rPr>
          <w:noProof/>
          <w:lang w:eastAsia="zh-TW"/>
        </w:rPr>
        <w:pict>
          <v:shape id="_x0000_s1030" type="#_x0000_t202" style="position:absolute;margin-left:-2.5pt;margin-top:7.8pt;width:411.6pt;height:140.05pt;z-index:2;mso-width-relative:margin;mso-height-relative:margin">
            <v:textbox>
              <w:txbxContent>
                <w:p w:rsidR="00897AAC" w:rsidRDefault="00897AAC" w:rsidP="00897AAC">
                  <w:pPr>
                    <w:autoSpaceDE w:val="0"/>
                    <w:autoSpaceDN w:val="0"/>
                    <w:adjustRightInd w:val="0"/>
                    <w:rPr>
                      <w:rFonts w:ascii="Arial,Bold" w:hAnsi="Arial,Bold" w:cs="Arial,Bold"/>
                      <w:b/>
                      <w:bCs/>
                      <w:szCs w:val="22"/>
                      <w:lang w:val="en-US"/>
                    </w:rPr>
                  </w:pPr>
                  <w:r>
                    <w:rPr>
                      <w:rFonts w:ascii="Arial,Bold" w:hAnsi="Arial,Bold" w:cs="Arial,Bold"/>
                      <w:b/>
                      <w:bCs/>
                      <w:szCs w:val="22"/>
                      <w:lang w:val="en-US"/>
                    </w:rPr>
                    <w:t>3.1 Definitions</w:t>
                  </w:r>
                </w:p>
                <w:p w:rsidR="00897AAC" w:rsidRDefault="00897AAC" w:rsidP="00897AAC">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 .</w:t>
                  </w:r>
                </w:p>
                <w:p w:rsidR="00897AAC" w:rsidRDefault="00897AAC" w:rsidP="00897AAC">
                  <w:pPr>
                    <w:autoSpaceDE w:val="0"/>
                    <w:autoSpaceDN w:val="0"/>
                    <w:adjustRightInd w:val="0"/>
                    <w:rPr>
                      <w:rFonts w:ascii="TimesNewRoman" w:hAnsi="TimesNewRoman" w:cs="TimesNewRoman"/>
                      <w:color w:val="FF0000"/>
                      <w:sz w:val="20"/>
                      <w:lang w:val="en-US"/>
                    </w:rPr>
                  </w:pPr>
                  <w:r>
                    <w:rPr>
                      <w:rFonts w:ascii="TimesNewRoman,Bold" w:hAnsi="TimesNewRoman,Bold" w:cs="TimesNewRoman,Bold"/>
                      <w:b/>
                      <w:bCs/>
                      <w:color w:val="000000"/>
                      <w:sz w:val="20"/>
                      <w:lang w:val="en-US"/>
                    </w:rPr>
                    <w:t>fast initial link setup category (FILSC)</w:t>
                  </w:r>
                  <w:r>
                    <w:rPr>
                      <w:rFonts w:ascii="TimesNewRoman" w:hAnsi="TimesNewRoman" w:cs="TimesNewRoman"/>
                      <w:color w:val="000000"/>
                      <w:sz w:val="20"/>
                      <w:lang w:val="en-US"/>
                    </w:rPr>
                    <w:t xml:space="preserve">: A label used by </w:t>
                  </w:r>
                  <w:r>
                    <w:rPr>
                      <w:rFonts w:ascii="TimesNewRoman" w:hAnsi="TimesNewRoman" w:cs="TimesNewRoman"/>
                      <w:color w:val="218B21"/>
                      <w:sz w:val="20"/>
                      <w:lang w:val="en-US"/>
                    </w:rPr>
                    <w:t xml:space="preserve">an </w:t>
                  </w:r>
                  <w:r>
                    <w:rPr>
                      <w:rFonts w:ascii="TimesNewRoman" w:hAnsi="TimesNewRoman" w:cs="TimesNewRoman"/>
                      <w:color w:val="000000"/>
                      <w:sz w:val="20"/>
                      <w:lang w:val="en-US"/>
                    </w:rPr>
                    <w:t xml:space="preserve">associating station (STA) to associate with an access point (AP) with high priority. </w:t>
                  </w:r>
                  <w:r>
                    <w:rPr>
                      <w:rFonts w:ascii="TimesNewRoman" w:hAnsi="TimesNewRoman" w:cs="TimesNewRoman"/>
                      <w:color w:val="FF0000"/>
                      <w:sz w:val="20"/>
                      <w:lang w:val="en-US"/>
                    </w:rPr>
                    <w:t>[CID 2223, 2059, 2225, 2227, 3248, 3092]</w:t>
                  </w:r>
                </w:p>
                <w:p w:rsidR="00897AAC" w:rsidRDefault="00897AAC" w:rsidP="00897AAC">
                  <w:pPr>
                    <w:rPr>
                      <w:rFonts w:ascii="TimesNewRoman" w:hAnsi="TimesNewRoman" w:cs="TimesNewRoman"/>
                      <w:color w:val="FF0000"/>
                      <w:sz w:val="20"/>
                      <w:lang w:val="en-US"/>
                    </w:rPr>
                  </w:pPr>
                </w:p>
                <w:p w:rsidR="00897AAC" w:rsidRDefault="00897AAC" w:rsidP="00897AAC">
                  <w:pPr>
                    <w:rPr>
                      <w:rFonts w:ascii="Arial,Bold" w:hAnsi="Arial,Bold" w:cs="Arial,Bold"/>
                      <w:b/>
                      <w:bCs/>
                      <w:szCs w:val="22"/>
                      <w:lang w:val="en-US"/>
                    </w:rPr>
                  </w:pPr>
                  <w:r>
                    <w:rPr>
                      <w:rFonts w:ascii="Arial,Bold" w:hAnsi="Arial,Bold" w:cs="Arial,Bold"/>
                      <w:b/>
                      <w:bCs/>
                      <w:szCs w:val="22"/>
                      <w:lang w:val="en-US"/>
                    </w:rPr>
                    <w:t>3.2 Definitions specific to IEEE Std 802.11</w:t>
                  </w:r>
                </w:p>
                <w:p w:rsidR="00897AAC" w:rsidRDefault="00897AAC" w:rsidP="00897AAC">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 .</w:t>
                  </w:r>
                </w:p>
                <w:p w:rsidR="00897AAC" w:rsidRDefault="00897AAC" w:rsidP="00897AAC">
                  <w:pPr>
                    <w:autoSpaceDE w:val="0"/>
                    <w:autoSpaceDN w:val="0"/>
                    <w:adjustRightInd w:val="0"/>
                  </w:pPr>
                  <w:r>
                    <w:rPr>
                      <w:rFonts w:ascii="TimesNewRoman,Bold" w:hAnsi="TimesNewRoman,Bold" w:cs="TimesNewRoman,Bold"/>
                      <w:b/>
                      <w:bCs/>
                      <w:sz w:val="20"/>
                      <w:lang w:val="en-US"/>
                    </w:rPr>
                    <w:t>fast initial link setup category (FILSC)</w:t>
                  </w:r>
                  <w:r>
                    <w:rPr>
                      <w:rFonts w:ascii="TimesNewRoman" w:hAnsi="TimesNewRoman" w:cs="TimesNewRoman"/>
                      <w:sz w:val="20"/>
                      <w:lang w:val="en-US"/>
                    </w:rPr>
                    <w:t xml:space="preserve">: A binary value label to indicate the category of the </w:t>
                  </w:r>
                  <w:r w:rsidR="00F91DCD" w:rsidRPr="00F91DCD">
                    <w:rPr>
                      <w:rFonts w:ascii="TimesNewRoman" w:hAnsi="TimesNewRoman" w:cs="TimesNewRoman"/>
                      <w:sz w:val="20"/>
                      <w:u w:val="single"/>
                      <w:lang w:val="en-US"/>
                    </w:rPr>
                    <w:t>station</w:t>
                  </w:r>
                  <w:r w:rsidR="00F91DCD">
                    <w:rPr>
                      <w:rFonts w:ascii="TimesNewRoman" w:hAnsi="TimesNewRoman" w:cs="TimesNewRoman"/>
                      <w:sz w:val="20"/>
                      <w:lang w:val="en-US"/>
                    </w:rPr>
                    <w:t xml:space="preserve"> </w:t>
                  </w:r>
                  <w:r w:rsidR="00F91DCD" w:rsidRPr="00F91DCD">
                    <w:rPr>
                      <w:rFonts w:ascii="TimesNewRoman" w:hAnsi="TimesNewRoman" w:cs="TimesNewRoman"/>
                      <w:sz w:val="20"/>
                      <w:u w:val="single"/>
                      <w:lang w:val="en-US"/>
                    </w:rPr>
                    <w:t>(</w:t>
                  </w:r>
                  <w:r>
                    <w:rPr>
                      <w:rFonts w:ascii="TimesNewRoman" w:hAnsi="TimesNewRoman" w:cs="TimesNewRoman"/>
                      <w:sz w:val="20"/>
                      <w:lang w:val="en-US"/>
                    </w:rPr>
                    <w:t>STA</w:t>
                  </w:r>
                  <w:r w:rsidR="00F91DCD" w:rsidRPr="00F91DCD">
                    <w:rPr>
                      <w:rFonts w:ascii="TimesNewRoman" w:hAnsi="TimesNewRoman" w:cs="TimesNewRoman"/>
                      <w:sz w:val="20"/>
                      <w:u w:val="single"/>
                      <w:lang w:val="en-US"/>
                    </w:rPr>
                    <w:t>)</w:t>
                  </w:r>
                  <w:r>
                    <w:rPr>
                      <w:rFonts w:ascii="TimesNewRoman" w:hAnsi="TimesNewRoman" w:cs="TimesNewRoman"/>
                      <w:sz w:val="20"/>
                      <w:lang w:val="en-US"/>
                    </w:rPr>
                    <w:t xml:space="preserve"> for fast initial link setup.</w:t>
                  </w:r>
                </w:p>
                <w:p w:rsidR="00897AAC" w:rsidRDefault="00897AAC" w:rsidP="00897AAC"/>
              </w:txbxContent>
            </v:textbox>
          </v:shape>
        </w:pict>
      </w:r>
    </w:p>
    <w:p w:rsidR="00897AAC" w:rsidRDefault="00897AAC"/>
    <w:p w:rsidR="00897AAC" w:rsidRDefault="00897AAC"/>
    <w:p w:rsidR="00CA09B2" w:rsidRDefault="00CA09B2"/>
    <w:p w:rsidR="00CA09B2" w:rsidRDefault="00CA09B2"/>
    <w:p w:rsidR="00CA09B2" w:rsidRDefault="00CA09B2"/>
    <w:p w:rsidR="00CA09B2" w:rsidRDefault="00CA09B2"/>
    <w:p w:rsidR="00CA09B2" w:rsidRDefault="00CA09B2"/>
    <w:p w:rsidR="00897AAC" w:rsidRDefault="00897AAC"/>
    <w:p w:rsidR="00897AAC" w:rsidRDefault="00897AAC"/>
    <w:p w:rsidR="00897AAC" w:rsidRDefault="00897AAC"/>
    <w:p w:rsidR="00897AAC" w:rsidRDefault="00897AAC"/>
    <w:p w:rsidR="00897AAC" w:rsidRDefault="00897AAC">
      <w:r>
        <w:t>Argument for keeping in 3.2 only is that definitions in 3.1 become applicable to all IEEE standards/documents, not just 802.11. FILSC seems to be applicable only to 802.11 and nowhere else.</w:t>
      </w:r>
    </w:p>
    <w:p w:rsidR="00897AAC" w:rsidRDefault="00897AAC"/>
    <w:p w:rsidR="00897AAC" w:rsidRDefault="00897AAC">
      <w:r>
        <w:t xml:space="preserve">RECOMMENDATION: </w:t>
      </w:r>
      <w:r w:rsidR="00783024">
        <w:t>D</w:t>
      </w:r>
      <w:r>
        <w:t xml:space="preserve">elete the 3.1 </w:t>
      </w:r>
      <w:r w:rsidR="00783024">
        <w:t>definition of FILSC</w:t>
      </w:r>
      <w:r>
        <w:t>, keeping the 3.2 text but with the word "station" added before "STA".</w:t>
      </w:r>
      <w:r w:rsidR="00783024">
        <w:t xml:space="preserve"> Move the 3.1 definition of FILS to 3.2, keeping the wording changes for it. </w:t>
      </w:r>
    </w:p>
    <w:p w:rsidR="00F91DCD" w:rsidRDefault="00F91DCD"/>
    <w:p w:rsidR="00F91DCD" w:rsidRPr="00AA2D2B" w:rsidRDefault="00F91DCD">
      <w:pPr>
        <w:rPr>
          <w:b/>
          <w:sz w:val="28"/>
          <w:szCs w:val="28"/>
        </w:rPr>
      </w:pPr>
      <w:r w:rsidRPr="00AA2D2B">
        <w:rPr>
          <w:b/>
          <w:sz w:val="28"/>
          <w:szCs w:val="28"/>
        </w:rPr>
        <w:t>Motion (can be agreement by unanimous consent): Agree to delete FILSC definition in clause 3.1 with minor change shown above</w:t>
      </w:r>
      <w:r w:rsidR="00783024" w:rsidRPr="00AA2D2B">
        <w:rPr>
          <w:b/>
          <w:sz w:val="28"/>
          <w:szCs w:val="28"/>
        </w:rPr>
        <w:t xml:space="preserve"> and move the FILS definition from 3.1 to 3.2</w:t>
      </w:r>
      <w:r w:rsidRPr="00AA2D2B">
        <w:rPr>
          <w:b/>
          <w:sz w:val="28"/>
          <w:szCs w:val="28"/>
        </w:rPr>
        <w:t xml:space="preserve">. </w:t>
      </w:r>
    </w:p>
    <w:p w:rsidR="00F91DCD" w:rsidRDefault="00F91DCD"/>
    <w:p w:rsidR="00F91DCD" w:rsidRDefault="00AA2D2B">
      <w:r>
        <w:br w:type="page"/>
      </w:r>
    </w:p>
    <w:p w:rsidR="00897AAC" w:rsidRDefault="005A5184">
      <w:r w:rsidRPr="005A5184">
        <w:rPr>
          <w:noProof/>
          <w:sz w:val="32"/>
          <w:szCs w:val="32"/>
          <w:lang w:val="en-US"/>
        </w:rPr>
        <w:pict>
          <v:shapetype id="_x0000_t32" coordsize="21600,21600" o:spt="32" o:oned="t" path="m,l21600,21600e" filled="f">
            <v:path arrowok="t" fillok="f" o:connecttype="none"/>
            <o:lock v:ext="edit" shapetype="t"/>
          </v:shapetype>
          <v:shape id="_x0000_s1032" type="#_x0000_t32" style="position:absolute;margin-left:-2.5pt;margin-top:8.05pt;width:460.8pt;height:0;z-index:3" o:connectortype="straight" strokeweight="3pt"/>
        </w:pict>
      </w:r>
    </w:p>
    <w:p w:rsidR="00897AAC" w:rsidRDefault="00897A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D700C1" w:rsidTr="00DB1DB8">
        <w:tc>
          <w:tcPr>
            <w:tcW w:w="738" w:type="dxa"/>
            <w:tcBorders>
              <w:top w:val="single" w:sz="8" w:space="0" w:color="auto"/>
              <w:left w:val="single" w:sz="8" w:space="0" w:color="auto"/>
              <w:bottom w:val="single" w:sz="8" w:space="0" w:color="auto"/>
              <w:right w:val="single" w:sz="8" w:space="0" w:color="auto"/>
            </w:tcBorders>
          </w:tcPr>
          <w:p w:rsidR="00D700C1" w:rsidRPr="00897AAC" w:rsidRDefault="00D700C1"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D700C1" w:rsidRPr="00897AAC" w:rsidRDefault="00D700C1" w:rsidP="00DB1DB8">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D700C1" w:rsidRPr="00897AAC" w:rsidRDefault="00D700C1" w:rsidP="00DB1DB8">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D700C1" w:rsidRPr="00897AAC" w:rsidRDefault="00D700C1"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D700C1" w:rsidRPr="00897AAC" w:rsidRDefault="00D700C1" w:rsidP="00DB1DB8">
            <w:pPr>
              <w:jc w:val="center"/>
              <w:rPr>
                <w:b/>
              </w:rPr>
            </w:pPr>
            <w:r w:rsidRPr="00897AAC">
              <w:rPr>
                <w:b/>
              </w:rPr>
              <w:t>Issue</w:t>
            </w:r>
          </w:p>
        </w:tc>
      </w:tr>
      <w:tr w:rsidR="00D700C1" w:rsidTr="00DB1DB8">
        <w:tc>
          <w:tcPr>
            <w:tcW w:w="738" w:type="dxa"/>
            <w:tcBorders>
              <w:top w:val="single" w:sz="8" w:space="0" w:color="auto"/>
            </w:tcBorders>
          </w:tcPr>
          <w:p w:rsidR="00D700C1" w:rsidRDefault="001A2420" w:rsidP="00DB1DB8">
            <w:r>
              <w:t>2916</w:t>
            </w:r>
          </w:p>
        </w:tc>
        <w:tc>
          <w:tcPr>
            <w:tcW w:w="1170" w:type="dxa"/>
            <w:tcBorders>
              <w:top w:val="single" w:sz="8" w:space="0" w:color="auto"/>
            </w:tcBorders>
          </w:tcPr>
          <w:p w:rsidR="00D700C1" w:rsidRDefault="00D700C1" w:rsidP="00D700C1">
            <w:r>
              <w:t>4.5/5/34</w:t>
            </w:r>
          </w:p>
        </w:tc>
        <w:tc>
          <w:tcPr>
            <w:tcW w:w="1800" w:type="dxa"/>
            <w:tcBorders>
              <w:top w:val="single" w:sz="8" w:space="0" w:color="auto"/>
            </w:tcBorders>
          </w:tcPr>
          <w:p w:rsidR="00D700C1" w:rsidRDefault="00D700C1" w:rsidP="00DB1DB8">
            <w:r w:rsidRPr="00D700C1">
              <w:t xml:space="preserve">The list of fils categories is not worded as a list of methods having certain </w:t>
            </w:r>
            <w:r w:rsidR="00F91DCD" w:rsidRPr="00D700C1">
              <w:t>characteristics</w:t>
            </w:r>
            <w:r w:rsidRPr="00D700C1">
              <w:t xml:space="preserve"> but as conditions when they are used.</w:t>
            </w:r>
          </w:p>
        </w:tc>
        <w:tc>
          <w:tcPr>
            <w:tcW w:w="2430" w:type="dxa"/>
            <w:tcBorders>
              <w:top w:val="single" w:sz="8" w:space="0" w:color="auto"/>
            </w:tcBorders>
          </w:tcPr>
          <w:p w:rsidR="00D700C1" w:rsidRDefault="00D700C1" w:rsidP="00DB1DB8">
            <w:r w:rsidRPr="00D700C1">
              <w:t>Replace "is performed without PFS" in line 35 with "without providing PFS"; and replace in line 36 "TTP is performed with PFS" with "TTP providing PFS".</w:t>
            </w:r>
          </w:p>
        </w:tc>
        <w:tc>
          <w:tcPr>
            <w:tcW w:w="3240" w:type="dxa"/>
            <w:tcBorders>
              <w:top w:val="single" w:sz="8" w:space="0" w:color="auto"/>
            </w:tcBorders>
          </w:tcPr>
          <w:p w:rsidR="00D700C1" w:rsidRDefault="00D700C1" w:rsidP="00DB1DB8">
            <w:r>
              <w:t>This has been implemented as requested, but need to verify that it does not change the technical meaning/content of the paragraph.</w:t>
            </w:r>
          </w:p>
        </w:tc>
      </w:tr>
    </w:tbl>
    <w:p w:rsidR="00897AAC" w:rsidRDefault="00897AAC"/>
    <w:p w:rsidR="00897AAC" w:rsidRDefault="00D700C1">
      <w:r>
        <w:t>RECOMMENDATION: Verify that this is editorial and not technical.</w:t>
      </w:r>
    </w:p>
    <w:p w:rsidR="00AA2D2B" w:rsidRDefault="00AA2D2B"/>
    <w:p w:rsidR="00AA2D2B" w:rsidRPr="00AA2D2B" w:rsidRDefault="00AA2D2B" w:rsidP="00AA2D2B">
      <w:pPr>
        <w:rPr>
          <w:b/>
          <w:sz w:val="28"/>
          <w:szCs w:val="28"/>
        </w:rPr>
      </w:pPr>
      <w:r w:rsidRPr="00AA2D2B">
        <w:rPr>
          <w:b/>
          <w:sz w:val="28"/>
          <w:szCs w:val="28"/>
        </w:rPr>
        <w:t xml:space="preserve">Motion (can be agreement by unanimous consent): Agree </w:t>
      </w:r>
      <w:r>
        <w:rPr>
          <w:b/>
          <w:sz w:val="28"/>
          <w:szCs w:val="28"/>
        </w:rPr>
        <w:t>that the proposed resolution constitutes an editorial change and is not technical</w:t>
      </w:r>
      <w:r w:rsidRPr="00AA2D2B">
        <w:rPr>
          <w:b/>
          <w:sz w:val="28"/>
          <w:szCs w:val="28"/>
        </w:rPr>
        <w:t xml:space="preserve">. </w:t>
      </w:r>
    </w:p>
    <w:p w:rsidR="00AA2D2B" w:rsidRDefault="00AA2D2B" w:rsidP="00AA2D2B"/>
    <w:p w:rsidR="00AA2D2B" w:rsidRDefault="00AA2D2B">
      <w:r>
        <w:br w:type="page"/>
      </w:r>
    </w:p>
    <w:p w:rsidR="00D700C1" w:rsidRDefault="005A5184">
      <w:r>
        <w:rPr>
          <w:noProof/>
          <w:lang w:val="en-US"/>
        </w:rPr>
        <w:pict>
          <v:shape id="_x0000_s1034" type="#_x0000_t32" style="position:absolute;margin-left:-2.5pt;margin-top:12.15pt;width:460.8pt;height:0;z-index:4" o:connectortype="straight" strokeweight="3pt"/>
        </w:pict>
      </w:r>
    </w:p>
    <w:p w:rsidR="00D700C1" w:rsidRDefault="00D700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3D2C21" w:rsidTr="00DB1DB8">
        <w:tc>
          <w:tcPr>
            <w:tcW w:w="738" w:type="dxa"/>
            <w:tcBorders>
              <w:top w:val="single" w:sz="8" w:space="0" w:color="auto"/>
              <w:left w:val="single" w:sz="8" w:space="0" w:color="auto"/>
              <w:bottom w:val="single" w:sz="8" w:space="0" w:color="auto"/>
              <w:right w:val="single" w:sz="8" w:space="0" w:color="auto"/>
            </w:tcBorders>
          </w:tcPr>
          <w:p w:rsidR="003D2C21" w:rsidRPr="00897AAC" w:rsidRDefault="003D2C21"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3D2C21" w:rsidRPr="00897AAC" w:rsidRDefault="003D2C21" w:rsidP="00DB1DB8">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3D2C21" w:rsidRPr="00897AAC" w:rsidRDefault="003D2C21" w:rsidP="00DB1DB8">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3D2C21" w:rsidRPr="00897AAC" w:rsidRDefault="003D2C21"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3D2C21" w:rsidRPr="00897AAC" w:rsidRDefault="003D2C21" w:rsidP="00DB1DB8">
            <w:pPr>
              <w:jc w:val="center"/>
              <w:rPr>
                <w:b/>
              </w:rPr>
            </w:pPr>
            <w:r w:rsidRPr="00897AAC">
              <w:rPr>
                <w:b/>
              </w:rPr>
              <w:t>Issue</w:t>
            </w:r>
          </w:p>
        </w:tc>
      </w:tr>
      <w:tr w:rsidR="003D2C21" w:rsidTr="00DB1DB8">
        <w:tc>
          <w:tcPr>
            <w:tcW w:w="738" w:type="dxa"/>
            <w:tcBorders>
              <w:top w:val="single" w:sz="8" w:space="0" w:color="auto"/>
            </w:tcBorders>
          </w:tcPr>
          <w:p w:rsidR="003D2C21" w:rsidRDefault="003D2C21" w:rsidP="00DB1DB8">
            <w:r>
              <w:t>2789, 3310, 2615, 2063</w:t>
            </w:r>
          </w:p>
        </w:tc>
        <w:tc>
          <w:tcPr>
            <w:tcW w:w="1170" w:type="dxa"/>
            <w:tcBorders>
              <w:top w:val="single" w:sz="8" w:space="0" w:color="auto"/>
            </w:tcBorders>
          </w:tcPr>
          <w:p w:rsidR="003D2C21" w:rsidRDefault="003D2C21" w:rsidP="00DB1DB8"/>
        </w:tc>
        <w:tc>
          <w:tcPr>
            <w:tcW w:w="1800" w:type="dxa"/>
            <w:tcBorders>
              <w:top w:val="single" w:sz="8" w:space="0" w:color="auto"/>
            </w:tcBorders>
          </w:tcPr>
          <w:p w:rsidR="003D2C21" w:rsidRDefault="003D2C21" w:rsidP="00DB1DB8">
            <w:r>
              <w:t>11ad and other amendments no fully incorporated</w:t>
            </w:r>
          </w:p>
        </w:tc>
        <w:tc>
          <w:tcPr>
            <w:tcW w:w="2430" w:type="dxa"/>
            <w:tcBorders>
              <w:top w:val="single" w:sz="8" w:space="0" w:color="auto"/>
            </w:tcBorders>
          </w:tcPr>
          <w:p w:rsidR="003D2C21" w:rsidRDefault="003D2C21" w:rsidP="00DB1DB8">
            <w:r>
              <w:t>Update to include all appropriate base and amendment docs</w:t>
            </w:r>
          </w:p>
        </w:tc>
        <w:tc>
          <w:tcPr>
            <w:tcW w:w="3240" w:type="dxa"/>
            <w:tcBorders>
              <w:top w:val="single" w:sz="8" w:space="0" w:color="auto"/>
            </w:tcBorders>
          </w:tcPr>
          <w:p w:rsidR="003D2C21" w:rsidRDefault="003D2C21" w:rsidP="00DB1DB8">
            <w:r>
              <w:t>There are two parts to this, the purely editorial and the technical. The editorial is being done, but there are instances where it is not clear if there is a technical impact.</w:t>
            </w:r>
          </w:p>
        </w:tc>
      </w:tr>
    </w:tbl>
    <w:p w:rsidR="00D700C1" w:rsidRDefault="00D700C1"/>
    <w:p w:rsidR="003D2C21" w:rsidRDefault="003D2C21"/>
    <w:p w:rsidR="003D2C21" w:rsidRDefault="003D2C21"/>
    <w:p w:rsidR="003D2C21" w:rsidRDefault="003D2C21"/>
    <w:p w:rsidR="003D2C21" w:rsidRDefault="003D2C21" w:rsidP="003D2C21">
      <w:pPr>
        <w:tabs>
          <w:tab w:val="left" w:pos="4950"/>
        </w:tabs>
      </w:pPr>
      <w:r>
        <w:t>From 11a</w:t>
      </w:r>
      <w:r w:rsidR="00D671A1">
        <w:t>d</w:t>
      </w:r>
      <w:r w:rsidR="004309F0">
        <w:t>, clause 10.1.4.3.2</w:t>
      </w:r>
      <w:r>
        <w:t>:</w:t>
      </w:r>
    </w:p>
    <w:p w:rsidR="003D2C21" w:rsidRDefault="005A5184" w:rsidP="00D671A1">
      <w:pPr>
        <w:tabs>
          <w:tab w:val="left" w:pos="2007"/>
        </w:tabs>
      </w:pPr>
      <w:r w:rsidRPr="005A5184">
        <w:rPr>
          <w:noProof/>
          <w:lang w:eastAsia="zh-TW"/>
        </w:rPr>
        <w:pict>
          <v:shape id="_x0000_s1037" type="#_x0000_t202" style="position:absolute;margin-left:2.15pt;margin-top:7.55pt;width:462.55pt;height:434.75pt;z-index:5;mso-width-relative:margin;mso-height-relative:margin">
            <v:textbox style="mso-next-textbox:#_x0000_s1037">
              <w:txbxContent>
                <w:p w:rsidR="002F5D55" w:rsidRDefault="002F5D55" w:rsidP="002F5D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a) Wait until the ProbeDelay time has expired or a PHYRxStart.indication primitive has been received.</w:t>
                  </w:r>
                  <w:r w:rsidRPr="002F5D55">
                    <w:rPr>
                      <w:rFonts w:ascii="TimesNewRoman" w:hAnsi="TimesNewRoman" w:cs="TimesNewRoman"/>
                      <w:color w:val="00B050"/>
                      <w:sz w:val="20"/>
                      <w:lang w:val="en-US"/>
                    </w:rPr>
                    <w:t xml:space="preserve"> </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b) Perform the Basic Access procedure as defined in 9.3.4.2 if the STA is a non-DMG STA.</w:t>
                  </w:r>
                  <w:r w:rsidRPr="002F5D55">
                    <w:rPr>
                      <w:rFonts w:ascii="TimesNewRoman" w:hAnsi="TimesNewRoman" w:cs="TimesNewRoman"/>
                      <w:color w:val="00B050"/>
                      <w:sz w:val="20"/>
                      <w:lang w:val="en-US"/>
                    </w:rPr>
                    <w:t xml:space="preserve"> </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c) If the STA is a DMG STA:</w:t>
                  </w:r>
                  <w:r w:rsidRPr="002F5D55">
                    <w:rPr>
                      <w:rFonts w:ascii="TimesNewRoman" w:hAnsi="TimesNewRoman" w:cs="TimesNewRoman"/>
                      <w:color w:val="00B050"/>
                      <w:sz w:val="20"/>
                      <w:lang w:val="en-US"/>
                    </w:rPr>
                    <w:t xml:space="preserve"> </w:t>
                  </w:r>
                </w:p>
                <w:p w:rsidR="002F5D55" w:rsidRDefault="002F5D55" w:rsidP="004309F0">
                  <w:pPr>
                    <w:autoSpaceDE w:val="0"/>
                    <w:autoSpaceDN w:val="0"/>
                    <w:adjustRightInd w:val="0"/>
                    <w:spacing w:after="120"/>
                    <w:ind w:left="1080" w:hanging="270"/>
                    <w:rPr>
                      <w:rFonts w:ascii="TimesNewRoman" w:hAnsi="TimesNewRoman" w:cs="TimesNewRoman"/>
                      <w:color w:val="218B21"/>
                      <w:sz w:val="20"/>
                      <w:lang w:val="en-US"/>
                    </w:rPr>
                  </w:pPr>
                  <w:r>
                    <w:rPr>
                      <w:rFonts w:ascii="TimesNewRoman" w:hAnsi="TimesNewRoman" w:cs="TimesNewRoman"/>
                      <w:sz w:val="20"/>
                      <w:lang w:val="en-US"/>
                    </w:rPr>
                    <w:t>1) Start generation of DMG Beacon frames according to the rules described in 10.1.3.2b if the STA intends to transmit DMG Beacon frames with the Discovery Mode field set to 1.</w:t>
                  </w:r>
                  <w:r w:rsidRPr="002F5D55">
                    <w:rPr>
                      <w:rFonts w:ascii="TimesNewRoman" w:hAnsi="TimesNewRoman" w:cs="TimesNewRoman"/>
                      <w:color w:val="218B21"/>
                      <w:sz w:val="20"/>
                      <w:lang w:val="en-US"/>
                    </w:rPr>
                    <w:t xml:space="preserve"> </w:t>
                  </w:r>
                </w:p>
                <w:p w:rsidR="002F5D55" w:rsidRPr="00DF4650" w:rsidRDefault="002F5D55" w:rsidP="004309F0">
                  <w:pPr>
                    <w:autoSpaceDE w:val="0"/>
                    <w:autoSpaceDN w:val="0"/>
                    <w:adjustRightInd w:val="0"/>
                    <w:spacing w:after="120"/>
                    <w:ind w:left="1080" w:hanging="270"/>
                    <w:rPr>
                      <w:rFonts w:ascii="TimesNewRoman" w:hAnsi="TimesNewRoman" w:cs="TimesNewRoman"/>
                      <w:color w:val="00B050"/>
                      <w:sz w:val="20"/>
                      <w:lang w:val="en-US"/>
                    </w:rPr>
                  </w:pPr>
                  <w:r>
                    <w:rPr>
                      <w:rFonts w:ascii="TimesNewRoman" w:hAnsi="TimesNewRoman" w:cs="TimesNewRoman"/>
                      <w:sz w:val="20"/>
                      <w:lang w:val="en-US"/>
                    </w:rPr>
                    <w:t>2) Otherwise, proceed to step (e).</w:t>
                  </w:r>
                  <w:r w:rsidRPr="002F5D55">
                    <w:rPr>
                      <w:rFonts w:ascii="TimesNewRoman" w:hAnsi="TimesNewRoman" w:cs="TimesNewRoman"/>
                      <w:color w:val="00B050"/>
                      <w:sz w:val="20"/>
                      <w:lang w:val="en-US"/>
                    </w:rPr>
                    <w:t xml:space="preserve"> </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d) If a DMG Beacon frame is received, perform the beamforming training defined in 9.35.5.</w:t>
                  </w:r>
                  <w:r w:rsidRPr="002F5D55">
                    <w:rPr>
                      <w:rFonts w:ascii="TimesNewRoman" w:hAnsi="TimesNewRoman" w:cs="TimesNewRoman"/>
                      <w:color w:val="00B050"/>
                      <w:sz w:val="20"/>
                      <w:lang w:val="en-US"/>
                    </w:rPr>
                    <w:t xml:space="preserve"> </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e) If the STA is a DMG STA, perform the basic access procedure defined in 9.3.4.2</w:t>
                  </w:r>
                </w:p>
                <w:p w:rsidR="002F5D55" w:rsidRDefault="002F5D55" w:rsidP="004309F0">
                  <w:pPr>
                    <w:autoSpaceDE w:val="0"/>
                    <w:autoSpaceDN w:val="0"/>
                    <w:adjustRightInd w:val="0"/>
                    <w:spacing w:after="120"/>
                    <w:ind w:left="270"/>
                    <w:rPr>
                      <w:rFonts w:ascii="TimesNewRoman" w:hAnsi="TimesNewRoman" w:cs="TimesNewRoman"/>
                      <w:sz w:val="20"/>
                      <w:lang w:val="en-US"/>
                    </w:rPr>
                  </w:pPr>
                  <w:r>
                    <w:rPr>
                      <w:rFonts w:ascii="TimesNewRoman" w:hAnsi="TimesNewRoman" w:cs="TimesNewRoman"/>
                      <w:sz w:val="20"/>
                      <w:lang w:val="en-US"/>
                    </w:rPr>
                    <w:t xml:space="preserve">f) Send a probe request to the broadcast destination address or, in the case of a DMG STA only, (i </w:t>
                  </w:r>
                  <w:r w:rsidRPr="002F5D55">
                    <w:rPr>
                      <w:rFonts w:ascii="TimesNewRoman" w:hAnsi="TimesNewRoman" w:cs="TimesNewRoman"/>
                      <w:color w:val="00B050"/>
                      <w:sz w:val="20"/>
                      <w:lang w:val="en-US"/>
                    </w:rPr>
                    <w:t xml:space="preserve"> </w:t>
                  </w:r>
                  <w:r>
                    <w:rPr>
                      <w:rFonts w:ascii="TimesNewRoman" w:hAnsi="TimesNewRoman" w:cs="TimesNewRoman"/>
                      <w:color w:val="00B050"/>
                      <w:sz w:val="20"/>
                      <w:lang w:val="en-US"/>
                    </w:rPr>
                    <w:t xml:space="preserve"> </w:t>
                  </w:r>
                  <w:r>
                    <w:rPr>
                      <w:rFonts w:ascii="TimesNewRoman" w:hAnsi="TimesNewRoman" w:cs="TimesNewRoman"/>
                      <w:sz w:val="20"/>
                      <w:lang w:val="en-US"/>
                    </w:rPr>
                    <w:t>following the transmission of an SSW-Feedback frame, send a probe request to the MAC address of the DMG STA addressed by the SSW-Feedback frame or (ii) optionally, following the reception of an SSW-Feedback frame, send a probe request to the MAC address of the DMG STA that transmitted the SSW-Feedback frame. In all these cases, the probe request is sent with the SSID and BSSID from the MLME-SCAN.request primitive. When transmitted by a DMG STA, the probe request includes the DMG Capabilities element. When the SSID List is present in the MLMESCAN.  request primitive, send one or more probe request frames, each with an SSID indicated in the SSID List and the BSSID from the MLME-SCAN.request primitive.</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g) Set to 0 and start a ProbeTimer.</w:t>
                  </w:r>
                  <w:r w:rsidRPr="002F5D55">
                    <w:rPr>
                      <w:rFonts w:ascii="TimesNewRoman" w:hAnsi="TimesNewRoman" w:cs="TimesNewRoman"/>
                      <w:color w:val="00B050"/>
                      <w:sz w:val="20"/>
                      <w:lang w:val="en-US"/>
                    </w:rPr>
                    <w:t xml:space="preserve"> </w:t>
                  </w:r>
                </w:p>
                <w:p w:rsidR="002F5D55"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h) If PHY-CCA.indication (busy) has not been detected before the ProbeTimer reaches MinChannelTime, then</w:t>
                  </w:r>
                </w:p>
                <w:p w:rsidR="002F5D55" w:rsidRDefault="002F5D55" w:rsidP="004309F0">
                  <w:pPr>
                    <w:autoSpaceDE w:val="0"/>
                    <w:autoSpaceDN w:val="0"/>
                    <w:adjustRightInd w:val="0"/>
                    <w:spacing w:after="120"/>
                    <w:ind w:left="1080" w:hanging="270"/>
                    <w:rPr>
                      <w:rFonts w:ascii="TimesNewRoman" w:hAnsi="TimesNewRoman" w:cs="TimesNewRoman"/>
                      <w:color w:val="218B21"/>
                      <w:sz w:val="20"/>
                      <w:lang w:val="en-US"/>
                    </w:rPr>
                  </w:pPr>
                  <w:r>
                    <w:rPr>
                      <w:rFonts w:ascii="TimesNewRoman" w:hAnsi="TimesNewRoman" w:cs="TimesNewRoman"/>
                      <w:sz w:val="20"/>
                      <w:lang w:val="en-US"/>
                    </w:rPr>
                    <w:t>1) If the STA is a non-DMG STA, set the NAV to 0 and scan the next channel,.</w:t>
                  </w:r>
                  <w:r w:rsidRPr="002F5D55">
                    <w:rPr>
                      <w:rFonts w:ascii="TimesNewRoman" w:hAnsi="TimesNewRoman" w:cs="TimesNewRoman"/>
                      <w:color w:val="218B21"/>
                      <w:sz w:val="20"/>
                      <w:lang w:val="en-US"/>
                    </w:rPr>
                    <w:t xml:space="preserve"> </w:t>
                  </w:r>
                </w:p>
                <w:p w:rsidR="002F5D55" w:rsidRPr="00DF4650" w:rsidRDefault="002F5D55" w:rsidP="004309F0">
                  <w:pPr>
                    <w:autoSpaceDE w:val="0"/>
                    <w:autoSpaceDN w:val="0"/>
                    <w:adjustRightInd w:val="0"/>
                    <w:spacing w:after="120"/>
                    <w:ind w:left="1080" w:hanging="270"/>
                    <w:rPr>
                      <w:rFonts w:ascii="TimesNewRoman" w:hAnsi="TimesNewRoman" w:cs="TimesNewRoman"/>
                      <w:color w:val="00B050"/>
                      <w:sz w:val="20"/>
                      <w:lang w:val="en-US"/>
                    </w:rPr>
                  </w:pPr>
                  <w:r>
                    <w:rPr>
                      <w:rFonts w:ascii="TimesNewRoman" w:hAnsi="TimesNewRoman" w:cs="TimesNewRoman"/>
                      <w:sz w:val="20"/>
                      <w:lang w:val="en-US"/>
                    </w:rPr>
                    <w:t>2) Otherwise, when ProbeTimer reaches MaxChannelTime, process all received probe responses.</w:t>
                  </w:r>
                  <w:r w:rsidRPr="002F5D55">
                    <w:rPr>
                      <w:rFonts w:ascii="TimesNewRoman" w:hAnsi="TimesNewRoman" w:cs="TimesNewRoman"/>
                      <w:color w:val="00B050"/>
                      <w:sz w:val="20"/>
                      <w:lang w:val="en-US"/>
                    </w:rPr>
                    <w:t xml:space="preserve"> </w:t>
                  </w:r>
                </w:p>
                <w:p w:rsidR="00D671A1" w:rsidRPr="005C00EF" w:rsidRDefault="002F5D55" w:rsidP="004309F0">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i) Set the NAV to 0 and scan the next channel.</w:t>
                  </w:r>
                  <w:r w:rsidR="00D671A1" w:rsidRPr="00D671A1">
                    <w:rPr>
                      <w:rFonts w:ascii="TimesNewRoman" w:hAnsi="TimesNewRoman" w:cs="TimesNewRoman"/>
                      <w:color w:val="00B050"/>
                      <w:sz w:val="20"/>
                      <w:lang w:val="en-US"/>
                    </w:rPr>
                    <w:t xml:space="preserve"> </w:t>
                  </w:r>
                </w:p>
                <w:p w:rsidR="002F5D55" w:rsidRDefault="002F5D55" w:rsidP="002F5D55">
                  <w:pPr>
                    <w:autoSpaceDE w:val="0"/>
                    <w:autoSpaceDN w:val="0"/>
                    <w:adjustRightInd w:val="0"/>
                  </w:pPr>
                </w:p>
              </w:txbxContent>
            </v:textbox>
          </v:shape>
        </w:pict>
      </w:r>
      <w:r w:rsidR="00D671A1">
        <w:tab/>
      </w:r>
    </w:p>
    <w:p w:rsidR="003D2C21" w:rsidRDefault="003D2C21"/>
    <w:p w:rsidR="003D2C21" w:rsidRDefault="003D2C21"/>
    <w:p w:rsidR="00897AAC" w:rsidRDefault="00897AAC"/>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r>
        <w:br w:type="page"/>
      </w:r>
      <w:r>
        <w:lastRenderedPageBreak/>
        <w:t xml:space="preserve">From 11ai D1.0 </w:t>
      </w:r>
      <w:r w:rsidR="004309F0">
        <w:t xml:space="preserve">clause 10.1.4.3.2 </w:t>
      </w:r>
      <w:r>
        <w:t>(with uncontested 11ad changes shown underlined and questioned 11ad list items in red):</w:t>
      </w:r>
    </w:p>
    <w:p w:rsidR="00D671A1" w:rsidRDefault="005A5184">
      <w:r>
        <w:rPr>
          <w:noProof/>
          <w:lang w:val="en-US"/>
        </w:rPr>
        <w:pict>
          <v:shape id="_x0000_s1038" type="#_x0000_t202" style="position:absolute;margin-left:15.25pt;margin-top:5.9pt;width:462.55pt;height:402.55pt;z-index:6;mso-width-relative:margin;mso-height-relative:margin">
            <v:textbox style="mso-next-textbox:#_x0000_s1038">
              <w:txbxContent>
                <w:p w:rsidR="00D671A1" w:rsidRDefault="00D671A1" w:rsidP="00D671A1">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D671A1" w:rsidRPr="005C00EF" w:rsidRDefault="00D671A1" w:rsidP="000E5C81">
                  <w:pPr>
                    <w:autoSpaceDE w:val="0"/>
                    <w:autoSpaceDN w:val="0"/>
                    <w:adjustRightInd w:val="0"/>
                    <w:spacing w:after="120"/>
                    <w:ind w:left="274"/>
                    <w:rPr>
                      <w:rFonts w:ascii="TimesNewRoman" w:hAnsi="TimesNewRoman" w:cs="TimesNewRoman"/>
                      <w:color w:val="00B050"/>
                      <w:sz w:val="20"/>
                      <w:lang w:val="en-US"/>
                    </w:rPr>
                  </w:pPr>
                  <w:r>
                    <w:rPr>
                      <w:rFonts w:ascii="TimesNewRoman" w:hAnsi="TimesNewRoman" w:cs="TimesNewRoman"/>
                      <w:sz w:val="20"/>
                      <w:lang w:val="en-US"/>
                    </w:rPr>
                    <w:t>a) Wait until the ProbeDelay time has expired or a PHYRxStart.indication primitive has been received.</w:t>
                  </w:r>
                  <w:r w:rsidRPr="002F5D55">
                    <w:rPr>
                      <w:rFonts w:ascii="TimesNewRoman" w:hAnsi="TimesNewRoman" w:cs="TimesNewRoman"/>
                      <w:color w:val="00B050"/>
                      <w:sz w:val="20"/>
                      <w:lang w:val="en-US"/>
                    </w:rPr>
                    <w:t xml:space="preserve"> </w:t>
                  </w:r>
                </w:p>
                <w:p w:rsidR="00D671A1" w:rsidRPr="005C00EF" w:rsidRDefault="00D671A1" w:rsidP="000E5C81">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 xml:space="preserve">b) Perform the Basic Access procedure as defined in 9.3.4.2 if the STA </w:t>
                  </w:r>
                  <w:r w:rsidRPr="00D671A1">
                    <w:rPr>
                      <w:rFonts w:ascii="TimesNewRoman" w:hAnsi="TimesNewRoman" w:cs="TimesNewRoman"/>
                      <w:sz w:val="20"/>
                      <w:u w:val="single"/>
                      <w:lang w:val="en-US"/>
                    </w:rPr>
                    <w:t>is a non-DMG STA</w:t>
                  </w:r>
                  <w:r>
                    <w:rPr>
                      <w:rFonts w:ascii="TimesNewRoman" w:hAnsi="TimesNewRoman" w:cs="TimesNewRoman"/>
                      <w:sz w:val="20"/>
                      <w:lang w:val="en-US"/>
                    </w:rPr>
                    <w:t>.</w:t>
                  </w:r>
                  <w:r w:rsidRPr="002F5D55">
                    <w:rPr>
                      <w:rFonts w:ascii="TimesNewRoman" w:hAnsi="TimesNewRoman" w:cs="TimesNewRoman"/>
                      <w:color w:val="00B050"/>
                      <w:sz w:val="20"/>
                      <w:lang w:val="en-US"/>
                    </w:rPr>
                    <w:t xml:space="preserve"> </w:t>
                  </w:r>
                </w:p>
                <w:p w:rsidR="00D671A1" w:rsidRPr="000E5C81" w:rsidRDefault="00D671A1" w:rsidP="000E5C81">
                  <w:pPr>
                    <w:autoSpaceDE w:val="0"/>
                    <w:autoSpaceDN w:val="0"/>
                    <w:adjustRightInd w:val="0"/>
                    <w:spacing w:after="120"/>
                    <w:ind w:left="270"/>
                    <w:rPr>
                      <w:rFonts w:ascii="TimesNewRoman" w:hAnsi="TimesNewRoman" w:cs="TimesNewRoman"/>
                      <w:color w:val="FF0000"/>
                      <w:sz w:val="20"/>
                      <w:lang w:val="en-US"/>
                    </w:rPr>
                  </w:pPr>
                  <w:r>
                    <w:rPr>
                      <w:rFonts w:ascii="TimesNewRoman" w:hAnsi="TimesNewRoman" w:cs="TimesNewRoman"/>
                      <w:sz w:val="20"/>
                      <w:lang w:val="en-US"/>
                    </w:rPr>
                    <w:t>c) When the criteria defined in 10.1.4.3.5 are met, send a probe request to the broadcast or individual destination address. When the SSID List is present in the MLME-SCAN.request primitive, send one or more Probe Request frames, each with an SSID indicated in the SSID List and the BSSID from the MLME-SCAN.request primitive.</w:t>
                  </w:r>
                  <w:r w:rsidRPr="00D671A1">
                    <w:rPr>
                      <w:rFonts w:ascii="TimesNewRoman" w:hAnsi="TimesNewRoman" w:cs="TimesNewRoman"/>
                      <w:color w:val="00B050"/>
                      <w:sz w:val="20"/>
                      <w:lang w:val="en-US"/>
                    </w:rPr>
                    <w:t xml:space="preserve"> </w:t>
                  </w:r>
                  <w:r w:rsidR="000E5C81">
                    <w:rPr>
                      <w:rFonts w:ascii="TimesNewRoman" w:hAnsi="TimesNewRoman" w:cs="TimesNewRoman"/>
                      <w:color w:val="00B050"/>
                      <w:sz w:val="20"/>
                      <w:lang w:val="en-US"/>
                    </w:rPr>
                    <w:br/>
                  </w:r>
                  <w:r w:rsidR="000E5C81">
                    <w:rPr>
                      <w:rFonts w:ascii="TimesNewRoman" w:hAnsi="TimesNewRoman" w:cs="TimesNewRoman"/>
                      <w:color w:val="00B050"/>
                      <w:sz w:val="20"/>
                      <w:lang w:val="en-US"/>
                    </w:rPr>
                    <w:br/>
                  </w:r>
                  <w:r w:rsidR="000E5C81" w:rsidRPr="000E5C81">
                    <w:rPr>
                      <w:rFonts w:ascii="TimesNewRoman" w:hAnsi="TimesNewRoman" w:cs="TimesNewRoman"/>
                      <w:color w:val="FF0000"/>
                      <w:sz w:val="20"/>
                      <w:lang w:val="en-US"/>
                    </w:rPr>
                    <w:t>(</w:t>
                  </w:r>
                  <w:r w:rsidR="00501C8D">
                    <w:rPr>
                      <w:rFonts w:ascii="TimesNewRoman" w:hAnsi="TimesNewRoman" w:cs="TimesNewRoman"/>
                      <w:color w:val="FF0000"/>
                      <w:sz w:val="20"/>
                      <w:lang w:val="en-US"/>
                    </w:rPr>
                    <w:t>Assume</w:t>
                  </w:r>
                  <w:r w:rsidR="000E5C81" w:rsidRPr="000E5C81">
                    <w:rPr>
                      <w:rFonts w:ascii="TimesNewRoman" w:hAnsi="TimesNewRoman" w:cs="TimesNewRoman"/>
                      <w:color w:val="FF0000"/>
                      <w:sz w:val="20"/>
                      <w:lang w:val="en-US"/>
                    </w:rPr>
                    <w:t xml:space="preserve"> 11ad item</w:t>
                  </w:r>
                  <w:r w:rsidR="00501C8D">
                    <w:rPr>
                      <w:rFonts w:ascii="TimesNewRoman" w:hAnsi="TimesNewRoman" w:cs="TimesNewRoman"/>
                      <w:color w:val="FF0000"/>
                      <w:sz w:val="20"/>
                      <w:lang w:val="en-US"/>
                    </w:rPr>
                    <w:t>s</w:t>
                  </w:r>
                  <w:r w:rsidR="000E5C81" w:rsidRPr="000E5C81">
                    <w:rPr>
                      <w:rFonts w:ascii="TimesNewRoman" w:hAnsi="TimesNewRoman" w:cs="TimesNewRoman"/>
                      <w:color w:val="FF0000"/>
                      <w:sz w:val="20"/>
                      <w:lang w:val="en-US"/>
                    </w:rPr>
                    <w:t xml:space="preserve"> </w:t>
                  </w:r>
                  <w:r w:rsidR="00501C8D">
                    <w:rPr>
                      <w:rFonts w:ascii="TimesNewRoman" w:hAnsi="TimesNewRoman" w:cs="TimesNewRoman"/>
                      <w:color w:val="FF0000"/>
                      <w:sz w:val="20"/>
                      <w:lang w:val="en-US"/>
                    </w:rPr>
                    <w:t xml:space="preserve">"c", "d","e". and </w:t>
                  </w:r>
                  <w:r w:rsidR="000E5C81" w:rsidRPr="000E5C81">
                    <w:rPr>
                      <w:rFonts w:ascii="TimesNewRoman" w:hAnsi="TimesNewRoman" w:cs="TimesNewRoman"/>
                      <w:color w:val="FF0000"/>
                      <w:sz w:val="20"/>
                      <w:lang w:val="en-US"/>
                    </w:rPr>
                    <w:t xml:space="preserve">"f" </w:t>
                  </w:r>
                  <w:r w:rsidR="00501C8D">
                    <w:rPr>
                      <w:rFonts w:ascii="TimesNewRoman" w:hAnsi="TimesNewRoman" w:cs="TimesNewRoman"/>
                      <w:color w:val="FF0000"/>
                      <w:sz w:val="20"/>
                      <w:lang w:val="en-US"/>
                    </w:rPr>
                    <w:t xml:space="preserve">should </w:t>
                  </w:r>
                  <w:r w:rsidR="000E5C81" w:rsidRPr="000E5C81">
                    <w:rPr>
                      <w:rFonts w:ascii="TimesNewRoman" w:hAnsi="TimesNewRoman" w:cs="TimesNewRoman"/>
                      <w:color w:val="FF0000"/>
                      <w:sz w:val="20"/>
                      <w:lang w:val="en-US"/>
                    </w:rPr>
                    <w:t>go here</w:t>
                  </w:r>
                  <w:r w:rsidR="00501C8D">
                    <w:rPr>
                      <w:rFonts w:ascii="TimesNewRoman" w:hAnsi="TimesNewRoman" w:cs="TimesNewRoman"/>
                      <w:color w:val="FF0000"/>
                      <w:sz w:val="20"/>
                      <w:lang w:val="en-US"/>
                    </w:rPr>
                    <w:t xml:space="preserve"> with corresponding change to letters. Right? Unchanged from 11ad</w:t>
                  </w:r>
                  <w:r w:rsidR="000E5C81" w:rsidRPr="000E5C81">
                    <w:rPr>
                      <w:rFonts w:ascii="TimesNewRoman" w:hAnsi="TimesNewRoman" w:cs="TimesNewRoman"/>
                      <w:color w:val="FF0000"/>
                      <w:sz w:val="20"/>
                      <w:lang w:val="en-US"/>
                    </w:rPr>
                    <w:t>?)</w:t>
                  </w:r>
                </w:p>
                <w:p w:rsidR="00D671A1" w:rsidRPr="005C00EF" w:rsidRDefault="00D671A1" w:rsidP="000E5C81">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 xml:space="preserve">g) </w:t>
                  </w:r>
                  <w:r w:rsidR="004A37D6">
                    <w:rPr>
                      <w:rFonts w:ascii="TimesNewRoman" w:hAnsi="TimesNewRoman" w:cs="TimesNewRoman"/>
                      <w:sz w:val="20"/>
                      <w:lang w:val="en-US"/>
                    </w:rPr>
                    <w:t>Set a ProbeTimer to 0 and start the ProbeTimer.</w:t>
                  </w:r>
                  <w:r w:rsidRPr="00D671A1">
                    <w:rPr>
                      <w:rFonts w:ascii="TimesNewRoman" w:hAnsi="TimesNewRoman" w:cs="TimesNewRoman"/>
                      <w:color w:val="FF0000"/>
                      <w:sz w:val="20"/>
                      <w:lang w:val="en-US"/>
                    </w:rPr>
                    <w:t xml:space="preserve"> (11ad has " Set to 0 and start a ProbeTimer.")</w:t>
                  </w:r>
                </w:p>
                <w:p w:rsidR="000E5C81" w:rsidRPr="005C00EF" w:rsidRDefault="00D671A1" w:rsidP="000E5C81">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sz w:val="20"/>
                      <w:lang w:val="en-US"/>
                    </w:rPr>
                    <w:t>h) If PHY-CCA.indication (busy) has not been detected before the ProbeTimer reaches MinChannelTime, then</w:t>
                  </w:r>
                  <w:r w:rsidR="000E5C81">
                    <w:rPr>
                      <w:rFonts w:ascii="TimesNewRoman" w:hAnsi="TimesNewRoman" w:cs="TimesNewRoman"/>
                      <w:sz w:val="20"/>
                      <w:lang w:val="en-US"/>
                    </w:rPr>
                    <w:t>:</w:t>
                  </w:r>
                  <w:r w:rsidR="000E5C81" w:rsidRPr="000E5C81">
                    <w:rPr>
                      <w:rFonts w:ascii="TimesNewRoman" w:hAnsi="TimesNewRoman" w:cs="TimesNewRoman"/>
                      <w:color w:val="000000"/>
                      <w:sz w:val="20"/>
                      <w:lang w:val="en-US"/>
                    </w:rPr>
                    <w:t xml:space="preserve"> </w:t>
                  </w:r>
                  <w:r w:rsidR="000E5C81">
                    <w:rPr>
                      <w:rFonts w:ascii="TimesNewRoman" w:hAnsi="TimesNewRoman" w:cs="TimesNewRoman"/>
                      <w:color w:val="000000"/>
                      <w:sz w:val="20"/>
                      <w:lang w:val="en-US"/>
                    </w:rPr>
                    <w:t>go to step f, else while the Probe Timer is less than the MaxChannelTime:</w:t>
                  </w:r>
                  <w:r w:rsidR="000E5C81" w:rsidRPr="000E5C81">
                    <w:rPr>
                      <w:rFonts w:ascii="TimesNewRoman" w:hAnsi="TimesNewRoman" w:cs="TimesNewRoman"/>
                      <w:color w:val="00B050"/>
                      <w:sz w:val="20"/>
                      <w:lang w:val="en-US"/>
                    </w:rPr>
                    <w:t xml:space="preserve"> </w:t>
                  </w:r>
                  <w:r w:rsidR="000E5C81" w:rsidRPr="00501C8D">
                    <w:rPr>
                      <w:rFonts w:ascii="TimesNewRoman" w:hAnsi="TimesNewRoman" w:cs="TimesNewRoman"/>
                      <w:color w:val="FF0000"/>
                      <w:sz w:val="20"/>
                      <w:lang w:val="en-US"/>
                    </w:rPr>
                    <w:t>(differences with 11ad need to be verified</w:t>
                  </w:r>
                  <w:r w:rsidR="00501C8D">
                    <w:rPr>
                      <w:rFonts w:ascii="TimesNewRoman" w:hAnsi="TimesNewRoman" w:cs="TimesNewRoman"/>
                      <w:color w:val="FF0000"/>
                      <w:sz w:val="20"/>
                      <w:lang w:val="en-US"/>
                    </w:rPr>
                    <w:t>, significantly different here and in numbered list</w:t>
                  </w:r>
                  <w:r w:rsidR="000E5C81" w:rsidRPr="00501C8D">
                    <w:rPr>
                      <w:rFonts w:ascii="TimesNewRoman" w:hAnsi="TimesNewRoman" w:cs="TimesNewRoman"/>
                      <w:color w:val="FF0000"/>
                      <w:sz w:val="20"/>
                      <w:lang w:val="en-US"/>
                    </w:rPr>
                    <w:t>)</w:t>
                  </w:r>
                </w:p>
                <w:p w:rsidR="000E5C81" w:rsidRDefault="000E5C81" w:rsidP="000E5C81">
                  <w:pPr>
                    <w:autoSpaceDE w:val="0"/>
                    <w:autoSpaceDN w:val="0"/>
                    <w:adjustRightInd w:val="0"/>
                    <w:spacing w:after="120"/>
                    <w:ind w:left="1080" w:hanging="270"/>
                    <w:rPr>
                      <w:rFonts w:ascii="TimesNewRoman" w:hAnsi="TimesNewRoman" w:cs="TimesNewRoman"/>
                      <w:color w:val="218B21"/>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r w:rsidRPr="000E5C81">
                    <w:rPr>
                      <w:rFonts w:ascii="TimesNewRoman" w:hAnsi="TimesNewRoman" w:cs="TimesNewRoman"/>
                      <w:color w:val="218B21"/>
                      <w:sz w:val="20"/>
                      <w:lang w:val="en-US"/>
                    </w:rPr>
                    <w:t xml:space="preserve"> </w:t>
                  </w:r>
                </w:p>
                <w:p w:rsidR="000E5C81" w:rsidRPr="00DF4650" w:rsidRDefault="000E5C81" w:rsidP="000E5C81">
                  <w:pPr>
                    <w:autoSpaceDE w:val="0"/>
                    <w:autoSpaceDN w:val="0"/>
                    <w:adjustRightInd w:val="0"/>
                    <w:spacing w:after="120"/>
                    <w:ind w:left="1080" w:hanging="270"/>
                    <w:rPr>
                      <w:rFonts w:ascii="TimesNewRoman" w:hAnsi="TimesNewRoman" w:cs="TimesNewRoman"/>
                      <w:color w:val="00B050"/>
                      <w:sz w:val="20"/>
                      <w:lang w:val="en-US"/>
                    </w:rPr>
                  </w:pPr>
                  <w:r>
                    <w:rPr>
                      <w:rFonts w:ascii="TimesNewRoman" w:hAnsi="TimesNewRoman" w:cs="TimesNewRoman"/>
                      <w:color w:val="000000"/>
                      <w:sz w:val="20"/>
                      <w:lang w:val="en-US"/>
                    </w:rPr>
                    <w:t>2) Process any received Beacons, measurement pilots and FILS Discovery frames if dot11FILSActivated is true in the STA;</w:t>
                  </w:r>
                  <w:r w:rsidRPr="000E5C81">
                    <w:rPr>
                      <w:rFonts w:ascii="TimesNewRoman" w:hAnsi="TimesNewRoman" w:cs="TimesNewRoman"/>
                      <w:color w:val="00B050"/>
                      <w:sz w:val="20"/>
                      <w:lang w:val="en-US"/>
                    </w:rPr>
                    <w:t xml:space="preserve"> </w:t>
                  </w:r>
                </w:p>
                <w:p w:rsidR="000E5C81" w:rsidRPr="00DF4650" w:rsidRDefault="000E5C81" w:rsidP="000E5C81">
                  <w:pPr>
                    <w:autoSpaceDE w:val="0"/>
                    <w:autoSpaceDN w:val="0"/>
                    <w:adjustRightInd w:val="0"/>
                    <w:spacing w:after="120"/>
                    <w:ind w:left="1080" w:hanging="270"/>
                    <w:rPr>
                      <w:rFonts w:ascii="TimesNewRoman" w:hAnsi="TimesNewRoman" w:cs="TimesNewRoman"/>
                      <w:color w:val="00B050"/>
                      <w:sz w:val="20"/>
                      <w:lang w:val="en-US"/>
                    </w:rPr>
                  </w:pPr>
                  <w:r>
                    <w:rPr>
                      <w:rFonts w:ascii="TimesNewRoman" w:hAnsi="TimesNewRoman" w:cs="TimesNewRoman"/>
                      <w:color w:val="000000"/>
                      <w:sz w:val="20"/>
                      <w:lang w:val="en-US"/>
                    </w:rPr>
                    <w:t>3) If dot11FILSActivated is true in the STA, ReportingOption is IMMEDIATE, and new AP or new information of the AP is detected, issue MLME-SCAN.confirm primitive with the Result- Code equal to INTERMEDIATE_SCAN_RESULT and the BSSDescriptionSet containing information of the detected AP;</w:t>
                  </w:r>
                  <w:r w:rsidRPr="000E5C81">
                    <w:rPr>
                      <w:rFonts w:ascii="TimesNewRoman" w:hAnsi="TimesNewRoman" w:cs="TimesNewRoman"/>
                      <w:color w:val="00B050"/>
                      <w:sz w:val="20"/>
                      <w:lang w:val="en-US"/>
                    </w:rPr>
                    <w:t xml:space="preserve"> </w:t>
                  </w:r>
                </w:p>
                <w:p w:rsidR="000E5C81" w:rsidRPr="00DF4650" w:rsidRDefault="000E5C81" w:rsidP="000E5C81">
                  <w:pPr>
                    <w:autoSpaceDE w:val="0"/>
                    <w:autoSpaceDN w:val="0"/>
                    <w:adjustRightInd w:val="0"/>
                    <w:spacing w:after="120"/>
                    <w:ind w:left="1080" w:hanging="270"/>
                    <w:rPr>
                      <w:rFonts w:ascii="TimesNewRoman" w:hAnsi="TimesNewRoman" w:cs="TimesNewRoman"/>
                      <w:color w:val="00B050"/>
                      <w:sz w:val="20"/>
                      <w:lang w:val="en-US"/>
                    </w:rPr>
                  </w:pPr>
                  <w:r>
                    <w:rPr>
                      <w:rFonts w:ascii="TimesNewRoman" w:hAnsi="TimesNewRoman" w:cs="TimesNewRoman"/>
                      <w:color w:val="000000"/>
                      <w:sz w:val="20"/>
                      <w:lang w:val="en-US"/>
                    </w:rPr>
                    <w:t>4) If dot11FILSActivated is true and the ReportingOption is CHANNEL_SPECIFIC, issue at the time when the Probe Timer reaches the MaxChannelTime an MLME-SCAN.confirm primitive, with the ResultCode equal to INTERMEDIATE_SCAN_RESULT and the BSSDescriptionSet containing information of all APs that have been discovered from the scanned channel.</w:t>
                  </w:r>
                  <w:r w:rsidRPr="000E5C81">
                    <w:rPr>
                      <w:rFonts w:ascii="TimesNewRoman" w:hAnsi="TimesNewRoman" w:cs="TimesNewRoman"/>
                      <w:color w:val="00B050"/>
                      <w:sz w:val="20"/>
                      <w:lang w:val="en-US"/>
                    </w:rPr>
                    <w:t xml:space="preserve"> </w:t>
                  </w:r>
                </w:p>
                <w:p w:rsidR="000E5C81" w:rsidRPr="005C00EF" w:rsidRDefault="000E5C81" w:rsidP="000E5C81">
                  <w:pPr>
                    <w:autoSpaceDE w:val="0"/>
                    <w:autoSpaceDN w:val="0"/>
                    <w:adjustRightInd w:val="0"/>
                    <w:spacing w:after="120"/>
                    <w:ind w:left="270"/>
                    <w:rPr>
                      <w:rFonts w:ascii="TimesNewRoman" w:hAnsi="TimesNewRoman" w:cs="TimesNewRoman"/>
                      <w:color w:val="00B050"/>
                      <w:sz w:val="20"/>
                      <w:lang w:val="en-US"/>
                    </w:rPr>
                  </w:pPr>
                  <w:r>
                    <w:rPr>
                      <w:rFonts w:ascii="TimesNewRoman" w:hAnsi="TimesNewRoman" w:cs="TimesNewRoman"/>
                      <w:color w:val="000000"/>
                      <w:sz w:val="20"/>
                      <w:lang w:val="en-US"/>
                    </w:rPr>
                    <w:t xml:space="preserve">f) Set </w:t>
                  </w:r>
                  <w:r w:rsidR="004309F0" w:rsidRPr="004309F0">
                    <w:rPr>
                      <w:rFonts w:ascii="TimesNewRoman" w:hAnsi="TimesNewRoman" w:cs="TimesNewRoman"/>
                      <w:color w:val="000000"/>
                      <w:sz w:val="20"/>
                      <w:u w:val="single"/>
                      <w:lang w:val="en-US"/>
                    </w:rPr>
                    <w:t>the</w:t>
                  </w:r>
                  <w:r w:rsidR="004309F0">
                    <w:rPr>
                      <w:rFonts w:ascii="TimesNewRoman" w:hAnsi="TimesNewRoman" w:cs="TimesNewRoman"/>
                      <w:color w:val="000000"/>
                      <w:sz w:val="20"/>
                      <w:lang w:val="en-US"/>
                    </w:rPr>
                    <w:t xml:space="preserve"> </w:t>
                  </w:r>
                  <w:r>
                    <w:rPr>
                      <w:rFonts w:ascii="TimesNewRoman" w:hAnsi="TimesNewRoman" w:cs="TimesNewRoman"/>
                      <w:color w:val="000000"/>
                      <w:sz w:val="20"/>
                      <w:lang w:val="en-US"/>
                    </w:rPr>
                    <w:t>NAV to 0 and scan the next channel</w:t>
                  </w:r>
                  <w:r w:rsidRPr="000E5C81">
                    <w:rPr>
                      <w:rFonts w:ascii="TimesNewRoman" w:hAnsi="TimesNewRoman" w:cs="TimesNewRoman"/>
                      <w:color w:val="00B050"/>
                      <w:sz w:val="20"/>
                      <w:lang w:val="en-US"/>
                    </w:rPr>
                    <w:t xml:space="preserve"> </w:t>
                  </w:r>
                </w:p>
                <w:p w:rsidR="00D671A1" w:rsidRDefault="00D671A1" w:rsidP="00D671A1">
                  <w:pPr>
                    <w:autoSpaceDE w:val="0"/>
                    <w:autoSpaceDN w:val="0"/>
                    <w:adjustRightInd w:val="0"/>
                  </w:pPr>
                </w:p>
              </w:txbxContent>
            </v:textbox>
          </v:shape>
        </w:pict>
      </w:r>
    </w:p>
    <w:p w:rsidR="00D671A1" w:rsidRDefault="00D671A1"/>
    <w:p w:rsidR="00D671A1" w:rsidRDefault="00D671A1"/>
    <w:p w:rsidR="00D671A1" w:rsidRDefault="00D671A1"/>
    <w:p w:rsidR="00D671A1" w:rsidRDefault="00D671A1"/>
    <w:p w:rsidR="00D671A1" w:rsidRDefault="00D671A1"/>
    <w:p w:rsidR="00D671A1" w:rsidRDefault="00D671A1"/>
    <w:p w:rsidR="00D671A1" w:rsidRDefault="00D671A1"/>
    <w:p w:rsidR="00CA09B2" w:rsidRDefault="00CA09B2"/>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p w:rsidR="004309F0" w:rsidRDefault="004309F0" w:rsidP="004309F0">
      <w:r>
        <w:t xml:space="preserve">RECOMMENDATION: </w:t>
      </w:r>
      <w:r>
        <w:br/>
        <w:t>1. Accept insertion of 11ad items "c", "d", "e", and "f" where shown without changes to them.</w:t>
      </w:r>
    </w:p>
    <w:p w:rsidR="004309F0" w:rsidRDefault="004309F0" w:rsidP="004309F0">
      <w:r>
        <w:t>1. Accept the 11ai version of item "g"</w:t>
      </w:r>
      <w:r w:rsidR="00AE2EA1">
        <w:t xml:space="preserve"> (represents a change to the 11ad version)</w:t>
      </w:r>
      <w:r>
        <w:t>.</w:t>
      </w:r>
    </w:p>
    <w:p w:rsidR="004309F0" w:rsidRDefault="004309F0" w:rsidP="004309F0">
      <w:r>
        <w:t xml:space="preserve">3. Obtain group input and acceptance of proper resolution to item "h". </w:t>
      </w:r>
    </w:p>
    <w:p w:rsidR="008720CB" w:rsidRDefault="008720CB" w:rsidP="004309F0"/>
    <w:p w:rsidR="008720CB" w:rsidRDefault="008720CB" w:rsidP="008720CB"/>
    <w:p w:rsidR="008720CB" w:rsidRDefault="008720CB" w:rsidP="008720CB">
      <w:pPr>
        <w:rPr>
          <w:b/>
          <w:sz w:val="28"/>
          <w:szCs w:val="28"/>
        </w:rPr>
      </w:pPr>
      <w:r w:rsidRPr="00AA2D2B">
        <w:rPr>
          <w:b/>
          <w:sz w:val="28"/>
          <w:szCs w:val="28"/>
        </w:rPr>
        <w:t xml:space="preserve">Motion </w:t>
      </w:r>
      <w:r w:rsidR="00AE2EA1">
        <w:rPr>
          <w:b/>
          <w:sz w:val="28"/>
          <w:szCs w:val="28"/>
        </w:rPr>
        <w:t xml:space="preserve">1 </w:t>
      </w:r>
      <w:r w:rsidRPr="00AA2D2B">
        <w:rPr>
          <w:b/>
          <w:sz w:val="28"/>
          <w:szCs w:val="28"/>
        </w:rPr>
        <w:t xml:space="preserve">(can be agreement by unanimous consent): Agree </w:t>
      </w:r>
      <w:r>
        <w:rPr>
          <w:b/>
          <w:sz w:val="28"/>
          <w:szCs w:val="28"/>
        </w:rPr>
        <w:t xml:space="preserve">that </w:t>
      </w:r>
      <w:r w:rsidR="00AE2EA1">
        <w:rPr>
          <w:b/>
          <w:sz w:val="28"/>
          <w:szCs w:val="28"/>
        </w:rPr>
        <w:t xml:space="preserve">inserting the 11ad items "c", "d", "e", and "f" can be inserted where shown above and </w:t>
      </w:r>
      <w:r>
        <w:rPr>
          <w:b/>
          <w:sz w:val="28"/>
          <w:szCs w:val="28"/>
        </w:rPr>
        <w:t xml:space="preserve"> </w:t>
      </w:r>
      <w:r w:rsidR="00AE2EA1">
        <w:rPr>
          <w:b/>
          <w:sz w:val="28"/>
          <w:szCs w:val="28"/>
        </w:rPr>
        <w:t>are</w:t>
      </w:r>
      <w:r>
        <w:rPr>
          <w:b/>
          <w:sz w:val="28"/>
          <w:szCs w:val="28"/>
        </w:rPr>
        <w:t xml:space="preserve"> an editorial change and not technical</w:t>
      </w:r>
      <w:r w:rsidRPr="00AA2D2B">
        <w:rPr>
          <w:b/>
          <w:sz w:val="28"/>
          <w:szCs w:val="28"/>
        </w:rPr>
        <w:t xml:space="preserve">. </w:t>
      </w:r>
    </w:p>
    <w:p w:rsidR="00AE2EA1" w:rsidRDefault="00AE2EA1" w:rsidP="008720CB">
      <w:pPr>
        <w:rPr>
          <w:b/>
          <w:sz w:val="28"/>
          <w:szCs w:val="28"/>
        </w:rPr>
      </w:pPr>
      <w:r w:rsidRPr="00AA2D2B">
        <w:rPr>
          <w:b/>
          <w:sz w:val="28"/>
          <w:szCs w:val="28"/>
        </w:rPr>
        <w:t xml:space="preserve">Motion </w:t>
      </w:r>
      <w:r>
        <w:rPr>
          <w:b/>
          <w:sz w:val="28"/>
          <w:szCs w:val="28"/>
        </w:rPr>
        <w:t xml:space="preserve">2 </w:t>
      </w:r>
      <w:r w:rsidRPr="00AA2D2B">
        <w:rPr>
          <w:b/>
          <w:sz w:val="28"/>
          <w:szCs w:val="28"/>
        </w:rPr>
        <w:t xml:space="preserve">(can be agreement by unanimous consent): Agree </w:t>
      </w:r>
      <w:r>
        <w:rPr>
          <w:b/>
          <w:sz w:val="28"/>
          <w:szCs w:val="28"/>
        </w:rPr>
        <w:t>that the 11ai version of "g" is what is desired (represents a change to 11ad).</w:t>
      </w:r>
    </w:p>
    <w:p w:rsidR="00AE2EA1" w:rsidRPr="00AA2D2B" w:rsidRDefault="00AE2EA1" w:rsidP="008720CB">
      <w:pPr>
        <w:rPr>
          <w:b/>
          <w:sz w:val="28"/>
          <w:szCs w:val="28"/>
        </w:rPr>
      </w:pPr>
      <w:r w:rsidRPr="00AA2D2B">
        <w:rPr>
          <w:b/>
          <w:sz w:val="28"/>
          <w:szCs w:val="28"/>
        </w:rPr>
        <w:t xml:space="preserve">Motion </w:t>
      </w:r>
      <w:r>
        <w:rPr>
          <w:b/>
          <w:sz w:val="28"/>
          <w:szCs w:val="28"/>
        </w:rPr>
        <w:t xml:space="preserve">3 </w:t>
      </w:r>
      <w:r w:rsidRPr="00AA2D2B">
        <w:rPr>
          <w:b/>
          <w:sz w:val="28"/>
          <w:szCs w:val="28"/>
        </w:rPr>
        <w:t xml:space="preserve">(can be agreement by unanimous consent): Agree </w:t>
      </w:r>
      <w:r>
        <w:rPr>
          <w:b/>
          <w:sz w:val="28"/>
          <w:szCs w:val="28"/>
        </w:rPr>
        <w:t>that the 11ad version of "h" is what is desired (represents a change to 11ai).</w:t>
      </w:r>
    </w:p>
    <w:p w:rsidR="008720CB" w:rsidRDefault="008720CB" w:rsidP="00AE2EA1">
      <w:pPr>
        <w:jc w:val="center"/>
      </w:pPr>
    </w:p>
    <w:p w:rsidR="008720CB" w:rsidRDefault="008720CB" w:rsidP="004309F0"/>
    <w:p w:rsidR="008720CB" w:rsidRDefault="008720CB" w:rsidP="004309F0">
      <w:r>
        <w:br w:type="page"/>
      </w:r>
    </w:p>
    <w:p w:rsidR="004309F0" w:rsidRDefault="005A5184" w:rsidP="004309F0">
      <w:r>
        <w:rPr>
          <w:noProof/>
          <w:lang w:val="en-US"/>
        </w:rPr>
        <w:pict>
          <v:shape id="_x0000_s1039" type="#_x0000_t32" style="position:absolute;margin-left:-2.5pt;margin-top:12.15pt;width:460.8pt;height:0;z-index:7" o:connectortype="straight" strokeweight="3pt"/>
        </w:pict>
      </w:r>
    </w:p>
    <w:p w:rsidR="004309F0" w:rsidRDefault="004309F0" w:rsidP="004309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0151CC" w:rsidTr="00DB1DB8">
        <w:tc>
          <w:tcPr>
            <w:tcW w:w="738" w:type="dxa"/>
            <w:tcBorders>
              <w:top w:val="single" w:sz="8" w:space="0" w:color="auto"/>
              <w:left w:val="single" w:sz="8" w:space="0" w:color="auto"/>
              <w:bottom w:val="single" w:sz="8" w:space="0" w:color="auto"/>
              <w:right w:val="single" w:sz="8" w:space="0" w:color="auto"/>
            </w:tcBorders>
          </w:tcPr>
          <w:p w:rsidR="000151CC" w:rsidRPr="00897AAC" w:rsidRDefault="000151CC"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0151CC" w:rsidRPr="00897AAC" w:rsidRDefault="000151CC" w:rsidP="00DB1DB8">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0151CC" w:rsidRPr="00897AAC" w:rsidRDefault="000151CC" w:rsidP="00DB1DB8">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0151CC" w:rsidRPr="00897AAC" w:rsidRDefault="000151CC"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0151CC" w:rsidRPr="00897AAC" w:rsidRDefault="000151CC" w:rsidP="00DB1DB8">
            <w:pPr>
              <w:jc w:val="center"/>
              <w:rPr>
                <w:b/>
              </w:rPr>
            </w:pPr>
            <w:r w:rsidRPr="00897AAC">
              <w:rPr>
                <w:b/>
              </w:rPr>
              <w:t>Issue</w:t>
            </w:r>
          </w:p>
        </w:tc>
      </w:tr>
      <w:tr w:rsidR="000151CC" w:rsidTr="00DB1DB8">
        <w:tc>
          <w:tcPr>
            <w:tcW w:w="738" w:type="dxa"/>
            <w:tcBorders>
              <w:top w:val="single" w:sz="8" w:space="0" w:color="auto"/>
            </w:tcBorders>
          </w:tcPr>
          <w:p w:rsidR="000151CC" w:rsidRDefault="000151CC" w:rsidP="00DB1DB8">
            <w:r>
              <w:t>2789, 3310, 2615, 2063</w:t>
            </w:r>
          </w:p>
        </w:tc>
        <w:tc>
          <w:tcPr>
            <w:tcW w:w="1170" w:type="dxa"/>
            <w:tcBorders>
              <w:top w:val="single" w:sz="8" w:space="0" w:color="auto"/>
            </w:tcBorders>
          </w:tcPr>
          <w:p w:rsidR="000151CC" w:rsidRDefault="000151CC" w:rsidP="00DB1DB8"/>
        </w:tc>
        <w:tc>
          <w:tcPr>
            <w:tcW w:w="1800" w:type="dxa"/>
            <w:tcBorders>
              <w:top w:val="single" w:sz="8" w:space="0" w:color="auto"/>
            </w:tcBorders>
          </w:tcPr>
          <w:p w:rsidR="000151CC" w:rsidRDefault="000151CC" w:rsidP="00DB1DB8">
            <w:r>
              <w:t>11ad and other amendments no fully incorporated</w:t>
            </w:r>
          </w:p>
        </w:tc>
        <w:tc>
          <w:tcPr>
            <w:tcW w:w="2430" w:type="dxa"/>
            <w:tcBorders>
              <w:top w:val="single" w:sz="8" w:space="0" w:color="auto"/>
            </w:tcBorders>
          </w:tcPr>
          <w:p w:rsidR="000151CC" w:rsidRDefault="000151CC" w:rsidP="00DB1DB8">
            <w:r>
              <w:t>Update to include all appropriate base and amendment docs</w:t>
            </w:r>
          </w:p>
        </w:tc>
        <w:tc>
          <w:tcPr>
            <w:tcW w:w="3240" w:type="dxa"/>
            <w:tcBorders>
              <w:top w:val="single" w:sz="8" w:space="0" w:color="auto"/>
            </w:tcBorders>
          </w:tcPr>
          <w:p w:rsidR="000151CC" w:rsidRDefault="000151CC" w:rsidP="00DB1DB8">
            <w:r>
              <w:t>There are two parts to this, the purely editorial and the technical. The editorial is being done, but there are instances where it is not clear if there is a technical impact.</w:t>
            </w:r>
          </w:p>
        </w:tc>
      </w:tr>
    </w:tbl>
    <w:p w:rsidR="004309F0" w:rsidRDefault="004309F0"/>
    <w:p w:rsidR="000151CC" w:rsidRDefault="000151CC"/>
    <w:p w:rsidR="000151CC" w:rsidRDefault="000151CC"/>
    <w:p w:rsidR="000151CC" w:rsidRDefault="000151CC" w:rsidP="000151CC">
      <w:r>
        <w:t>From 11ai, D1.1 (our next draft) Clause 10.3.1:</w:t>
      </w:r>
    </w:p>
    <w:p w:rsidR="000151CC" w:rsidRDefault="005A5184">
      <w:r>
        <w:rPr>
          <w:noProof/>
          <w:lang w:val="en-US"/>
        </w:rPr>
        <w:pict>
          <v:shape id="_x0000_s1040" type="#_x0000_t202" style="position:absolute;margin-left:-5.45pt;margin-top:2.4pt;width:462.55pt;height:226.8pt;z-index:8;mso-width-relative:margin;mso-height-relative:margin">
            <v:textbox style="mso-next-textbox:#_x0000_s1040">
              <w:txbxContent>
                <w:p w:rsidR="000151CC" w:rsidRDefault="000151CC" w:rsidP="000151CC">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0"/>
                      <w:szCs w:val="20"/>
                    </w:rPr>
                  </w:pPr>
                  <w:r>
                    <w:rPr>
                      <w:b w:val="0"/>
                      <w:bCs w:val="0"/>
                      <w:w w:val="100"/>
                      <w:sz w:val="20"/>
                      <w:szCs w:val="20"/>
                    </w:rPr>
                    <w:t>For non-mesh STAs, this state variable expresses the relationship between the local STA and the remote STA. It takes on the following values:</w:t>
                  </w:r>
                </w:p>
                <w:p w:rsidR="000151CC" w:rsidRDefault="000151CC" w:rsidP="000151CC">
                  <w:pPr>
                    <w:pStyle w:val="HeadingRunIn"/>
                    <w:keepNext w:val="0"/>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rPr>
                  </w:pPr>
                  <w:r>
                    <w:rPr>
                      <w:b w:val="0"/>
                      <w:bCs w:val="0"/>
                      <w:w w:val="100"/>
                      <w:sz w:val="20"/>
                      <w:szCs w:val="20"/>
                    </w:rPr>
                    <w:t xml:space="preserve">State 1: Initial start state, </w:t>
                  </w:r>
                  <w:r w:rsidRPr="000151CC">
                    <w:rPr>
                      <w:b w:val="0"/>
                      <w:bCs w:val="0"/>
                      <w:w w:val="100"/>
                      <w:sz w:val="20"/>
                      <w:szCs w:val="20"/>
                      <w:u w:val="single"/>
                    </w:rPr>
                    <w:t>for non-DMG STAs.</w:t>
                  </w:r>
                  <w:r>
                    <w:rPr>
                      <w:b w:val="0"/>
                      <w:bCs w:val="0"/>
                      <w:w w:val="100"/>
                      <w:sz w:val="20"/>
                      <w:szCs w:val="20"/>
                    </w:rPr>
                    <w:t xml:space="preserve"> </w:t>
                  </w:r>
                  <w:r w:rsidRPr="000151CC">
                    <w:rPr>
                      <w:b w:val="0"/>
                      <w:bCs w:val="0"/>
                      <w:w w:val="100"/>
                      <w:sz w:val="20"/>
                      <w:szCs w:val="20"/>
                      <w:u w:val="single"/>
                    </w:rPr>
                    <w:t>U</w:t>
                  </w:r>
                  <w:r w:rsidRPr="000151CC">
                    <w:rPr>
                      <w:b w:val="0"/>
                      <w:bCs w:val="0"/>
                      <w:strike/>
                      <w:w w:val="100"/>
                      <w:sz w:val="20"/>
                      <w:szCs w:val="20"/>
                    </w:rPr>
                    <w:t>u</w:t>
                  </w:r>
                  <w:r>
                    <w:rPr>
                      <w:b w:val="0"/>
                      <w:bCs w:val="0"/>
                      <w:w w:val="100"/>
                      <w:sz w:val="20"/>
                      <w:szCs w:val="20"/>
                    </w:rPr>
                    <w:t xml:space="preserve">nauthenticated, unassociated. </w:t>
                  </w:r>
                  <w:r w:rsidRPr="000151CC">
                    <w:rPr>
                      <w:b w:val="0"/>
                      <w:bCs w:val="0"/>
                      <w:w w:val="100"/>
                      <w:sz w:val="20"/>
                      <w:szCs w:val="20"/>
                      <w:u w:val="single"/>
                    </w:rPr>
                    <w:t>State 1 is not used by DMG STAs.</w:t>
                  </w:r>
                </w:p>
                <w:p w:rsidR="000151CC" w:rsidRDefault="000151CC" w:rsidP="000151CC">
                  <w:pPr>
                    <w:pStyle w:val="HeadingRunIn"/>
                    <w:keepNext w:val="0"/>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rPr>
                  </w:pPr>
                  <w:r>
                    <w:rPr>
                      <w:b w:val="0"/>
                      <w:bCs w:val="0"/>
                      <w:w w:val="100"/>
                      <w:sz w:val="20"/>
                      <w:szCs w:val="20"/>
                    </w:rPr>
                    <w:t xml:space="preserve">State 2: </w:t>
                  </w:r>
                  <w:r w:rsidRPr="000151CC">
                    <w:rPr>
                      <w:b w:val="0"/>
                      <w:bCs w:val="0"/>
                      <w:w w:val="100"/>
                      <w:sz w:val="20"/>
                      <w:szCs w:val="20"/>
                      <w:u w:val="single"/>
                    </w:rPr>
                    <w:t>Initial start state for DMG STAs.</w:t>
                  </w:r>
                  <w:r>
                    <w:rPr>
                      <w:b w:val="0"/>
                      <w:bCs w:val="0"/>
                      <w:w w:val="100"/>
                      <w:sz w:val="20"/>
                      <w:szCs w:val="20"/>
                    </w:rPr>
                    <w:t xml:space="preserve"> ,Authenticated </w:t>
                  </w:r>
                  <w:r w:rsidRPr="000151CC">
                    <w:rPr>
                      <w:b w:val="0"/>
                      <w:bCs w:val="0"/>
                      <w:w w:val="100"/>
                      <w:sz w:val="20"/>
                      <w:szCs w:val="20"/>
                      <w:u w:val="single"/>
                    </w:rPr>
                    <w:t>(non-DMG STAs only),</w:t>
                  </w:r>
                  <w:r>
                    <w:rPr>
                      <w:b w:val="0"/>
                      <w:bCs w:val="0"/>
                      <w:w w:val="100"/>
                      <w:sz w:val="20"/>
                      <w:szCs w:val="20"/>
                    </w:rPr>
                    <w:t xml:space="preserve"> not associated.</w:t>
                  </w:r>
                </w:p>
                <w:p w:rsidR="000151CC" w:rsidRDefault="000151CC" w:rsidP="000151CC">
                  <w:pPr>
                    <w:pStyle w:val="HeadingRunIn"/>
                    <w:keepNext w:val="0"/>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rPr>
                  </w:pPr>
                  <w:r>
                    <w:rPr>
                      <w:b w:val="0"/>
                      <w:bCs w:val="0"/>
                      <w:w w:val="100"/>
                      <w:sz w:val="20"/>
                      <w:szCs w:val="20"/>
                    </w:rPr>
                    <w:t xml:space="preserve">State 3: Authenticated </w:t>
                  </w:r>
                  <w:r w:rsidRPr="000151CC">
                    <w:rPr>
                      <w:b w:val="0"/>
                      <w:bCs w:val="0"/>
                      <w:w w:val="100"/>
                      <w:sz w:val="20"/>
                      <w:szCs w:val="20"/>
                      <w:u w:val="single"/>
                    </w:rPr>
                    <w:t>(non-DMG STAs only)</w:t>
                  </w:r>
                  <w:r>
                    <w:rPr>
                      <w:b w:val="0"/>
                      <w:bCs w:val="0"/>
                      <w:w w:val="100"/>
                      <w:sz w:val="20"/>
                      <w:szCs w:val="20"/>
                    </w:rPr>
                    <w:t xml:space="preserve"> and associated (Pending RSN Authentication).</w:t>
                  </w:r>
                </w:p>
                <w:p w:rsidR="000151CC" w:rsidRDefault="000151CC" w:rsidP="000151CC">
                  <w:pPr>
                    <w:pStyle w:val="HeadingRunIn"/>
                    <w:keepNext w:val="0"/>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rPr>
                  </w:pPr>
                  <w:r>
                    <w:rPr>
                      <w:b w:val="0"/>
                      <w:bCs w:val="0"/>
                      <w:w w:val="100"/>
                      <w:sz w:val="20"/>
                      <w:szCs w:val="20"/>
                    </w:rPr>
                    <w:t xml:space="preserve">State 4: </w:t>
                  </w:r>
                  <w:r w:rsidRPr="000151CC">
                    <w:rPr>
                      <w:b w:val="0"/>
                      <w:bCs w:val="0"/>
                      <w:w w:val="100"/>
                      <w:sz w:val="20"/>
                      <w:szCs w:val="20"/>
                      <w:u w:val="single"/>
                    </w:rPr>
                    <w:t>For Infrastructure BSS and PBSS only, RSNA Established or Not Required</w:t>
                  </w:r>
                  <w:r>
                    <w:rPr>
                      <w:b w:val="0"/>
                      <w:bCs w:val="0"/>
                      <w:w w:val="100"/>
                      <w:sz w:val="20"/>
                      <w:szCs w:val="20"/>
                    </w:rPr>
                    <w:t xml:space="preserve">. </w:t>
                  </w:r>
                  <w:r w:rsidRPr="000151CC">
                    <w:rPr>
                      <w:b w:val="0"/>
                      <w:bCs w:val="0"/>
                      <w:strike/>
                      <w:color w:val="FF0000"/>
                      <w:w w:val="100"/>
                      <w:sz w:val="20"/>
                      <w:szCs w:val="20"/>
                    </w:rPr>
                    <w:t>Authenticated and associated.</w:t>
                  </w:r>
                </w:p>
                <w:p w:rsidR="000151CC" w:rsidRPr="000151CC" w:rsidRDefault="000151CC" w:rsidP="000151CC">
                  <w:pPr>
                    <w:pStyle w:val="HeadingRunIn"/>
                    <w:keepNext w:val="0"/>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u w:val="single"/>
                    </w:rPr>
                  </w:pPr>
                  <w:r w:rsidRPr="000151CC">
                    <w:rPr>
                      <w:b w:val="0"/>
                      <w:bCs w:val="0"/>
                      <w:w w:val="100"/>
                      <w:sz w:val="20"/>
                      <w:szCs w:val="20"/>
                      <w:u w:val="single"/>
                    </w:rPr>
                    <w:t xml:space="preserve">State 5: FILS authenticated and unassociated. State 5 is designed for the FILS authentication and FILS association protocol  </w:t>
                  </w:r>
                </w:p>
                <w:p w:rsidR="000151CC" w:rsidRPr="000151CC" w:rsidRDefault="000151CC" w:rsidP="000151CC">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0"/>
                      <w:szCs w:val="20"/>
                      <w:u w:val="single"/>
                    </w:rPr>
                  </w:pPr>
                  <w:r w:rsidRPr="000151CC">
                    <w:rPr>
                      <w:b w:val="0"/>
                      <w:bCs w:val="0"/>
                      <w:w w:val="100"/>
                      <w:sz w:val="20"/>
                      <w:szCs w:val="20"/>
                      <w:u w:val="single"/>
                    </w:rPr>
                    <w:t xml:space="preserve">State 1 is not used by DMG STAs, and the state machine starts in State 2. </w:t>
                  </w:r>
                </w:p>
                <w:p w:rsidR="000151CC" w:rsidRDefault="000151CC" w:rsidP="000151CC">
                  <w:pPr>
                    <w:pStyle w:val="Body"/>
                    <w:widowControl w:val="0"/>
                    <w:rPr>
                      <w:w w:val="100"/>
                    </w:rPr>
                  </w:pPr>
                </w:p>
                <w:p w:rsidR="000151CC" w:rsidRPr="000151CC" w:rsidRDefault="000151CC" w:rsidP="000151CC"/>
              </w:txbxContent>
            </v:textbox>
          </v:shape>
        </w:pict>
      </w:r>
    </w:p>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p w:rsidR="000151CC" w:rsidRDefault="000151CC">
      <w:r>
        <w:t xml:space="preserve">ISSUE: 11ad deletion in State 4 </w:t>
      </w:r>
      <w:r w:rsidR="00B7015D">
        <w:t xml:space="preserve">(highlighted in red) </w:t>
      </w:r>
      <w:r>
        <w:t>may be an issue for 11ai. Is this OK to implement per 11ad?</w:t>
      </w:r>
    </w:p>
    <w:p w:rsidR="000151CC" w:rsidRDefault="000151CC"/>
    <w:p w:rsidR="008D5AFC" w:rsidRDefault="008D5AFC" w:rsidP="008D5AFC">
      <w:pPr>
        <w:rPr>
          <w:b/>
          <w:sz w:val="28"/>
          <w:szCs w:val="28"/>
        </w:rPr>
      </w:pPr>
      <w:r w:rsidRPr="00AA2D2B">
        <w:rPr>
          <w:b/>
          <w:sz w:val="28"/>
          <w:szCs w:val="28"/>
        </w:rPr>
        <w:t xml:space="preserve">Motion </w:t>
      </w:r>
      <w:r>
        <w:rPr>
          <w:b/>
          <w:sz w:val="28"/>
          <w:szCs w:val="28"/>
        </w:rPr>
        <w:t xml:space="preserve"> </w:t>
      </w:r>
      <w:r w:rsidRPr="00AA2D2B">
        <w:rPr>
          <w:b/>
          <w:sz w:val="28"/>
          <w:szCs w:val="28"/>
        </w:rPr>
        <w:t xml:space="preserve">(can be agreement by unanimous consent): Agree </w:t>
      </w:r>
      <w:r>
        <w:rPr>
          <w:b/>
          <w:sz w:val="28"/>
          <w:szCs w:val="28"/>
        </w:rPr>
        <w:t>that adapting the 11ad text as shown above and is an editorial change (can be implemented as shown) and not technical</w:t>
      </w:r>
      <w:r w:rsidRPr="00AA2D2B">
        <w:rPr>
          <w:b/>
          <w:sz w:val="28"/>
          <w:szCs w:val="28"/>
        </w:rPr>
        <w:t xml:space="preserve">. </w:t>
      </w:r>
    </w:p>
    <w:p w:rsidR="008D5AFC" w:rsidRDefault="008D5AFC" w:rsidP="008D5AFC">
      <w:pPr>
        <w:rPr>
          <w:b/>
          <w:sz w:val="28"/>
          <w:szCs w:val="28"/>
        </w:rPr>
      </w:pPr>
    </w:p>
    <w:p w:rsidR="008D5AFC" w:rsidRDefault="008D5AFC" w:rsidP="008D5AFC">
      <w:pPr>
        <w:rPr>
          <w:b/>
          <w:sz w:val="28"/>
          <w:szCs w:val="28"/>
        </w:rPr>
      </w:pPr>
      <w:r>
        <w:rPr>
          <w:b/>
          <w:sz w:val="28"/>
          <w:szCs w:val="28"/>
        </w:rPr>
        <w:br w:type="page"/>
      </w:r>
    </w:p>
    <w:p w:rsidR="008D5AFC" w:rsidRDefault="008D5AFC"/>
    <w:p w:rsidR="001A4033" w:rsidRDefault="001A4033"/>
    <w:p w:rsidR="001A4033" w:rsidRDefault="005A5184" w:rsidP="001A4033">
      <w:r>
        <w:rPr>
          <w:noProof/>
          <w:lang w:val="en-US"/>
        </w:rPr>
        <w:pict>
          <v:shape id="_x0000_s1041" type="#_x0000_t32" style="position:absolute;margin-left:-2.5pt;margin-top:12.15pt;width:460.8pt;height:0;z-index:9" o:connectortype="straight" strokeweight="3pt"/>
        </w:pict>
      </w:r>
    </w:p>
    <w:p w:rsidR="001A4033" w:rsidRDefault="001A4033" w:rsidP="001A4033"/>
    <w:p w:rsidR="001A4033" w:rsidRDefault="001A40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1A4033" w:rsidTr="00DB1DB8">
        <w:tc>
          <w:tcPr>
            <w:tcW w:w="738" w:type="dxa"/>
            <w:tcBorders>
              <w:top w:val="single" w:sz="8" w:space="0" w:color="auto"/>
              <w:left w:val="single" w:sz="8" w:space="0" w:color="auto"/>
              <w:bottom w:val="single" w:sz="8" w:space="0" w:color="auto"/>
              <w:right w:val="single" w:sz="8" w:space="0" w:color="auto"/>
            </w:tcBorders>
          </w:tcPr>
          <w:p w:rsidR="001A4033" w:rsidRPr="00897AAC" w:rsidRDefault="001A4033"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1A4033" w:rsidRPr="00897AAC" w:rsidRDefault="001A4033" w:rsidP="00DB1DB8">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1A4033" w:rsidRPr="00897AAC" w:rsidRDefault="001A4033" w:rsidP="00DB1DB8">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1A4033" w:rsidRPr="00897AAC" w:rsidRDefault="001A4033"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1A4033" w:rsidRPr="00897AAC" w:rsidRDefault="001A4033" w:rsidP="00DB1DB8">
            <w:pPr>
              <w:jc w:val="center"/>
              <w:rPr>
                <w:b/>
              </w:rPr>
            </w:pPr>
            <w:r w:rsidRPr="00897AAC">
              <w:rPr>
                <w:b/>
              </w:rPr>
              <w:t>Issue</w:t>
            </w:r>
          </w:p>
        </w:tc>
      </w:tr>
      <w:tr w:rsidR="001A4033" w:rsidTr="00DB1DB8">
        <w:tc>
          <w:tcPr>
            <w:tcW w:w="738" w:type="dxa"/>
            <w:tcBorders>
              <w:top w:val="single" w:sz="8" w:space="0" w:color="auto"/>
            </w:tcBorders>
          </w:tcPr>
          <w:p w:rsidR="001A4033" w:rsidRDefault="001A4033" w:rsidP="00DB1DB8">
            <w:r>
              <w:t>2809</w:t>
            </w:r>
          </w:p>
        </w:tc>
        <w:tc>
          <w:tcPr>
            <w:tcW w:w="1170" w:type="dxa"/>
            <w:tcBorders>
              <w:top w:val="single" w:sz="8" w:space="0" w:color="auto"/>
            </w:tcBorders>
          </w:tcPr>
          <w:p w:rsidR="001A4033" w:rsidRDefault="001A4033" w:rsidP="00DB1DB8">
            <w:r>
              <w:t>3.1/3/26</w:t>
            </w:r>
          </w:p>
        </w:tc>
        <w:tc>
          <w:tcPr>
            <w:tcW w:w="1800" w:type="dxa"/>
            <w:tcBorders>
              <w:top w:val="single" w:sz="8" w:space="0" w:color="auto"/>
            </w:tcBorders>
          </w:tcPr>
          <w:p w:rsidR="001A4033" w:rsidRDefault="001A4033" w:rsidP="00DB1DB8">
            <w:r w:rsidRPr="001A4033">
              <w:t xml:space="preserve">The term "FILS STA" are used multiple times in the 11ai draft spec. However, it is not defined in the </w:t>
            </w:r>
            <w:r w:rsidR="00F91DCD" w:rsidRPr="001A4033">
              <w:t>definition</w:t>
            </w:r>
            <w:r w:rsidRPr="001A4033">
              <w:t xml:space="preserve"> section, 3.1.</w:t>
            </w:r>
          </w:p>
        </w:tc>
        <w:tc>
          <w:tcPr>
            <w:tcW w:w="2430" w:type="dxa"/>
            <w:tcBorders>
              <w:top w:val="single" w:sz="8" w:space="0" w:color="auto"/>
            </w:tcBorders>
          </w:tcPr>
          <w:p w:rsidR="001A4033" w:rsidRDefault="001A4033" w:rsidP="001A4033">
            <w:r>
              <w:t>Add the following text of the "FILS STA" definition in line 26 page 3: Fast Initial Link Setup Station (FILS STA): A station (STA) that supports fast initial link setup (FILS).</w:t>
            </w:r>
          </w:p>
        </w:tc>
        <w:tc>
          <w:tcPr>
            <w:tcW w:w="3240" w:type="dxa"/>
            <w:tcBorders>
              <w:top w:val="single" w:sz="8" w:space="0" w:color="auto"/>
            </w:tcBorders>
          </w:tcPr>
          <w:p w:rsidR="001A4033" w:rsidRDefault="001A4033" w:rsidP="001A4033">
            <w:r>
              <w:t>The terms "FILS" and "STA" are both defined already. It would seem to be self evident that a "FILS STA" is a STA that supports FILS and thus does not require a unique definition.</w:t>
            </w:r>
          </w:p>
        </w:tc>
      </w:tr>
    </w:tbl>
    <w:p w:rsidR="001A4033" w:rsidRDefault="001A4033"/>
    <w:p w:rsidR="001A4033" w:rsidRDefault="001A4033">
      <w:r>
        <w:t>Recommendation: Reject this comment as such a definition is not necessary.</w:t>
      </w:r>
    </w:p>
    <w:p w:rsidR="005218CF" w:rsidRDefault="005218CF" w:rsidP="005218CF"/>
    <w:p w:rsidR="005218CF" w:rsidRDefault="005218CF" w:rsidP="005218CF"/>
    <w:p w:rsidR="008D5AFC" w:rsidRDefault="008D5AFC" w:rsidP="008D5AFC">
      <w:pPr>
        <w:rPr>
          <w:b/>
          <w:sz w:val="28"/>
          <w:szCs w:val="28"/>
        </w:rPr>
      </w:pPr>
      <w:r w:rsidRPr="00AA2D2B">
        <w:rPr>
          <w:b/>
          <w:sz w:val="28"/>
          <w:szCs w:val="28"/>
        </w:rPr>
        <w:t xml:space="preserve">Motion </w:t>
      </w:r>
      <w:r>
        <w:rPr>
          <w:b/>
          <w:sz w:val="28"/>
          <w:szCs w:val="28"/>
        </w:rPr>
        <w:t xml:space="preserve"> </w:t>
      </w:r>
      <w:r w:rsidRPr="00AA2D2B">
        <w:rPr>
          <w:b/>
          <w:sz w:val="28"/>
          <w:szCs w:val="28"/>
        </w:rPr>
        <w:t xml:space="preserve">(can be agreement by unanimous consent): Agree </w:t>
      </w:r>
      <w:r>
        <w:rPr>
          <w:b/>
          <w:sz w:val="28"/>
          <w:szCs w:val="28"/>
        </w:rPr>
        <w:t>that the independent definitions for FILS and STA are sufficient and a unique definition for the two used together is not necessary</w:t>
      </w:r>
      <w:r w:rsidRPr="00AA2D2B">
        <w:rPr>
          <w:b/>
          <w:sz w:val="28"/>
          <w:szCs w:val="28"/>
        </w:rPr>
        <w:t xml:space="preserve">. </w:t>
      </w:r>
    </w:p>
    <w:p w:rsidR="008D5AFC" w:rsidRDefault="008D5AFC" w:rsidP="008D5AFC">
      <w:pPr>
        <w:rPr>
          <w:b/>
          <w:sz w:val="28"/>
          <w:szCs w:val="28"/>
        </w:rPr>
      </w:pPr>
    </w:p>
    <w:p w:rsidR="005218CF" w:rsidRDefault="00FF47EA" w:rsidP="005218CF">
      <w:r>
        <w:br w:type="page"/>
      </w:r>
      <w:r w:rsidR="005A5184">
        <w:rPr>
          <w:noProof/>
          <w:lang w:val="en-US"/>
        </w:rPr>
        <w:lastRenderedPageBreak/>
        <w:pict>
          <v:shape id="_x0000_s1042" type="#_x0000_t32" style="position:absolute;margin-left:-2.5pt;margin-top:12.15pt;width:460.8pt;height:0;z-index:10" o:connectortype="straight" strokeweight="3pt"/>
        </w:pict>
      </w:r>
    </w:p>
    <w:p w:rsidR="005218CF" w:rsidRDefault="005218CF" w:rsidP="005218CF"/>
    <w:p w:rsidR="005218CF" w:rsidRDefault="005218CF" w:rsidP="005218C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2160"/>
        <w:gridCol w:w="2160"/>
        <w:gridCol w:w="3240"/>
      </w:tblGrid>
      <w:tr w:rsidR="005218CF" w:rsidTr="00FF47EA">
        <w:tc>
          <w:tcPr>
            <w:tcW w:w="738" w:type="dxa"/>
            <w:tcBorders>
              <w:top w:val="single" w:sz="8" w:space="0" w:color="auto"/>
              <w:left w:val="single" w:sz="8" w:space="0" w:color="auto"/>
              <w:bottom w:val="single" w:sz="8" w:space="0" w:color="auto"/>
              <w:right w:val="single" w:sz="8" w:space="0" w:color="auto"/>
            </w:tcBorders>
          </w:tcPr>
          <w:p w:rsidR="005218CF" w:rsidRPr="00897AAC" w:rsidRDefault="005218CF"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5218CF" w:rsidRPr="00897AAC" w:rsidRDefault="005218CF" w:rsidP="00DB1DB8">
            <w:pPr>
              <w:jc w:val="center"/>
              <w:rPr>
                <w:b/>
              </w:rPr>
            </w:pPr>
            <w:r w:rsidRPr="00897AAC">
              <w:rPr>
                <w:b/>
              </w:rPr>
              <w:t>Clause/</w:t>
            </w:r>
            <w:r w:rsidRPr="00897AAC">
              <w:rPr>
                <w:b/>
              </w:rPr>
              <w:br/>
              <w:t>Page/Line</w:t>
            </w:r>
          </w:p>
        </w:tc>
        <w:tc>
          <w:tcPr>
            <w:tcW w:w="2160" w:type="dxa"/>
            <w:tcBorders>
              <w:top w:val="single" w:sz="8" w:space="0" w:color="auto"/>
              <w:left w:val="single" w:sz="8" w:space="0" w:color="auto"/>
              <w:bottom w:val="single" w:sz="8" w:space="0" w:color="auto"/>
              <w:right w:val="single" w:sz="8" w:space="0" w:color="auto"/>
            </w:tcBorders>
          </w:tcPr>
          <w:p w:rsidR="005218CF" w:rsidRPr="00897AAC" w:rsidRDefault="005218CF" w:rsidP="00DB1DB8">
            <w:pPr>
              <w:jc w:val="center"/>
              <w:rPr>
                <w:b/>
              </w:rPr>
            </w:pPr>
            <w:r w:rsidRPr="00897AAC">
              <w:rPr>
                <w:b/>
              </w:rPr>
              <w:t>Comment</w:t>
            </w:r>
          </w:p>
        </w:tc>
        <w:tc>
          <w:tcPr>
            <w:tcW w:w="2160" w:type="dxa"/>
            <w:tcBorders>
              <w:top w:val="single" w:sz="8" w:space="0" w:color="auto"/>
              <w:left w:val="single" w:sz="8" w:space="0" w:color="auto"/>
              <w:bottom w:val="single" w:sz="8" w:space="0" w:color="auto"/>
              <w:right w:val="single" w:sz="8" w:space="0" w:color="auto"/>
            </w:tcBorders>
          </w:tcPr>
          <w:p w:rsidR="005218CF" w:rsidRPr="00897AAC" w:rsidRDefault="005218CF"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5218CF" w:rsidRPr="00897AAC" w:rsidRDefault="005218CF" w:rsidP="00DB1DB8">
            <w:pPr>
              <w:jc w:val="center"/>
              <w:rPr>
                <w:b/>
              </w:rPr>
            </w:pPr>
            <w:r w:rsidRPr="00897AAC">
              <w:rPr>
                <w:b/>
              </w:rPr>
              <w:t>Issue</w:t>
            </w:r>
          </w:p>
        </w:tc>
      </w:tr>
      <w:tr w:rsidR="005218CF" w:rsidTr="00FF47EA">
        <w:tc>
          <w:tcPr>
            <w:tcW w:w="738" w:type="dxa"/>
            <w:tcBorders>
              <w:top w:val="single" w:sz="8" w:space="0" w:color="auto"/>
              <w:bottom w:val="single" w:sz="8" w:space="0" w:color="auto"/>
            </w:tcBorders>
          </w:tcPr>
          <w:p w:rsidR="005218CF" w:rsidRDefault="005218CF" w:rsidP="00DB1DB8">
            <w:r>
              <w:t>2619</w:t>
            </w:r>
          </w:p>
        </w:tc>
        <w:tc>
          <w:tcPr>
            <w:tcW w:w="1170" w:type="dxa"/>
            <w:tcBorders>
              <w:top w:val="single" w:sz="8" w:space="0" w:color="auto"/>
              <w:bottom w:val="single" w:sz="8" w:space="0" w:color="auto"/>
            </w:tcBorders>
          </w:tcPr>
          <w:p w:rsidR="005218CF" w:rsidRDefault="005218CF" w:rsidP="005218CF">
            <w:r>
              <w:t>3.1/3/34</w:t>
            </w:r>
          </w:p>
        </w:tc>
        <w:tc>
          <w:tcPr>
            <w:tcW w:w="2160" w:type="dxa"/>
            <w:tcBorders>
              <w:top w:val="single" w:sz="8" w:space="0" w:color="auto"/>
              <w:bottom w:val="single" w:sz="8" w:space="0" w:color="auto"/>
            </w:tcBorders>
          </w:tcPr>
          <w:p w:rsidR="005218CF" w:rsidRDefault="005218CF" w:rsidP="00DB1DB8">
            <w:r w:rsidRPr="005218CF">
              <w:t>the definition of 'link setup' is too broad and should be limited to along the lines of 'a protocol frame exchange sequence between ...'.</w:t>
            </w:r>
          </w:p>
        </w:tc>
        <w:tc>
          <w:tcPr>
            <w:tcW w:w="2160" w:type="dxa"/>
            <w:tcBorders>
              <w:top w:val="single" w:sz="8" w:space="0" w:color="auto"/>
              <w:bottom w:val="single" w:sz="8" w:space="0" w:color="auto"/>
            </w:tcBorders>
          </w:tcPr>
          <w:p w:rsidR="005218CF" w:rsidRDefault="005218CF" w:rsidP="00DB1DB8">
            <w:r w:rsidRPr="005218CF">
              <w:t>As suggested.</w:t>
            </w:r>
          </w:p>
        </w:tc>
        <w:tc>
          <w:tcPr>
            <w:tcW w:w="3240" w:type="dxa"/>
            <w:tcBorders>
              <w:top w:val="single" w:sz="8" w:space="0" w:color="auto"/>
              <w:bottom w:val="single" w:sz="8" w:space="0" w:color="auto"/>
            </w:tcBorders>
          </w:tcPr>
          <w:p w:rsidR="005218CF" w:rsidRDefault="005218CF" w:rsidP="00DB1DB8">
            <w:r>
              <w:t>The suggestion is incomplete, especially considering that the draft has 3 sentences for this definition and the suggestion does not indicate even one complete sentence.</w:t>
            </w:r>
          </w:p>
        </w:tc>
      </w:tr>
      <w:tr w:rsidR="00FF47EA" w:rsidTr="00913CFA">
        <w:tc>
          <w:tcPr>
            <w:tcW w:w="738" w:type="dxa"/>
            <w:tcBorders>
              <w:top w:val="single" w:sz="8" w:space="0" w:color="auto"/>
              <w:bottom w:val="single" w:sz="8" w:space="0" w:color="auto"/>
            </w:tcBorders>
          </w:tcPr>
          <w:p w:rsidR="00FF47EA" w:rsidRDefault="00FF47EA" w:rsidP="00DB1DB8">
            <w:r>
              <w:t>2788</w:t>
            </w:r>
          </w:p>
        </w:tc>
        <w:tc>
          <w:tcPr>
            <w:tcW w:w="1170" w:type="dxa"/>
            <w:tcBorders>
              <w:top w:val="single" w:sz="8" w:space="0" w:color="auto"/>
              <w:bottom w:val="single" w:sz="8" w:space="0" w:color="auto"/>
            </w:tcBorders>
          </w:tcPr>
          <w:p w:rsidR="00FF47EA" w:rsidRDefault="00913CFA" w:rsidP="005218CF">
            <w:r>
              <w:t>3.1/3/34</w:t>
            </w:r>
          </w:p>
        </w:tc>
        <w:tc>
          <w:tcPr>
            <w:tcW w:w="2160" w:type="dxa"/>
            <w:tcBorders>
              <w:top w:val="single" w:sz="8" w:space="0" w:color="auto"/>
              <w:bottom w:val="single" w:sz="8" w:space="0" w:color="auto"/>
            </w:tcBorders>
          </w:tcPr>
          <w:p w:rsidR="00FF47EA" w:rsidRDefault="00FF47EA" w:rsidP="00FF47EA">
            <w:r>
              <w:t>The time/event referance points for the Link Setup definition are not not well defined - it is not clear whether link setup includes AP discovery or not,  Is Link setup includes discovery?</w:t>
            </w:r>
          </w:p>
          <w:p w:rsidR="00FF47EA" w:rsidRPr="005218CF" w:rsidRDefault="00FF47EA" w:rsidP="00FF47EA">
            <w:r>
              <w:t>Is user intervened only or is it also cyclic?</w:t>
            </w:r>
          </w:p>
        </w:tc>
        <w:tc>
          <w:tcPr>
            <w:tcW w:w="2160" w:type="dxa"/>
            <w:tcBorders>
              <w:top w:val="single" w:sz="8" w:space="0" w:color="auto"/>
              <w:bottom w:val="single" w:sz="8" w:space="0" w:color="auto"/>
            </w:tcBorders>
          </w:tcPr>
          <w:p w:rsidR="00FF47EA" w:rsidRPr="005218CF" w:rsidRDefault="00FF47EA" w:rsidP="00DB1DB8">
            <w:r w:rsidRPr="00FF47EA">
              <w:t>Clarify it is from the discovery till the upper layer address assignment and for both cyclic and user intervened.</w:t>
            </w:r>
          </w:p>
        </w:tc>
        <w:tc>
          <w:tcPr>
            <w:tcW w:w="3240" w:type="dxa"/>
            <w:tcBorders>
              <w:top w:val="single" w:sz="8" w:space="0" w:color="auto"/>
              <w:bottom w:val="single" w:sz="8" w:space="0" w:color="auto"/>
            </w:tcBorders>
          </w:tcPr>
          <w:p w:rsidR="00FF47EA" w:rsidRDefault="00FF47EA" w:rsidP="00DB1DB8">
            <w:r>
              <w:t>No specific proposal given.</w:t>
            </w:r>
          </w:p>
        </w:tc>
      </w:tr>
      <w:tr w:rsidR="00913CFA" w:rsidTr="00FF47EA">
        <w:tc>
          <w:tcPr>
            <w:tcW w:w="738" w:type="dxa"/>
            <w:tcBorders>
              <w:top w:val="single" w:sz="8" w:space="0" w:color="auto"/>
            </w:tcBorders>
          </w:tcPr>
          <w:p w:rsidR="00913CFA" w:rsidRDefault="00913CFA" w:rsidP="00DB1DB8">
            <w:r>
              <w:t>2392</w:t>
            </w:r>
          </w:p>
        </w:tc>
        <w:tc>
          <w:tcPr>
            <w:tcW w:w="1170" w:type="dxa"/>
            <w:tcBorders>
              <w:top w:val="single" w:sz="8" w:space="0" w:color="auto"/>
            </w:tcBorders>
          </w:tcPr>
          <w:p w:rsidR="00913CFA" w:rsidRDefault="00913CFA" w:rsidP="005218CF">
            <w:r>
              <w:t>3.1/3/34</w:t>
            </w:r>
          </w:p>
        </w:tc>
        <w:tc>
          <w:tcPr>
            <w:tcW w:w="2160" w:type="dxa"/>
            <w:tcBorders>
              <w:top w:val="single" w:sz="8" w:space="0" w:color="auto"/>
            </w:tcBorders>
          </w:tcPr>
          <w:p w:rsidR="00913CFA" w:rsidRDefault="00913CFA" w:rsidP="00FF47EA">
            <w:r w:rsidRPr="00913CFA">
              <w:t>Improve definition of link set-up</w:t>
            </w:r>
          </w:p>
        </w:tc>
        <w:tc>
          <w:tcPr>
            <w:tcW w:w="2160" w:type="dxa"/>
            <w:tcBorders>
              <w:top w:val="single" w:sz="8" w:space="0" w:color="auto"/>
            </w:tcBorders>
          </w:tcPr>
          <w:p w:rsidR="00913CFA" w:rsidRPr="00FF47EA" w:rsidRDefault="00913CFA" w:rsidP="00DB1DB8">
            <w:r w:rsidRPr="00913CFA">
              <w:t>Changr clarify "this"; suggest deleting the last sentence, and ading the clause "including AP/network discovery and (secure) association and authentication" to the first sentence.</w:t>
            </w:r>
          </w:p>
        </w:tc>
        <w:tc>
          <w:tcPr>
            <w:tcW w:w="3240" w:type="dxa"/>
            <w:tcBorders>
              <w:top w:val="single" w:sz="8" w:space="0" w:color="auto"/>
            </w:tcBorders>
          </w:tcPr>
          <w:p w:rsidR="00913CFA" w:rsidRDefault="00913CFA" w:rsidP="00DB1DB8">
            <w:r>
              <w:t>Proposed change needs some work.</w:t>
            </w:r>
          </w:p>
        </w:tc>
      </w:tr>
    </w:tbl>
    <w:p w:rsidR="005218CF" w:rsidRDefault="005218CF" w:rsidP="005218CF"/>
    <w:p w:rsidR="005218CF" w:rsidRDefault="005218CF" w:rsidP="005218CF">
      <w:r>
        <w:t>Recommendation: The submitter</w:t>
      </w:r>
      <w:r w:rsidR="00FF47EA">
        <w:t>s need</w:t>
      </w:r>
      <w:r>
        <w:t xml:space="preserve"> to provide a complete proposal</w:t>
      </w:r>
      <w:r w:rsidR="00FF47EA">
        <w:t>, perhaps they can work together to create something</w:t>
      </w:r>
      <w:r>
        <w:t>.</w:t>
      </w:r>
    </w:p>
    <w:p w:rsidR="00AF2617" w:rsidRDefault="00AF2617" w:rsidP="005218CF">
      <w:r>
        <w:t>No motion required, but we need to identify a person responsible for providing new text.</w:t>
      </w:r>
    </w:p>
    <w:p w:rsidR="005218CF" w:rsidRDefault="00AF2617" w:rsidP="00AF2617">
      <w:pPr>
        <w:tabs>
          <w:tab w:val="left" w:pos="6513"/>
        </w:tabs>
      </w:pPr>
      <w:r>
        <w:tab/>
      </w:r>
    </w:p>
    <w:p w:rsidR="006A4070" w:rsidRDefault="006A4070" w:rsidP="005218CF">
      <w:pPr>
        <w:tabs>
          <w:tab w:val="left" w:pos="3295"/>
        </w:tabs>
      </w:pPr>
    </w:p>
    <w:p w:rsidR="006A4070" w:rsidRDefault="002532F6" w:rsidP="006A4070">
      <w:r>
        <w:br w:type="page"/>
      </w:r>
    </w:p>
    <w:p w:rsidR="002532F6" w:rsidRDefault="005A5184" w:rsidP="002532F6">
      <w:r>
        <w:rPr>
          <w:noProof/>
          <w:lang w:val="en-US"/>
        </w:rPr>
        <w:pict>
          <v:shape id="_x0000_s1044" type="#_x0000_t32" style="position:absolute;margin-left:-2.5pt;margin-top:12.15pt;width:460.8pt;height:0;z-index:11" o:connectortype="straight" strokeweight="3pt"/>
        </w:pict>
      </w:r>
    </w:p>
    <w:p w:rsidR="002532F6" w:rsidRDefault="002532F6" w:rsidP="002532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800"/>
        <w:gridCol w:w="2430"/>
        <w:gridCol w:w="3240"/>
      </w:tblGrid>
      <w:tr w:rsidR="002532F6" w:rsidTr="00DB1DB8">
        <w:tc>
          <w:tcPr>
            <w:tcW w:w="738" w:type="dxa"/>
            <w:tcBorders>
              <w:top w:val="single" w:sz="8" w:space="0" w:color="auto"/>
              <w:left w:val="single" w:sz="8" w:space="0" w:color="auto"/>
              <w:bottom w:val="single" w:sz="8" w:space="0" w:color="auto"/>
              <w:right w:val="single" w:sz="8" w:space="0" w:color="auto"/>
            </w:tcBorders>
          </w:tcPr>
          <w:p w:rsidR="002532F6" w:rsidRPr="00897AAC" w:rsidRDefault="002532F6" w:rsidP="00DB1DB8">
            <w:pPr>
              <w:jc w:val="center"/>
              <w:rPr>
                <w:b/>
              </w:rPr>
            </w:pPr>
            <w:r w:rsidRPr="00897AAC">
              <w:rPr>
                <w:b/>
              </w:rPr>
              <w:t>CID</w:t>
            </w:r>
          </w:p>
        </w:tc>
        <w:tc>
          <w:tcPr>
            <w:tcW w:w="1170" w:type="dxa"/>
            <w:tcBorders>
              <w:top w:val="single" w:sz="8" w:space="0" w:color="auto"/>
              <w:left w:val="single" w:sz="8" w:space="0" w:color="auto"/>
              <w:bottom w:val="single" w:sz="8" w:space="0" w:color="auto"/>
              <w:right w:val="single" w:sz="8" w:space="0" w:color="auto"/>
            </w:tcBorders>
          </w:tcPr>
          <w:p w:rsidR="002532F6" w:rsidRPr="00897AAC" w:rsidRDefault="002532F6" w:rsidP="00DB1DB8">
            <w:pPr>
              <w:jc w:val="center"/>
              <w:rPr>
                <w:b/>
              </w:rPr>
            </w:pPr>
            <w:r w:rsidRPr="00897AAC">
              <w:rPr>
                <w:b/>
              </w:rPr>
              <w:t>Clause/</w:t>
            </w:r>
            <w:r w:rsidRPr="00897AAC">
              <w:rPr>
                <w:b/>
              </w:rPr>
              <w:br/>
              <w:t>Page/Line</w:t>
            </w:r>
          </w:p>
        </w:tc>
        <w:tc>
          <w:tcPr>
            <w:tcW w:w="1800" w:type="dxa"/>
            <w:tcBorders>
              <w:top w:val="single" w:sz="8" w:space="0" w:color="auto"/>
              <w:left w:val="single" w:sz="8" w:space="0" w:color="auto"/>
              <w:bottom w:val="single" w:sz="8" w:space="0" w:color="auto"/>
              <w:right w:val="single" w:sz="8" w:space="0" w:color="auto"/>
            </w:tcBorders>
          </w:tcPr>
          <w:p w:rsidR="002532F6" w:rsidRPr="00897AAC" w:rsidRDefault="002532F6" w:rsidP="00DB1DB8">
            <w:pPr>
              <w:jc w:val="center"/>
              <w:rPr>
                <w:b/>
              </w:rPr>
            </w:pPr>
            <w:r w:rsidRPr="00897AAC">
              <w:rPr>
                <w:b/>
              </w:rPr>
              <w:t>Comment</w:t>
            </w:r>
          </w:p>
        </w:tc>
        <w:tc>
          <w:tcPr>
            <w:tcW w:w="2430" w:type="dxa"/>
            <w:tcBorders>
              <w:top w:val="single" w:sz="8" w:space="0" w:color="auto"/>
              <w:left w:val="single" w:sz="8" w:space="0" w:color="auto"/>
              <w:bottom w:val="single" w:sz="8" w:space="0" w:color="auto"/>
              <w:right w:val="single" w:sz="8" w:space="0" w:color="auto"/>
            </w:tcBorders>
          </w:tcPr>
          <w:p w:rsidR="002532F6" w:rsidRPr="00897AAC" w:rsidRDefault="002532F6" w:rsidP="00DB1DB8">
            <w:pPr>
              <w:jc w:val="center"/>
              <w:rPr>
                <w:b/>
              </w:rPr>
            </w:pPr>
            <w:r w:rsidRPr="00897AAC">
              <w:rPr>
                <w:b/>
              </w:rPr>
              <w:t>Proposed Resolution</w:t>
            </w:r>
          </w:p>
        </w:tc>
        <w:tc>
          <w:tcPr>
            <w:tcW w:w="3240" w:type="dxa"/>
            <w:tcBorders>
              <w:top w:val="single" w:sz="8" w:space="0" w:color="auto"/>
              <w:left w:val="single" w:sz="8" w:space="0" w:color="auto"/>
              <w:bottom w:val="single" w:sz="8" w:space="0" w:color="auto"/>
              <w:right w:val="single" w:sz="8" w:space="0" w:color="auto"/>
            </w:tcBorders>
          </w:tcPr>
          <w:p w:rsidR="002532F6" w:rsidRPr="00897AAC" w:rsidRDefault="002532F6" w:rsidP="00DB1DB8">
            <w:pPr>
              <w:jc w:val="center"/>
              <w:rPr>
                <w:b/>
              </w:rPr>
            </w:pPr>
            <w:r w:rsidRPr="00897AAC">
              <w:rPr>
                <w:b/>
              </w:rPr>
              <w:t>Issue</w:t>
            </w:r>
          </w:p>
        </w:tc>
      </w:tr>
      <w:tr w:rsidR="002532F6" w:rsidTr="00DB1DB8">
        <w:tc>
          <w:tcPr>
            <w:tcW w:w="738" w:type="dxa"/>
            <w:tcBorders>
              <w:top w:val="single" w:sz="8" w:space="0" w:color="auto"/>
            </w:tcBorders>
          </w:tcPr>
          <w:p w:rsidR="002532F6" w:rsidRDefault="002532F6" w:rsidP="00DB1DB8">
            <w:r>
              <w:t>2621</w:t>
            </w:r>
          </w:p>
        </w:tc>
        <w:tc>
          <w:tcPr>
            <w:tcW w:w="1170" w:type="dxa"/>
            <w:tcBorders>
              <w:top w:val="single" w:sz="8" w:space="0" w:color="auto"/>
            </w:tcBorders>
          </w:tcPr>
          <w:p w:rsidR="002532F6" w:rsidRDefault="002532F6" w:rsidP="002532F6">
            <w:r>
              <w:t>3.1/3/43</w:t>
            </w:r>
          </w:p>
        </w:tc>
        <w:tc>
          <w:tcPr>
            <w:tcW w:w="1800" w:type="dxa"/>
            <w:tcBorders>
              <w:top w:val="single" w:sz="8" w:space="0" w:color="auto"/>
            </w:tcBorders>
          </w:tcPr>
          <w:p w:rsidR="002532F6" w:rsidRDefault="002532F6" w:rsidP="00DB1DB8">
            <w:r w:rsidRPr="002532F6">
              <w:t>Definition of TTP is too vague and lacks context. Does the security associaion with the two need to be maintained at the same time?</w:t>
            </w:r>
          </w:p>
        </w:tc>
        <w:tc>
          <w:tcPr>
            <w:tcW w:w="2430" w:type="dxa"/>
            <w:tcBorders>
              <w:top w:val="single" w:sz="8" w:space="0" w:color="auto"/>
            </w:tcBorders>
          </w:tcPr>
          <w:p w:rsidR="002532F6" w:rsidRDefault="002532F6" w:rsidP="00DB1DB8">
            <w:r w:rsidRPr="002532F6">
              <w:t>Please clarify.</w:t>
            </w:r>
          </w:p>
        </w:tc>
        <w:tc>
          <w:tcPr>
            <w:tcW w:w="3240" w:type="dxa"/>
            <w:tcBorders>
              <w:top w:val="single" w:sz="8" w:space="0" w:color="auto"/>
            </w:tcBorders>
          </w:tcPr>
          <w:p w:rsidR="002532F6" w:rsidRDefault="002532F6" w:rsidP="002532F6">
            <w:r>
              <w:t>No specific proposal given.</w:t>
            </w:r>
          </w:p>
        </w:tc>
      </w:tr>
    </w:tbl>
    <w:p w:rsidR="002532F6" w:rsidRDefault="002532F6" w:rsidP="002532F6">
      <w:r>
        <w:t xml:space="preserve">Recommendation: The submitter needs to provide a proposed change. </w:t>
      </w:r>
    </w:p>
    <w:p w:rsidR="00AF2617" w:rsidRDefault="00AF2617" w:rsidP="00AF2617">
      <w:r>
        <w:t>No motion required, but we need to identify a person responsible for providing new text.</w:t>
      </w:r>
    </w:p>
    <w:p w:rsidR="002532F6" w:rsidRDefault="002532F6" w:rsidP="002532F6">
      <w:pPr>
        <w:tabs>
          <w:tab w:val="left" w:pos="3295"/>
        </w:tabs>
      </w:pPr>
    </w:p>
    <w:p w:rsidR="006A4070" w:rsidRDefault="006A4070" w:rsidP="006A4070"/>
    <w:p w:rsidR="006A4070" w:rsidRDefault="006A4070" w:rsidP="006A4070"/>
    <w:p w:rsidR="006A4070" w:rsidRDefault="006A4070" w:rsidP="005218CF">
      <w:pPr>
        <w:tabs>
          <w:tab w:val="left" w:pos="3295"/>
        </w:tabs>
      </w:pPr>
    </w:p>
    <w:sectPr w:rsidR="006A4070" w:rsidSect="005A518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F07" w:rsidRDefault="00883F07">
      <w:r>
        <w:separator/>
      </w:r>
    </w:p>
  </w:endnote>
  <w:endnote w:type="continuationSeparator" w:id="0">
    <w:p w:rsidR="00883F07" w:rsidRDefault="00883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5184">
    <w:pPr>
      <w:pStyle w:val="Footer"/>
      <w:tabs>
        <w:tab w:val="clear" w:pos="6480"/>
        <w:tab w:val="center" w:pos="4680"/>
        <w:tab w:val="right" w:pos="9360"/>
      </w:tabs>
    </w:pPr>
    <w:fldSimple w:instr=" SUBJECT  \* MERGEFORMAT ">
      <w:r w:rsidR="00EA785B">
        <w:t>Submission</w:t>
      </w:r>
    </w:fldSimple>
    <w:r w:rsidR="0029020B">
      <w:tab/>
      <w:t xml:space="preserve">page </w:t>
    </w:r>
    <w:fldSimple w:instr="page ">
      <w:r w:rsidR="0047345D">
        <w:rPr>
          <w:noProof/>
        </w:rPr>
        <w:t>1</w:t>
      </w:r>
    </w:fldSimple>
    <w:r w:rsidR="0029020B">
      <w:tab/>
    </w:r>
    <w:r w:rsidR="0047345D">
      <w:t>Lee Armstrong, Armstrong Consulting, Inc.</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F07" w:rsidRDefault="00883F07">
      <w:r>
        <w:separator/>
      </w:r>
    </w:p>
  </w:footnote>
  <w:footnote w:type="continuationSeparator" w:id="0">
    <w:p w:rsidR="00883F07" w:rsidRDefault="00883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7345D">
    <w:pPr>
      <w:pStyle w:val="Header"/>
      <w:tabs>
        <w:tab w:val="clear" w:pos="6480"/>
        <w:tab w:val="center" w:pos="4680"/>
        <w:tab w:val="right" w:pos="9360"/>
      </w:tabs>
    </w:pPr>
    <w:r>
      <w:t>September 2013</w:t>
    </w:r>
    <w:r w:rsidR="0029020B">
      <w:tab/>
    </w:r>
    <w:r w:rsidR="0029020B">
      <w:tab/>
    </w:r>
    <w:fldSimple w:instr=" TITLE  \* MERGEFORMAT ">
      <w:r w:rsidR="00EA785B">
        <w:t>doc.: IEEE 802.11-</w:t>
      </w:r>
      <w:r>
        <w:t>13</w:t>
      </w:r>
      <w:r w:rsidR="00EA785B">
        <w:t>/</w:t>
      </w:r>
      <w:r>
        <w:t>1198</w:t>
      </w:r>
      <w:r w:rsidR="00EA785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1A2C24"/>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AAC"/>
    <w:rsid w:val="000151CC"/>
    <w:rsid w:val="000E5C81"/>
    <w:rsid w:val="001A2420"/>
    <w:rsid w:val="001A4033"/>
    <w:rsid w:val="001D723B"/>
    <w:rsid w:val="0022119C"/>
    <w:rsid w:val="002532F6"/>
    <w:rsid w:val="0029020B"/>
    <w:rsid w:val="002B0387"/>
    <w:rsid w:val="002D44BE"/>
    <w:rsid w:val="002F5D55"/>
    <w:rsid w:val="003D2C21"/>
    <w:rsid w:val="004309F0"/>
    <w:rsid w:val="00442037"/>
    <w:rsid w:val="0047345D"/>
    <w:rsid w:val="004A37D6"/>
    <w:rsid w:val="00501C8D"/>
    <w:rsid w:val="005218CF"/>
    <w:rsid w:val="005A5184"/>
    <w:rsid w:val="005C00EF"/>
    <w:rsid w:val="0062440B"/>
    <w:rsid w:val="006A4070"/>
    <w:rsid w:val="006C0727"/>
    <w:rsid w:val="006E145F"/>
    <w:rsid w:val="00770572"/>
    <w:rsid w:val="00783024"/>
    <w:rsid w:val="008720CB"/>
    <w:rsid w:val="00883F07"/>
    <w:rsid w:val="00897AAC"/>
    <w:rsid w:val="008D5AFC"/>
    <w:rsid w:val="00912B1F"/>
    <w:rsid w:val="00913CFA"/>
    <w:rsid w:val="00977E36"/>
    <w:rsid w:val="00AA2D2B"/>
    <w:rsid w:val="00AA427C"/>
    <w:rsid w:val="00AE2EA1"/>
    <w:rsid w:val="00AF2617"/>
    <w:rsid w:val="00B7015D"/>
    <w:rsid w:val="00BE68C2"/>
    <w:rsid w:val="00CA09B2"/>
    <w:rsid w:val="00D671A1"/>
    <w:rsid w:val="00D700C1"/>
    <w:rsid w:val="00DC5A7B"/>
    <w:rsid w:val="00DF4650"/>
    <w:rsid w:val="00E31382"/>
    <w:rsid w:val="00EA785B"/>
    <w:rsid w:val="00F91DCD"/>
    <w:rsid w:val="00FF47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7" type="connector" idref="#_x0000_s1039"/>
        <o:r id="V:Rule8" type="connector" idref="#_x0000_s1034"/>
        <o:r id="V:Rule9" type="connector" idref="#_x0000_s1032"/>
        <o:r id="V:Rule10" type="connector" idref="#_x0000_s1044"/>
        <o:r id="V:Rule11" type="connector" idref="#_x0000_s1041"/>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184"/>
    <w:rPr>
      <w:sz w:val="22"/>
      <w:lang w:val="en-GB"/>
    </w:rPr>
  </w:style>
  <w:style w:type="paragraph" w:styleId="Heading1">
    <w:name w:val="heading 1"/>
    <w:basedOn w:val="Normal"/>
    <w:next w:val="Normal"/>
    <w:qFormat/>
    <w:rsid w:val="005A5184"/>
    <w:pPr>
      <w:keepNext/>
      <w:keepLines/>
      <w:spacing w:before="320"/>
      <w:outlineLvl w:val="0"/>
    </w:pPr>
    <w:rPr>
      <w:rFonts w:ascii="Arial" w:hAnsi="Arial"/>
      <w:b/>
      <w:sz w:val="32"/>
      <w:u w:val="single"/>
    </w:rPr>
  </w:style>
  <w:style w:type="paragraph" w:styleId="Heading2">
    <w:name w:val="heading 2"/>
    <w:basedOn w:val="Normal"/>
    <w:next w:val="Normal"/>
    <w:qFormat/>
    <w:rsid w:val="005A5184"/>
    <w:pPr>
      <w:keepNext/>
      <w:keepLines/>
      <w:spacing w:before="280"/>
      <w:outlineLvl w:val="1"/>
    </w:pPr>
    <w:rPr>
      <w:rFonts w:ascii="Arial" w:hAnsi="Arial"/>
      <w:b/>
      <w:sz w:val="28"/>
      <w:u w:val="single"/>
    </w:rPr>
  </w:style>
  <w:style w:type="paragraph" w:styleId="Heading3">
    <w:name w:val="heading 3"/>
    <w:basedOn w:val="Normal"/>
    <w:next w:val="Normal"/>
    <w:qFormat/>
    <w:rsid w:val="005A518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5184"/>
    <w:pPr>
      <w:pBdr>
        <w:top w:val="single" w:sz="6" w:space="1" w:color="auto"/>
      </w:pBdr>
      <w:tabs>
        <w:tab w:val="center" w:pos="6480"/>
        <w:tab w:val="right" w:pos="12960"/>
      </w:tabs>
    </w:pPr>
    <w:rPr>
      <w:sz w:val="24"/>
    </w:rPr>
  </w:style>
  <w:style w:type="paragraph" w:styleId="Header">
    <w:name w:val="header"/>
    <w:basedOn w:val="Normal"/>
    <w:rsid w:val="005A5184"/>
    <w:pPr>
      <w:pBdr>
        <w:bottom w:val="single" w:sz="6" w:space="2" w:color="auto"/>
      </w:pBdr>
      <w:tabs>
        <w:tab w:val="center" w:pos="6480"/>
        <w:tab w:val="right" w:pos="12960"/>
      </w:tabs>
    </w:pPr>
    <w:rPr>
      <w:b/>
      <w:sz w:val="28"/>
    </w:rPr>
  </w:style>
  <w:style w:type="paragraph" w:customStyle="1" w:styleId="T1">
    <w:name w:val="T1"/>
    <w:basedOn w:val="Normal"/>
    <w:rsid w:val="005A5184"/>
    <w:pPr>
      <w:jc w:val="center"/>
    </w:pPr>
    <w:rPr>
      <w:b/>
      <w:sz w:val="28"/>
    </w:rPr>
  </w:style>
  <w:style w:type="paragraph" w:customStyle="1" w:styleId="T2">
    <w:name w:val="T2"/>
    <w:basedOn w:val="T1"/>
    <w:rsid w:val="005A5184"/>
    <w:pPr>
      <w:spacing w:after="240"/>
      <w:ind w:left="720" w:right="720"/>
    </w:pPr>
  </w:style>
  <w:style w:type="paragraph" w:customStyle="1" w:styleId="T3">
    <w:name w:val="T3"/>
    <w:basedOn w:val="T1"/>
    <w:rsid w:val="005A5184"/>
    <w:pPr>
      <w:pBdr>
        <w:bottom w:val="single" w:sz="6" w:space="1" w:color="auto"/>
      </w:pBdr>
      <w:tabs>
        <w:tab w:val="center" w:pos="4680"/>
      </w:tabs>
      <w:spacing w:after="240"/>
      <w:jc w:val="left"/>
    </w:pPr>
    <w:rPr>
      <w:b w:val="0"/>
      <w:sz w:val="24"/>
    </w:rPr>
  </w:style>
  <w:style w:type="paragraph" w:styleId="BodyTextIndent">
    <w:name w:val="Body Text Indent"/>
    <w:basedOn w:val="Normal"/>
    <w:rsid w:val="005A5184"/>
    <w:pPr>
      <w:ind w:left="720" w:hanging="720"/>
    </w:pPr>
  </w:style>
  <w:style w:type="character" w:styleId="Hyperlink">
    <w:name w:val="Hyperlink"/>
    <w:basedOn w:val="DefaultParagraphFont"/>
    <w:rsid w:val="005A5184"/>
    <w:rPr>
      <w:color w:val="0000FF"/>
      <w:u w:val="single"/>
    </w:rPr>
  </w:style>
  <w:style w:type="table" w:styleId="TableGrid">
    <w:name w:val="Table Grid"/>
    <w:basedOn w:val="TableNormal"/>
    <w:rsid w:val="00EA7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1">
    <w:name w:val="Table Columns 1"/>
    <w:basedOn w:val="TableNormal"/>
    <w:rsid w:val="00EA78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897AAC"/>
    <w:rPr>
      <w:rFonts w:ascii="Tahoma" w:hAnsi="Tahoma" w:cs="Tahoma"/>
      <w:sz w:val="16"/>
      <w:szCs w:val="16"/>
    </w:rPr>
  </w:style>
  <w:style w:type="character" w:customStyle="1" w:styleId="BalloonTextChar">
    <w:name w:val="Balloon Text Char"/>
    <w:basedOn w:val="DefaultParagraphFont"/>
    <w:link w:val="BalloonText"/>
    <w:rsid w:val="00897AAC"/>
    <w:rPr>
      <w:rFonts w:ascii="Tahoma" w:hAnsi="Tahoma" w:cs="Tahoma"/>
      <w:sz w:val="16"/>
      <w:szCs w:val="16"/>
      <w:lang w:val="en-GB"/>
    </w:rPr>
  </w:style>
  <w:style w:type="paragraph" w:styleId="ListParagraph">
    <w:name w:val="List Paragraph"/>
    <w:basedOn w:val="Normal"/>
    <w:uiPriority w:val="34"/>
    <w:qFormat/>
    <w:rsid w:val="00DF4650"/>
    <w:pPr>
      <w:ind w:left="720"/>
    </w:pPr>
  </w:style>
  <w:style w:type="paragraph" w:customStyle="1" w:styleId="HeadingRunIn">
    <w:name w:val="HeadingRunIn"/>
    <w:next w:val="Body"/>
    <w:rsid w:val="000151CC"/>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0151CC"/>
    <w:pPr>
      <w:autoSpaceDE w:val="0"/>
      <w:autoSpaceDN w:val="0"/>
      <w:adjustRightInd w:val="0"/>
      <w:spacing w:line="280" w:lineRule="atLeast"/>
    </w:pPr>
    <w:rPr>
      <w:color w:val="000000"/>
      <w:w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1388</TotalTime>
  <Pages>1</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23</cp:revision>
  <cp:lastPrinted>1601-01-01T00:00:00Z</cp:lastPrinted>
  <dcterms:created xsi:type="dcterms:W3CDTF">2013-09-17T01:04:00Z</dcterms:created>
  <dcterms:modified xsi:type="dcterms:W3CDTF">2013-09-18T00:26:00Z</dcterms:modified>
</cp:coreProperties>
</file>