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EA7889" w:rsidP="00423DE9">
            <w:pPr>
              <w:pStyle w:val="T2"/>
              <w:rPr>
                <w:lang w:val="en-US"/>
              </w:rPr>
            </w:pPr>
            <w:proofErr w:type="spellStart"/>
            <w:r>
              <w:rPr>
                <w:b w:val="0"/>
                <w:szCs w:val="28"/>
              </w:rPr>
              <w:t>TGah</w:t>
            </w:r>
            <w:proofErr w:type="spellEnd"/>
            <w:r>
              <w:rPr>
                <w:b w:val="0"/>
                <w:szCs w:val="28"/>
              </w:rPr>
              <w:t xml:space="preserve"> D0.1 </w:t>
            </w:r>
            <w:r w:rsidR="00C9760B">
              <w:rPr>
                <w:b w:val="0"/>
                <w:szCs w:val="28"/>
              </w:rPr>
              <w:t>CC9 – Resolution for CID 205, 433</w:t>
            </w:r>
          </w:p>
        </w:tc>
      </w:tr>
      <w:tr w:rsidR="0098158F" w:rsidRPr="00C46726">
        <w:trPr>
          <w:trHeight w:val="359"/>
          <w:jc w:val="center"/>
        </w:trPr>
        <w:tc>
          <w:tcPr>
            <w:tcW w:w="9576" w:type="dxa"/>
            <w:gridSpan w:val="5"/>
            <w:vAlign w:val="center"/>
          </w:tcPr>
          <w:p w:rsidR="0098158F" w:rsidRPr="00C46726" w:rsidRDefault="0098158F" w:rsidP="00423DE9">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423DE9">
              <w:rPr>
                <w:rFonts w:eastAsia="Malgun Gothic" w:hint="eastAsia"/>
                <w:b w:val="0"/>
                <w:sz w:val="20"/>
                <w:lang w:val="en-US" w:eastAsia="ko-KR"/>
              </w:rPr>
              <w:t>3</w:t>
            </w:r>
            <w:r w:rsidR="00602AE6" w:rsidRPr="00C46726">
              <w:rPr>
                <w:b w:val="0"/>
                <w:sz w:val="20"/>
                <w:lang w:val="en-US"/>
              </w:rPr>
              <w:t>-0</w:t>
            </w:r>
            <w:r w:rsidR="00423DE9">
              <w:rPr>
                <w:rFonts w:eastAsia="Malgun Gothic" w:hint="eastAsia"/>
                <w:b w:val="0"/>
                <w:sz w:val="20"/>
                <w:lang w:val="en-US" w:eastAsia="ko-KR"/>
              </w:rPr>
              <w:t>9</w:t>
            </w:r>
            <w:r w:rsidRPr="00C46726">
              <w:rPr>
                <w:b w:val="0"/>
                <w:sz w:val="20"/>
                <w:lang w:val="en-US"/>
              </w:rPr>
              <w:t>-</w:t>
            </w:r>
            <w:r w:rsidR="00423DE9">
              <w:rPr>
                <w:rFonts w:eastAsia="Malgun Gothic" w:hint="eastAsia"/>
                <w:b w:val="0"/>
                <w:sz w:val="20"/>
                <w:lang w:val="en-US" w:eastAsia="ko-KR"/>
              </w:rPr>
              <w:t>1</w:t>
            </w:r>
            <w:r w:rsidR="00C9760B">
              <w:rPr>
                <w:rFonts w:eastAsia="Malgun Gothic"/>
                <w:b w:val="0"/>
                <w:sz w:val="20"/>
                <w:lang w:val="en-US" w:eastAsia="ko-KR"/>
              </w:rPr>
              <w:t>8</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9760B">
            <w:pPr>
              <w:pStyle w:val="T2"/>
              <w:spacing w:after="0"/>
              <w:ind w:left="0" w:right="0"/>
              <w:rPr>
                <w:b w:val="0"/>
                <w:sz w:val="20"/>
                <w:lang w:val="en-US"/>
              </w:rPr>
            </w:pPr>
            <w:r>
              <w:rPr>
                <w:b w:val="0"/>
                <w:sz w:val="20"/>
                <w:lang w:val="en-US"/>
              </w:rPr>
              <w:t>Eugene Baik</w:t>
            </w:r>
          </w:p>
        </w:tc>
        <w:tc>
          <w:tcPr>
            <w:tcW w:w="2064" w:type="dxa"/>
            <w:vAlign w:val="center"/>
          </w:tcPr>
          <w:p w:rsidR="0098158F" w:rsidRPr="00C10E1A" w:rsidRDefault="00C9760B" w:rsidP="00A22C92">
            <w:pPr>
              <w:pStyle w:val="T2"/>
              <w:spacing w:after="0"/>
              <w:ind w:left="0" w:right="0"/>
              <w:jc w:val="left"/>
              <w:rPr>
                <w:b w:val="0"/>
                <w:sz w:val="20"/>
                <w:lang w:val="en-US"/>
              </w:rPr>
            </w:pPr>
            <w:r>
              <w:rPr>
                <w:b w:val="0"/>
                <w:sz w:val="20"/>
                <w:lang w:val="en-US"/>
              </w:rPr>
              <w:t>Qualcomm</w:t>
            </w:r>
          </w:p>
        </w:tc>
        <w:tc>
          <w:tcPr>
            <w:tcW w:w="2288" w:type="dxa"/>
            <w:vAlign w:val="center"/>
          </w:tcPr>
          <w:p w:rsidR="0098158F" w:rsidRDefault="00C9760B" w:rsidP="00C10E1A">
            <w:pPr>
              <w:pStyle w:val="covertext"/>
              <w:spacing w:before="0" w:after="0"/>
              <w:rPr>
                <w:rFonts w:eastAsia="MS Mincho"/>
                <w:b/>
                <w:sz w:val="20"/>
              </w:rPr>
            </w:pPr>
            <w:r>
              <w:rPr>
                <w:rFonts w:eastAsia="MS Mincho"/>
                <w:b/>
                <w:sz w:val="20"/>
              </w:rPr>
              <w:t xml:space="preserve">5775 Morehouse Dr. </w:t>
            </w:r>
          </w:p>
          <w:p w:rsidR="00C9760B" w:rsidRPr="00C10E1A" w:rsidRDefault="00C9760B" w:rsidP="00C10E1A">
            <w:pPr>
              <w:pStyle w:val="covertext"/>
              <w:spacing w:before="0" w:after="0"/>
              <w:rPr>
                <w:rFonts w:eastAsia="MS Mincho"/>
                <w:b/>
                <w:sz w:val="20"/>
              </w:rPr>
            </w:pPr>
            <w:r>
              <w:rPr>
                <w:rFonts w:eastAsia="MS Mincho"/>
                <w:b/>
                <w:sz w:val="20"/>
              </w:rPr>
              <w:t>San Diego, CA 92121</w:t>
            </w:r>
          </w:p>
        </w:tc>
        <w:tc>
          <w:tcPr>
            <w:tcW w:w="1508" w:type="dxa"/>
            <w:vAlign w:val="center"/>
          </w:tcPr>
          <w:p w:rsidR="0098158F" w:rsidRPr="00C10E1A" w:rsidRDefault="00C9760B">
            <w:pPr>
              <w:pStyle w:val="T2"/>
              <w:spacing w:after="0"/>
              <w:ind w:left="0" w:right="0"/>
              <w:rPr>
                <w:b w:val="0"/>
                <w:sz w:val="20"/>
                <w:lang w:val="en-US"/>
              </w:rPr>
            </w:pPr>
            <w:r>
              <w:rPr>
                <w:b w:val="0"/>
                <w:sz w:val="20"/>
                <w:lang w:val="en-US"/>
              </w:rPr>
              <w:t>(858)658-2568</w:t>
            </w:r>
          </w:p>
        </w:tc>
        <w:tc>
          <w:tcPr>
            <w:tcW w:w="2380" w:type="dxa"/>
            <w:vAlign w:val="center"/>
          </w:tcPr>
          <w:p w:rsidR="0098158F" w:rsidRPr="00C10E1A" w:rsidRDefault="00C9760B" w:rsidP="00743AC9">
            <w:pPr>
              <w:pStyle w:val="T2"/>
              <w:spacing w:after="0"/>
              <w:ind w:left="0" w:right="0"/>
              <w:jc w:val="left"/>
              <w:rPr>
                <w:b w:val="0"/>
                <w:sz w:val="20"/>
                <w:lang w:val="en-US"/>
              </w:rPr>
            </w:pPr>
            <w:r>
              <w:rPr>
                <w:b w:val="0"/>
                <w:sz w:val="20"/>
                <w:lang w:val="en-US"/>
              </w:rPr>
              <w:t>eugeneb@qti.qualcomm.com</w:t>
            </w:r>
          </w:p>
        </w:tc>
      </w:tr>
      <w:tr w:rsidR="00E5021C" w:rsidRPr="00C46726" w:rsidTr="00935698">
        <w:trPr>
          <w:jc w:val="center"/>
        </w:trPr>
        <w:tc>
          <w:tcPr>
            <w:tcW w:w="1336" w:type="dxa"/>
          </w:tcPr>
          <w:p w:rsidR="00E5021C" w:rsidRPr="00FB6B2B" w:rsidRDefault="00E5021C" w:rsidP="00935698">
            <w:pPr>
              <w:rPr>
                <w:rFonts w:eastAsia="Malgun Gothic"/>
                <w:sz w:val="20"/>
                <w:szCs w:val="28"/>
                <w:lang w:eastAsia="ko-KR"/>
              </w:rPr>
            </w:pPr>
          </w:p>
        </w:tc>
        <w:tc>
          <w:tcPr>
            <w:tcW w:w="2064" w:type="dxa"/>
          </w:tcPr>
          <w:p w:rsidR="00E5021C" w:rsidRPr="00FB6B2B" w:rsidRDefault="00E5021C" w:rsidP="00935698">
            <w:pPr>
              <w:rPr>
                <w:rFonts w:eastAsia="Malgun Gothic"/>
                <w:sz w:val="20"/>
                <w:szCs w:val="28"/>
                <w:lang w:eastAsia="ko-KR"/>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FB6B2B" w:rsidRDefault="00E5021C" w:rsidP="00FB6B2B">
            <w:pPr>
              <w:rPr>
                <w:rFonts w:eastAsia="Malgun Gothic"/>
                <w:sz w:val="20"/>
                <w:szCs w:val="28"/>
                <w:lang w:eastAsia="ko-KR"/>
              </w:rPr>
            </w:pPr>
          </w:p>
        </w:tc>
      </w:tr>
    </w:tbl>
    <w:p w:rsidR="0098158F" w:rsidRPr="00C46726" w:rsidRDefault="00C9760B">
      <w:pPr>
        <w:pStyle w:val="T1"/>
        <w:spacing w:after="120"/>
        <w:rPr>
          <w:sz w:val="22"/>
          <w:lang w:val="en-US"/>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387444">
      <w:pPr>
        <w:pStyle w:val="Heading1"/>
        <w:spacing w:after="240"/>
        <w:rPr>
          <w:lang w:val="en-US"/>
        </w:rPr>
      </w:pPr>
      <w:r>
        <w:rPr>
          <w:lang w:val="en-US"/>
        </w:rPr>
        <w:lastRenderedPageBreak/>
        <w:t>Introduction</w:t>
      </w:r>
    </w:p>
    <w:p w:rsidR="00AB22EA" w:rsidRDefault="003C042C" w:rsidP="003C042C">
      <w:pPr>
        <w:autoSpaceDE w:val="0"/>
        <w:autoSpaceDN w:val="0"/>
        <w:adjustRightInd w:val="0"/>
        <w:rPr>
          <w:lang w:val="en-US"/>
        </w:rPr>
      </w:pPr>
      <w:r>
        <w:rPr>
          <w:lang w:val="en-US"/>
        </w:rPr>
        <w:t xml:space="preserve">In CC9, CIDs 205 and 433 </w:t>
      </w:r>
      <w:r w:rsidR="00F82605">
        <w:rPr>
          <w:lang w:val="en-US"/>
        </w:rPr>
        <w:t>addressed the fact that Draft 0.1 of the specification was</w:t>
      </w:r>
      <w:r>
        <w:rPr>
          <w:lang w:val="en-US"/>
        </w:rPr>
        <w:t xml:space="preserve"> missing </w:t>
      </w:r>
      <w:r w:rsidR="00F82605">
        <w:rPr>
          <w:lang w:val="en-US"/>
        </w:rPr>
        <w:t xml:space="preserve">the </w:t>
      </w:r>
      <w:r>
        <w:rPr>
          <w:lang w:val="en-US"/>
        </w:rPr>
        <w:t>CCA section of text. This contribution resolves those identical CIDs by providing proposed text for the CCA section, 24.3.19.5</w:t>
      </w:r>
      <w:r w:rsidR="00C854AE">
        <w:rPr>
          <w:lang w:val="en-US"/>
        </w:rPr>
        <w:t xml:space="preserve"> and modifications to Section </w:t>
      </w:r>
      <w:r w:rsidR="00AC3299">
        <w:rPr>
          <w:lang w:val="en-US"/>
        </w:rPr>
        <w:t>9.19.2</w:t>
      </w:r>
    </w:p>
    <w:p w:rsidR="00387444" w:rsidRDefault="00387444" w:rsidP="003C042C">
      <w:pPr>
        <w:autoSpaceDE w:val="0"/>
        <w:autoSpaceDN w:val="0"/>
        <w:adjustRightInd w:val="0"/>
        <w:rPr>
          <w:lang w:val="en-US"/>
        </w:rPr>
      </w:pPr>
    </w:p>
    <w:p w:rsidR="008441D0" w:rsidRDefault="008441D0" w:rsidP="003C042C">
      <w:pPr>
        <w:autoSpaceDE w:val="0"/>
        <w:autoSpaceDN w:val="0"/>
        <w:adjustRightInd w:val="0"/>
        <w:rPr>
          <w:lang w:val="en-US"/>
        </w:rPr>
      </w:pPr>
      <w:r w:rsidRPr="008441D0">
        <w:rPr>
          <w:highlight w:val="yellow"/>
          <w:lang w:val="en-US"/>
        </w:rPr>
        <w:t xml:space="preserve">Note to the </w:t>
      </w:r>
      <w:proofErr w:type="spellStart"/>
      <w:r>
        <w:rPr>
          <w:highlight w:val="yellow"/>
          <w:lang w:val="en-US"/>
        </w:rPr>
        <w:t>TGah</w:t>
      </w:r>
      <w:proofErr w:type="spellEnd"/>
      <w:r>
        <w:rPr>
          <w:highlight w:val="yellow"/>
          <w:lang w:val="en-US"/>
        </w:rPr>
        <w:t xml:space="preserve"> </w:t>
      </w:r>
      <w:r w:rsidRPr="008441D0">
        <w:rPr>
          <w:highlight w:val="yellow"/>
          <w:lang w:val="en-US"/>
        </w:rPr>
        <w:t>editor:</w:t>
      </w:r>
      <w:r>
        <w:rPr>
          <w:lang w:val="en-US"/>
        </w:rPr>
        <w:t xml:space="preserve"> </w:t>
      </w:r>
    </w:p>
    <w:p w:rsidR="00387444" w:rsidRDefault="00387444" w:rsidP="00387444">
      <w:pPr>
        <w:rPr>
          <w:lang w:val="en-US"/>
        </w:rPr>
      </w:pPr>
      <w:r>
        <w:rPr>
          <w:lang w:val="en-US"/>
        </w:rPr>
        <w:t xml:space="preserve">Also see document </w:t>
      </w:r>
      <w:r w:rsidR="004A1B47">
        <w:rPr>
          <w:lang w:val="en-US"/>
        </w:rPr>
        <w:t>11-13-1207</w:t>
      </w:r>
      <w:bookmarkStart w:id="0" w:name="_GoBack"/>
      <w:bookmarkEnd w:id="0"/>
      <w:r w:rsidRPr="00387444">
        <w:rPr>
          <w:lang w:val="en-US"/>
        </w:rPr>
        <w:t xml:space="preserve">r0 by Matthew Fisher for additional related text </w:t>
      </w:r>
      <w:r w:rsidR="003954AB">
        <w:rPr>
          <w:lang w:val="en-US"/>
        </w:rPr>
        <w:t>to</w:t>
      </w:r>
      <w:r>
        <w:rPr>
          <w:lang w:val="en-US"/>
        </w:rPr>
        <w:t xml:space="preserve"> PAID, Partial BSSID </w:t>
      </w:r>
      <w:r w:rsidR="003A283C">
        <w:rPr>
          <w:lang w:val="en-US"/>
        </w:rPr>
        <w:t xml:space="preserve">modifications </w:t>
      </w:r>
      <w:r>
        <w:rPr>
          <w:lang w:val="en-US"/>
        </w:rPr>
        <w:t xml:space="preserve">for </w:t>
      </w:r>
      <w:r w:rsidRPr="00387444">
        <w:rPr>
          <w:lang w:val="en-US"/>
        </w:rPr>
        <w:t>resolution of CID 205, 433</w:t>
      </w:r>
      <w:r>
        <w:rPr>
          <w:lang w:val="en-US"/>
        </w:rPr>
        <w:t xml:space="preserve">. </w:t>
      </w:r>
    </w:p>
    <w:p w:rsidR="00387444" w:rsidRDefault="00387444" w:rsidP="00387444">
      <w:pPr>
        <w:rPr>
          <w:rFonts w:ascii="Arial" w:hAnsi="Arial" w:cs="Arial"/>
          <w:color w:val="0000FF"/>
          <w:sz w:val="24"/>
          <w:szCs w:val="24"/>
        </w:rPr>
      </w:pPr>
    </w:p>
    <w:p w:rsidR="00387444" w:rsidRDefault="00387444" w:rsidP="00387444">
      <w:pPr>
        <w:rPr>
          <w:lang w:val="en-US"/>
        </w:rPr>
      </w:pPr>
      <w:r>
        <w:rPr>
          <w:lang w:val="en-US"/>
        </w:rPr>
        <w:t>Also see document 11-13-1118r2</w:t>
      </w:r>
      <w:r w:rsidRPr="00387444">
        <w:rPr>
          <w:lang w:val="en-US"/>
        </w:rPr>
        <w:t xml:space="preserve"> by </w:t>
      </w:r>
      <w:r>
        <w:rPr>
          <w:lang w:val="en-US"/>
        </w:rPr>
        <w:t>Minho Cheong</w:t>
      </w:r>
      <w:r w:rsidRPr="00387444">
        <w:rPr>
          <w:lang w:val="en-US"/>
        </w:rPr>
        <w:t xml:space="preserve"> for additional related text </w:t>
      </w:r>
      <w:r>
        <w:rPr>
          <w:lang w:val="en-US"/>
        </w:rPr>
        <w:t>in Annex E f</w:t>
      </w:r>
      <w:r w:rsidRPr="00387444">
        <w:rPr>
          <w:lang w:val="en-US"/>
        </w:rPr>
        <w:t>o</w:t>
      </w:r>
      <w:r>
        <w:rPr>
          <w:lang w:val="en-US"/>
        </w:rPr>
        <w:t>r</w:t>
      </w:r>
      <w:r w:rsidRPr="00387444">
        <w:rPr>
          <w:lang w:val="en-US"/>
        </w:rPr>
        <w:t xml:space="preserve"> resolution of CID 205, 433</w:t>
      </w:r>
      <w:r>
        <w:rPr>
          <w:lang w:val="en-US"/>
        </w:rPr>
        <w:t xml:space="preserve">. </w:t>
      </w:r>
    </w:p>
    <w:p w:rsidR="00387444" w:rsidRPr="00387444" w:rsidRDefault="00387444" w:rsidP="003C042C">
      <w:pPr>
        <w:autoSpaceDE w:val="0"/>
        <w:autoSpaceDN w:val="0"/>
        <w:adjustRightInd w:val="0"/>
        <w:rPr>
          <w:lang w:val="en-US"/>
        </w:rPr>
      </w:pPr>
    </w:p>
    <w:p w:rsidR="00387444" w:rsidRDefault="00387444" w:rsidP="003C042C">
      <w:pPr>
        <w:autoSpaceDE w:val="0"/>
        <w:autoSpaceDN w:val="0"/>
        <w:adjustRightInd w:val="0"/>
        <w:rPr>
          <w:lang w:val="en-US"/>
        </w:rPr>
      </w:pPr>
    </w:p>
    <w:p w:rsidR="00387444" w:rsidRPr="00387444" w:rsidRDefault="00387444" w:rsidP="00387444">
      <w:pPr>
        <w:pStyle w:val="Heading1"/>
        <w:rPr>
          <w:lang w:val="en-US"/>
        </w:rPr>
      </w:pPr>
      <w:r w:rsidRPr="00387444">
        <w:rPr>
          <w:lang w:val="en-US"/>
        </w:rPr>
        <w:t>Proposed Resolution</w:t>
      </w:r>
    </w:p>
    <w:p w:rsidR="00F82605" w:rsidRDefault="00F82605" w:rsidP="003C042C">
      <w:pPr>
        <w:autoSpaceDE w:val="0"/>
        <w:autoSpaceDN w:val="0"/>
        <w:adjustRightInd w:val="0"/>
        <w:rPr>
          <w:lang w:val="en-US"/>
        </w:rPr>
      </w:pPr>
    </w:p>
    <w:p w:rsidR="00F82605" w:rsidRDefault="00F82605" w:rsidP="003C042C">
      <w:pPr>
        <w:autoSpaceDE w:val="0"/>
        <w:autoSpaceDN w:val="0"/>
        <w:adjustRightInd w:val="0"/>
        <w:rPr>
          <w:lang w:val="en-US"/>
        </w:rPr>
      </w:pPr>
    </w:p>
    <w:p w:rsidR="003C042C" w:rsidRDefault="003C042C" w:rsidP="003C042C">
      <w:pPr>
        <w:autoSpaceDE w:val="0"/>
        <w:autoSpaceDN w:val="0"/>
        <w:adjustRightInd w:val="0"/>
        <w:rPr>
          <w:lang w:val="en-US"/>
        </w:rPr>
      </w:pPr>
      <w:r w:rsidRPr="003C042C">
        <w:rPr>
          <w:highlight w:val="yellow"/>
          <w:lang w:val="en-US"/>
        </w:rPr>
        <w:t xml:space="preserve">[Note to </w:t>
      </w:r>
      <w:proofErr w:type="spellStart"/>
      <w:r w:rsidRPr="003C042C">
        <w:rPr>
          <w:highlight w:val="yellow"/>
          <w:lang w:val="en-US"/>
        </w:rPr>
        <w:t>TGah</w:t>
      </w:r>
      <w:proofErr w:type="spellEnd"/>
      <w:r w:rsidRPr="003C042C">
        <w:rPr>
          <w:highlight w:val="yellow"/>
          <w:lang w:val="en-US"/>
        </w:rPr>
        <w:t xml:space="preserve"> Editor: Please insert the following text starting at Section 24.3.19.5]</w:t>
      </w: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 CCA sensitivity</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24.3.19.5.1 General</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 thresholds in this </w:t>
      </w:r>
      <w:proofErr w:type="spellStart"/>
      <w:r w:rsidRPr="003C042C">
        <w:rPr>
          <w:rFonts w:eastAsia="Batang"/>
          <w:sz w:val="20"/>
          <w:szCs w:val="22"/>
          <w:lang w:val="en-US" w:eastAsia="ko-KR"/>
        </w:rPr>
        <w:t>subclause</w:t>
      </w:r>
      <w:proofErr w:type="spellEnd"/>
      <w:r w:rsidRPr="003C042C">
        <w:rPr>
          <w:rFonts w:eastAsia="Batang"/>
          <w:sz w:val="20"/>
          <w:szCs w:val="22"/>
          <w:lang w:val="en-US" w:eastAsia="ko-KR"/>
        </w:rPr>
        <w:t xml:space="preserve"> are compared with the signal level at each receiving antenna. </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24.3.19.5.2 Type 1 and Type 2 channelization for CCA levels</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are defined such that they are dependent and specific to country channelization and channel location within the frequency band. For S1G </w:t>
      </w:r>
      <w:proofErr w:type="spellStart"/>
      <w:r w:rsidRPr="003C042C">
        <w:rPr>
          <w:rFonts w:eastAsia="Batang"/>
          <w:sz w:val="20"/>
          <w:szCs w:val="22"/>
          <w:lang w:val="en-US" w:eastAsia="ko-KR"/>
        </w:rPr>
        <w:t>channelizations</w:t>
      </w:r>
      <w:proofErr w:type="spellEnd"/>
      <w:r w:rsidRPr="003C042C">
        <w:rPr>
          <w:rFonts w:eastAsia="Batang"/>
          <w:sz w:val="20"/>
          <w:szCs w:val="22"/>
          <w:lang w:val="en-US" w:eastAsia="ko-KR"/>
        </w:rPr>
        <w:t xml:space="preserve"> in all regions of the world, there are to be two classifications for channels and CCA levels, defined as Type 1 and Type 2.</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BSS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CCA levels specific to Type 2 channels. The Type 1 and Type 2 channel classification for different operating classes in different regions of the world are denoted by “CCA Level Classification” in Table E-1 through Table E-4 in Annex 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Generally speaking, Type 1 channels have CCA levels set to favor protection </w:t>
      </w:r>
      <w:r w:rsidR="00FF4951">
        <w:rPr>
          <w:rFonts w:eastAsia="Batang"/>
          <w:sz w:val="20"/>
          <w:szCs w:val="22"/>
          <w:lang w:val="en-US" w:eastAsia="ko-KR"/>
        </w:rPr>
        <w:t>of</w:t>
      </w:r>
      <w:r w:rsidRPr="003C042C">
        <w:rPr>
          <w:rFonts w:eastAsia="Batang"/>
          <w:sz w:val="20"/>
          <w:szCs w:val="22"/>
          <w:lang w:val="en-US" w:eastAsia="ko-KR"/>
        </w:rPr>
        <w:t xml:space="preserve"> ongoing transmissions and range of devices</w:t>
      </w:r>
      <w:r w:rsidR="00FF4951">
        <w:rPr>
          <w:rFonts w:eastAsia="Batang"/>
          <w:sz w:val="20"/>
          <w:szCs w:val="22"/>
          <w:lang w:val="en-US" w:eastAsia="ko-KR"/>
        </w:rPr>
        <w:t>, relative to Type 2 channels</w:t>
      </w:r>
      <w:r w:rsidRPr="003C042C">
        <w:rPr>
          <w:rFonts w:eastAsia="Batang"/>
          <w:sz w:val="20"/>
          <w:szCs w:val="22"/>
          <w:lang w:val="en-US" w:eastAsia="ko-KR"/>
        </w:rPr>
        <w:t>. Type 2 channels have CCA levels set to favor higher bandwidth and data rate transmissions, and to allow for higher reuse within the total network across different BSSs</w:t>
      </w:r>
      <w:r w:rsidR="00FF4951">
        <w:rPr>
          <w:rFonts w:eastAsia="Batang"/>
          <w:sz w:val="20"/>
          <w:szCs w:val="22"/>
          <w:lang w:val="en-US" w:eastAsia="ko-KR"/>
        </w:rPr>
        <w:t xml:space="preserve"> (relative to Type 1 channels)</w:t>
      </w:r>
      <w:r w:rsidRPr="003C042C">
        <w:rPr>
          <w:rFonts w:eastAsia="Batang"/>
          <w:sz w:val="20"/>
          <w:szCs w:val="22"/>
          <w:lang w:val="en-US" w:eastAsia="ko-KR"/>
        </w:rPr>
        <w:t xml:space="preserve">. To achieve this, Type 2 channel CCA levels (i.e. thresholds) are set to be equal to or higher than Type 1channel CCA levels. </w:t>
      </w:r>
    </w:p>
    <w:p w:rsidR="003C042C" w:rsidRPr="003C042C" w:rsidRDefault="003C042C" w:rsidP="00463509">
      <w:pPr>
        <w:spacing w:before="240" w:after="200" w:line="276" w:lineRule="auto"/>
        <w:rPr>
          <w:rFonts w:eastAsia="Batang"/>
          <w:sz w:val="20"/>
          <w:szCs w:val="22"/>
          <w:lang w:val="en-US" w:eastAsia="ko-KR"/>
        </w:rPr>
      </w:pPr>
      <w:r w:rsidRPr="003C042C">
        <w:rPr>
          <w:rFonts w:eastAsia="Batang"/>
          <w:sz w:val="20"/>
          <w:szCs w:val="22"/>
          <w:lang w:val="en-US" w:eastAsia="ko-KR"/>
        </w:rPr>
        <w:t>Because of differences in CCA levels and its system implications, it is generally advantageous for BSSs intending to service devices requiring higher levels of channel and transmission protection to set up on Type 1 channels, and for BSSs expected to service devices with higher bandwidth and data rate transmissions to set up on Type 2 channels if the region/country has both Type 1 and Type 2 channels available.</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lastRenderedPageBreak/>
        <w:t>24.3.19.5.3 CCA sensitivity for operating classes requiring CCA-ED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the operating classes requiring CCA-Energy Detect (CCA-ED), CCA shall also detect a medium busy condition when CCA-ED detects a channel busy condition.</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The CCA-ED is not required for license-exempt operation in any band.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primary 1MHz, -72dBm for the primary 2 MHz channel and the secondary 2 MHz channels, -69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4 MHz channel, and -66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8 MHz channel. The CCA-ED thresholds for the operating classes requiring CCA-ED are subject to the criteria in D.2.5 (CCA-ED threshold).</w:t>
      </w:r>
    </w:p>
    <w:p w:rsidR="003C042C" w:rsidRPr="003C042C" w:rsidRDefault="003C042C" w:rsidP="003C042C">
      <w:pPr>
        <w:spacing w:after="200" w:line="276" w:lineRule="auto"/>
        <w:rPr>
          <w:rFonts w:eastAsia="Batang"/>
          <w:sz w:val="18"/>
          <w:szCs w:val="22"/>
          <w:lang w:val="en-US" w:eastAsia="ko-KR"/>
        </w:rPr>
      </w:pPr>
      <w:r w:rsidRPr="003C042C">
        <w:rPr>
          <w:rFonts w:eastAsia="Batang"/>
          <w:sz w:val="18"/>
          <w:szCs w:val="22"/>
          <w:lang w:val="en-US" w:eastAsia="ko-KR"/>
        </w:rPr>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3C042C" w:rsidRPr="003C042C" w:rsidRDefault="003C042C" w:rsidP="003C042C">
      <w:pPr>
        <w:spacing w:after="200" w:line="276" w:lineRule="auto"/>
        <w:rPr>
          <w:rFonts w:eastAsia="Batang"/>
          <w:sz w:val="18"/>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 CCA sensitivity for signals occupying the Primary 2MHz and/or Primary 1MHz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 device must obey when detecting the start of S1G PPDUs are based on whether the occupied Primary channel in question is classified as Type 1 or Type 2.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1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1" w:name="_Ref366402332"/>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1</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1 Channelization</w:t>
      </w:r>
      <w:bookmarkEnd w:id="1"/>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–98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–92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2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2" w:name="_Ref366402498"/>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2 Channelization</w:t>
      </w:r>
      <w:bookmarkEnd w:id="2"/>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w:t>
      </w:r>
      <w:r w:rsidR="0009533E">
        <w:rPr>
          <w:rFonts w:ascii="Arial" w:eastAsia="Batang" w:hAnsi="Arial" w:cs="Arial"/>
          <w:b/>
          <w:bCs/>
          <w:color w:val="000000"/>
          <w:sz w:val="20"/>
          <w:lang w:val="en-US" w:eastAsia="ko-KR"/>
        </w:rPr>
        <w:t>.1</w:t>
      </w:r>
      <w:r w:rsidRPr="003C042C">
        <w:rPr>
          <w:rFonts w:ascii="Arial" w:eastAsia="Batang" w:hAnsi="Arial" w:cs="Arial"/>
          <w:b/>
          <w:bCs/>
          <w:color w:val="000000"/>
          <w:sz w:val="20"/>
          <w:lang w:val="en-US" w:eastAsia="ko-KR"/>
        </w:rPr>
        <w:t xml:space="preserve"> CCA sensitivity for devic</w:t>
      </w:r>
      <w:r w:rsidR="0009533E">
        <w:rPr>
          <w:rFonts w:ascii="Arial" w:eastAsia="Batang" w:hAnsi="Arial" w:cs="Arial"/>
          <w:b/>
          <w:bCs/>
          <w:color w:val="000000"/>
          <w:sz w:val="20"/>
          <w:lang w:val="en-US" w:eastAsia="ko-KR"/>
        </w:rPr>
        <w:t>es in Type 2 channels</w:t>
      </w:r>
      <w:r w:rsidR="00C854AE">
        <w:rPr>
          <w:rFonts w:ascii="Arial" w:eastAsia="Batang" w:hAnsi="Arial" w:cs="Arial"/>
          <w:b/>
          <w:bCs/>
          <w:color w:val="000000"/>
          <w:sz w:val="20"/>
          <w:lang w:val="en-US" w:eastAsia="ko-KR"/>
        </w:rPr>
        <w:t xml:space="preserve"> implementing i</w:t>
      </w:r>
      <w:r w:rsidR="0009533E">
        <w:rPr>
          <w:rFonts w:ascii="Arial" w:eastAsia="Batang" w:hAnsi="Arial" w:cs="Arial"/>
          <w:b/>
          <w:bCs/>
          <w:color w:val="000000"/>
          <w:sz w:val="20"/>
          <w:lang w:val="en-US" w:eastAsia="ko-KR"/>
        </w:rPr>
        <w:t xml:space="preserve">ntended </w:t>
      </w:r>
      <w:r w:rsidR="00C854AE">
        <w:rPr>
          <w:rFonts w:ascii="Arial" w:eastAsia="Batang" w:hAnsi="Arial" w:cs="Arial"/>
          <w:b/>
          <w:bCs/>
          <w:color w:val="000000"/>
          <w:sz w:val="20"/>
          <w:lang w:val="en-US" w:eastAsia="ko-KR"/>
        </w:rPr>
        <w:t xml:space="preserve">8 or 16 MHz transmit channel width </w:t>
      </w:r>
      <w:r w:rsidRPr="003C042C">
        <w:rPr>
          <w:rFonts w:ascii="Arial" w:eastAsia="Batang" w:hAnsi="Arial" w:cs="Arial"/>
          <w:b/>
          <w:bCs/>
          <w:color w:val="000000"/>
          <w:sz w:val="20"/>
          <w:lang w:val="en-US" w:eastAsia="ko-KR"/>
        </w:rPr>
        <w:t>channel access procedure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For devices operating in Type 2 channels, if the </w:t>
      </w:r>
      <w:r w:rsidR="00C854AE">
        <w:rPr>
          <w:rFonts w:eastAsia="Batang"/>
          <w:sz w:val="20"/>
          <w:szCs w:val="22"/>
          <w:lang w:val="en-US" w:eastAsia="ko-KR"/>
        </w:rPr>
        <w:t xml:space="preserve">device intends to transmit an </w:t>
      </w:r>
      <w:r w:rsidRPr="003C042C">
        <w:rPr>
          <w:rFonts w:eastAsia="Batang"/>
          <w:sz w:val="20"/>
          <w:szCs w:val="22"/>
          <w:lang w:val="en-US" w:eastAsia="ko-KR"/>
        </w:rPr>
        <w:t xml:space="preserve">8 or 16 MHz </w:t>
      </w:r>
      <w:r w:rsidR="00C854AE">
        <w:rPr>
          <w:rFonts w:eastAsia="Batang"/>
          <w:sz w:val="20"/>
          <w:szCs w:val="22"/>
          <w:lang w:val="en-US" w:eastAsia="ko-KR"/>
        </w:rPr>
        <w:t xml:space="preserve">channel width PPDU </w:t>
      </w:r>
      <w:r w:rsidRPr="003C042C">
        <w:rPr>
          <w:rFonts w:eastAsia="Batang"/>
          <w:sz w:val="20"/>
          <w:szCs w:val="22"/>
          <w:lang w:val="en-US" w:eastAsia="ko-KR"/>
        </w:rPr>
        <w:t>and the device implements the procedure and rules for</w:t>
      </w:r>
      <w:r w:rsidR="00E275BF">
        <w:rPr>
          <w:rFonts w:eastAsia="Batang"/>
          <w:sz w:val="20"/>
          <w:szCs w:val="22"/>
          <w:lang w:val="en-US" w:eastAsia="ko-KR"/>
        </w:rPr>
        <w:t xml:space="preserve"> high intended BW transmission</w:t>
      </w:r>
      <w:r w:rsidRPr="003C042C">
        <w:rPr>
          <w:rFonts w:eastAsia="Batang"/>
          <w:sz w:val="20"/>
          <w:szCs w:val="22"/>
          <w:lang w:val="en-US" w:eastAsia="ko-KR"/>
        </w:rPr>
        <w:t xml:space="preserve"> channel access described in</w:t>
      </w:r>
      <w:r w:rsidRPr="00E275BF">
        <w:rPr>
          <w:rFonts w:eastAsia="Batang"/>
          <w:sz w:val="20"/>
          <w:szCs w:val="22"/>
          <w:lang w:val="en-US" w:eastAsia="ko-KR"/>
        </w:rPr>
        <w:t xml:space="preserve"> </w:t>
      </w:r>
      <w:r w:rsidR="00E275BF" w:rsidRPr="00E275BF">
        <w:rPr>
          <w:rFonts w:eastAsia="Batang"/>
          <w:sz w:val="20"/>
          <w:szCs w:val="22"/>
          <w:lang w:val="en-US" w:eastAsia="ko-KR"/>
        </w:rPr>
        <w:t>9.19.2.8a E</w:t>
      </w:r>
      <w:r w:rsidR="00476FC8">
        <w:rPr>
          <w:rFonts w:eastAsia="Batang"/>
          <w:sz w:val="20"/>
          <w:szCs w:val="22"/>
          <w:lang w:val="en-US" w:eastAsia="ko-KR"/>
        </w:rPr>
        <w:t>DCA channel access in a S1G BSS,</w:t>
      </w:r>
      <w:r w:rsidR="00E275BF" w:rsidRPr="00E275BF">
        <w:rPr>
          <w:rFonts w:eastAsia="Batang"/>
          <w:sz w:val="20"/>
          <w:szCs w:val="22"/>
          <w:lang w:val="en-US" w:eastAsia="ko-KR"/>
        </w:rPr>
        <w:t xml:space="preserve"> </w:t>
      </w:r>
      <w:r w:rsidRPr="003C042C">
        <w:rPr>
          <w:rFonts w:eastAsia="Batang"/>
          <w:sz w:val="20"/>
          <w:szCs w:val="22"/>
          <w:lang w:val="en-US" w:eastAsia="ko-KR"/>
        </w:rPr>
        <w:t>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2a: Conditions for CCA BUSY on the Primary 2 MHz in Type 2 Channelization for 8/16MHz intended transmit channel width</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 xml:space="preserve">Table 2a: Conditions for CCA BUSY on the Primary 2 MHz in Type 2 Channelization for 8/16MHz intended transmit channel width </w:t>
      </w:r>
      <w:r w:rsidRPr="003C042C">
        <w:rPr>
          <w:rFonts w:eastAsia="Batang"/>
          <w:sz w:val="20"/>
          <w:szCs w:val="22"/>
          <w:lang w:val="en-US" w:eastAsia="ko-KR"/>
        </w:rPr>
        <w:fldChar w:fldCharType="end"/>
      </w:r>
      <w:r w:rsidRPr="003C042C">
        <w:rPr>
          <w:rFonts w:eastAsia="Batang"/>
          <w:sz w:val="20"/>
          <w:szCs w:val="22"/>
          <w:lang w:val="en-US" w:eastAsia="ko-KR"/>
        </w:rPr>
        <w:t xml:space="preserve">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 xml:space="preserve">(BUSY, channel-list)) for the duration of the PPDU.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Additionally, when a STA detects a PPDU with its PAID or BSSID of its own,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for the protected duration of the PPDU. </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noProof/>
          <w:sz w:val="20"/>
          <w:lang w:val="en-US" w:eastAsia="ko-KR"/>
        </w:rPr>
        <w:t>a</w:t>
      </w:r>
      <w:r w:rsidRPr="003C042C">
        <w:rPr>
          <w:rFonts w:asciiTheme="minorHAnsi" w:eastAsia="Batang" w:hAnsiTheme="minorHAnsi" w:cstheme="minorBidi"/>
          <w:b/>
          <w:bCs/>
          <w:sz w:val="20"/>
          <w:lang w:val="en-US" w:eastAsia="ko-KR"/>
        </w:rPr>
        <w:t>: Conditions for CCA BUSY on the Primary 2 MHz in Type 2 Channelization for 8/16MHz intended channel width</w:t>
      </w:r>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 xml:space="preserve">The start of a 1 MHz S1G PPDU in the primary 1 MHz </w:t>
            </w:r>
            <w:r w:rsidRPr="003C042C">
              <w:rPr>
                <w:rFonts w:ascii="Times New Roman" w:hAnsi="Times New Roman" w:cs="Times New Roman"/>
                <w:sz w:val="20"/>
                <w:lang w:val="en-US" w:eastAsia="ko-KR"/>
              </w:rPr>
              <w:lastRenderedPageBreak/>
              <w:t xml:space="preserve">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The start of a</w:t>
            </w:r>
            <w:r w:rsidR="000443BF">
              <w:rPr>
                <w:rFonts w:ascii="Times New Roman" w:hAnsi="Times New Roman" w:cs="Times New Roman"/>
                <w:sz w:val="20"/>
                <w:lang w:val="en-US" w:eastAsia="ko-KR"/>
              </w:rPr>
              <w:t xml:space="preserve"> 16 MHz S1G PPDU at or above –77</w:t>
            </w:r>
            <w:r w:rsidRPr="003C042C">
              <w:rPr>
                <w:rFonts w:ascii="Times New Roman" w:hAnsi="Times New Roman" w:cs="Times New Roman"/>
                <w:sz w:val="20"/>
                <w:lang w:val="en-US" w:eastAsia="ko-KR"/>
              </w:rPr>
              <w:t xml:space="preserve">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color w:val="FF0000"/>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sz w:val="20"/>
          <w:lang w:val="en-US" w:eastAsia="ko-KR"/>
        </w:rPr>
      </w:pPr>
      <w:r w:rsidRPr="003C042C">
        <w:rPr>
          <w:rFonts w:ascii="Arial" w:eastAsia="Batang" w:hAnsi="Arial" w:cs="Arial"/>
          <w:b/>
          <w:bCs/>
          <w:sz w:val="20"/>
          <w:lang w:val="en-US" w:eastAsia="ko-KR"/>
        </w:rPr>
        <w:t>24.3.19.5.5 CCA sensitivity for signals not occupying the primary 2MHz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for detecting signals in the Secondary channels may be classified separately for Type 1 or Type 2 channels.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are not present and one of the following conditions are present in an otherwise idle 4 MHz,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2 MHz channel at or above a threshold of  –72dBm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1 channels, a 2 MHz S1G PPDU detected in the secondary 2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a 2 MHz S1G PPDU detected in the secondary 2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{secondary4})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are not present and one of the following conditions are present in an otherwise idle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4 MHz channel at or above a threshold of  – 69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lastRenderedPageBreak/>
        <w:t xml:space="preserve">A 4 MHz S1G PPDU detected in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if the conditions for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are not present and one of the following conditions are present in an otherwise idle 160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8 MHz channel at or above  – 66 </w:t>
      </w:r>
      <w:proofErr w:type="spellStart"/>
      <w:r w:rsidRPr="003C042C">
        <w:rPr>
          <w:rFonts w:eastAsia="Batang"/>
          <w:w w:val="0"/>
          <w:sz w:val="20"/>
          <w:lang w:val="en-US" w:eastAsia="ko-KR"/>
        </w:rPr>
        <w:t>dBm</w:t>
      </w:r>
      <w:proofErr w:type="spellEnd"/>
      <w:r w:rsidRPr="003C042C">
        <w:rPr>
          <w:rFonts w:eastAsia="Batang"/>
          <w:w w:val="0"/>
          <w:sz w:val="20"/>
          <w:lang w:val="en-US" w:eastAsia="ko-KR"/>
        </w:rPr>
        <w:t>.</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83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2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79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Default="003C042C"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lang w:val="en-US"/>
        </w:rPr>
      </w:pPr>
      <w:r>
        <w:rPr>
          <w:highlight w:val="yellow"/>
          <w:lang w:val="en-US"/>
        </w:rPr>
        <w:t xml:space="preserve">[Note to </w:t>
      </w:r>
      <w:proofErr w:type="spellStart"/>
      <w:r w:rsidRPr="00AC3299">
        <w:rPr>
          <w:highlight w:val="yellow"/>
          <w:lang w:val="en-US"/>
        </w:rPr>
        <w:t>TGah</w:t>
      </w:r>
      <w:proofErr w:type="spellEnd"/>
      <w:r w:rsidRPr="00AC3299">
        <w:rPr>
          <w:highlight w:val="yellow"/>
          <w:lang w:val="en-US"/>
        </w:rPr>
        <w:t xml:space="preserve"> Editor: Please </w:t>
      </w:r>
      <w:r w:rsidR="00D24ABE">
        <w:rPr>
          <w:highlight w:val="yellow"/>
          <w:lang w:val="en-US"/>
        </w:rPr>
        <w:t>mak</w:t>
      </w:r>
      <w:r w:rsidRPr="00AC3299">
        <w:rPr>
          <w:highlight w:val="yellow"/>
          <w:lang w:val="en-US"/>
        </w:rPr>
        <w:t>e the following edits to sections 9.19.2.4 and 9.19.2.8a</w:t>
      </w: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9.19.2.4 Multiple frame transmission in an EDCA TXOP</w:t>
      </w: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r w:rsidRPr="00AC3299">
        <w:rPr>
          <w:rFonts w:ascii="TimesNewRomanPS-BoldItalicMT" w:hAnsi="TimesNewRomanPS-BoldItalicMT" w:cs="TimesNewRomanPS-BoldItalicMT"/>
          <w:b/>
          <w:bCs/>
          <w:i/>
          <w:iCs/>
          <w:color w:val="000000"/>
          <w:sz w:val="20"/>
          <w:highlight w:val="yellow"/>
          <w:lang w:val="en-US" w:eastAsia="ko-KR"/>
        </w:rPr>
        <w:t xml:space="preserve">Insert the following paragraph at the end of the </w:t>
      </w:r>
      <w:proofErr w:type="spellStart"/>
      <w:r w:rsidRPr="00AC3299">
        <w:rPr>
          <w:rFonts w:ascii="TimesNewRomanPS-BoldItalicMT" w:hAnsi="TimesNewRomanPS-BoldItalicMT" w:cs="TimesNewRomanPS-BoldItalicMT"/>
          <w:b/>
          <w:bCs/>
          <w:i/>
          <w:iCs/>
          <w:color w:val="000000"/>
          <w:sz w:val="20"/>
          <w:highlight w:val="yellow"/>
          <w:lang w:val="en-US" w:eastAsia="ko-KR"/>
        </w:rPr>
        <w:t>subclause</w:t>
      </w:r>
      <w:proofErr w:type="spellEnd"/>
      <w:r w:rsidRPr="00AC3299">
        <w:rPr>
          <w:rFonts w:ascii="TimesNewRomanPS-BoldItalicMT" w:hAnsi="TimesNewRomanPS-BoldItalicMT" w:cs="TimesNewRomanPS-BoldItalicMT"/>
          <w:b/>
          <w:bCs/>
          <w:i/>
          <w:iCs/>
          <w:color w:val="000000"/>
          <w:sz w:val="20"/>
          <w:highlight w:val="yellow"/>
          <w:lang w:val="en-US" w:eastAsia="ko-KR"/>
        </w:rPr>
        <w:t xml:space="preserve"> 9.19.2.4:</w:t>
      </w:r>
    </w:p>
    <w:p w:rsidR="00AC3299" w:rsidRDefault="00AC3299" w:rsidP="00AC3299">
      <w:pPr>
        <w:autoSpaceDE w:val="0"/>
        <w:autoSpaceDN w:val="0"/>
        <w:adjustRightInd w:val="0"/>
        <w:rPr>
          <w:rFonts w:ascii="TimesNewRomanPSMT" w:hAnsi="TimesNewRomanPSMT" w:cs="TimesNewRomanPSMT"/>
          <w:color w:val="000000"/>
          <w:sz w:val="20"/>
          <w:lang w:val="en-US" w:eastAsia="ko-KR"/>
        </w:rPr>
      </w:pP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When both TXOP holder and TXOP responder indicate the OBSS mitigation support in the OBSS</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mitigation support subfield of the S1G Capabilities element, the TXOP holder shall set the TXVECTOR</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parameter CH_BANDWIDTH of a S1G PPDU to be the same or narrower than RXVECTOR parameter</w:t>
      </w:r>
    </w:p>
    <w:p w:rsidR="00AC3299" w:rsidRDefault="00AC3299" w:rsidP="00AC3299">
      <w:pPr>
        <w:autoSpaceDE w:val="0"/>
        <w:autoSpaceDN w:val="0"/>
        <w:adjustRightInd w:val="0"/>
        <w:rPr>
          <w:lang w:val="en-US"/>
        </w:rPr>
      </w:pPr>
      <w:r>
        <w:rPr>
          <w:rFonts w:ascii="TimesNewRomanPSMT" w:hAnsi="TimesNewRomanPSMT" w:cs="TimesNewRomanPSMT"/>
          <w:color w:val="000000"/>
          <w:szCs w:val="22"/>
          <w:lang w:val="en-US" w:eastAsia="ko-KR"/>
        </w:rPr>
        <w:t xml:space="preserve">CH_BANDWIDTH of the last received (duplicated) &gt;= 2MHz NDP ACK frame in the same TXOP. </w:t>
      </w:r>
      <w:r>
        <w:rPr>
          <w:rFonts w:ascii="TimesNewRomanPSMT" w:hAnsi="TimesNewRomanPSMT" w:cs="TimesNewRomanPSMT"/>
          <w:color w:val="218B21"/>
          <w:szCs w:val="22"/>
          <w:lang w:val="en-US" w:eastAsia="ko-KR"/>
        </w:rPr>
        <w:t>(#833,75, 247)</w:t>
      </w:r>
      <w:r>
        <w:rPr>
          <w:lang w:val="en-US"/>
        </w:rPr>
        <w:t xml:space="preserve"> </w:t>
      </w:r>
    </w:p>
    <w:p w:rsidR="00AC3299" w:rsidRDefault="00AC3299" w:rsidP="00AC3299">
      <w:pPr>
        <w:autoSpaceDE w:val="0"/>
        <w:autoSpaceDN w:val="0"/>
        <w:adjustRightInd w:val="0"/>
        <w:rPr>
          <w:lang w:val="en-US"/>
        </w:rPr>
      </w:pPr>
    </w:p>
    <w:p w:rsidR="00AC3299" w:rsidRPr="00AC3299" w:rsidRDefault="00AC3299" w:rsidP="00AC3299">
      <w:pPr>
        <w:autoSpaceDE w:val="0"/>
        <w:autoSpaceDN w:val="0"/>
        <w:adjustRightInd w:val="0"/>
        <w:rPr>
          <w:rFonts w:eastAsia="Batang"/>
          <w:szCs w:val="22"/>
          <w:lang w:val="en-US" w:eastAsia="ko-KR"/>
        </w:rPr>
      </w:pPr>
      <w:r w:rsidRPr="00AC3299">
        <w:rPr>
          <w:rFonts w:ascii="TimesNewRomanPSMT" w:hAnsi="TimesNewRomanPSMT" w:cs="TimesNewRomanPSMT"/>
          <w:szCs w:val="22"/>
          <w:highlight w:val="yellow"/>
          <w:lang w:val="en-US" w:eastAsia="ko-KR"/>
        </w:rPr>
        <w:t xml:space="preserve">If a S1G STA intending to transmit 8 or 16 MHz channel width invokes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 channel busy conditions as defined in 24.3.19.5.4</w:t>
      </w:r>
      <w:r w:rsidR="000F3B27">
        <w:rPr>
          <w:rFonts w:ascii="TimesNewRomanPSMT" w:hAnsi="TimesNewRomanPSMT" w:cs="TimesNewRomanPSMT"/>
          <w:szCs w:val="22"/>
          <w:highlight w:val="yellow"/>
          <w:lang w:val="en-US" w:eastAsia="ko-KR"/>
        </w:rPr>
        <w:t>.1</w:t>
      </w:r>
      <w:r w:rsidRPr="00AC3299">
        <w:rPr>
          <w:highlight w:val="yellow"/>
          <w:lang w:val="en-US"/>
        </w:rPr>
        <w:t xml:space="preserve">, a dynamic bandwidth operation which results in a TXVECTOR parameter </w:t>
      </w:r>
      <w:r w:rsidRPr="00AC3299">
        <w:rPr>
          <w:highlight w:val="yellow"/>
          <w:lang w:val="en-US"/>
        </w:rPr>
        <w:lastRenderedPageBreak/>
        <w:t xml:space="preserve">CH_BANDWIDTH of a S1G PPDU that is narrower than the </w:t>
      </w:r>
      <w:r w:rsidR="000F3B27">
        <w:rPr>
          <w:highlight w:val="yellow"/>
          <w:lang w:val="en-US"/>
        </w:rPr>
        <w:t>intended</w:t>
      </w:r>
      <w:r w:rsidRPr="00AC3299">
        <w:rPr>
          <w:highlight w:val="yellow"/>
          <w:lang w:val="en-US"/>
        </w:rPr>
        <w:t xml:space="preserve"> channel width used during the back-off may be ignored.</w:t>
      </w:r>
      <w:r w:rsidRPr="00AC3299">
        <w:rPr>
          <w:lang w:val="en-US"/>
        </w:rPr>
        <w:t xml:space="preserve"> </w:t>
      </w:r>
    </w:p>
    <w:p w:rsidR="00AC3299" w:rsidRDefault="00AC3299" w:rsidP="00AC3299">
      <w:pPr>
        <w:autoSpaceDE w:val="0"/>
        <w:autoSpaceDN w:val="0"/>
        <w:adjustRightInd w:val="0"/>
        <w:rPr>
          <w:rFonts w:eastAsia="Batang"/>
          <w:szCs w:val="22"/>
          <w:lang w:val="en-US" w:eastAsia="ko-KR"/>
        </w:rPr>
      </w:pPr>
    </w:p>
    <w:p w:rsidR="00AC3299" w:rsidRDefault="00AC3299" w:rsidP="00AC3299">
      <w:pPr>
        <w:autoSpaceDE w:val="0"/>
        <w:autoSpaceDN w:val="0"/>
        <w:adjustRightInd w:val="0"/>
        <w:rPr>
          <w:rFonts w:ascii="TimesNewRomanPSMT" w:hAnsi="TimesNewRomanPSMT" w:cs="TimesNewRomanPSMT"/>
          <w:sz w:val="20"/>
          <w:lang w:val="en-US" w:eastAsia="ko-KR"/>
        </w:rPr>
      </w:pPr>
      <w:r>
        <w:rPr>
          <w:rFonts w:ascii="Arial-BoldMT" w:hAnsi="Arial-BoldMT" w:cs="Arial-BoldMT"/>
          <w:b/>
          <w:bCs/>
          <w:color w:val="000000"/>
          <w:sz w:val="20"/>
          <w:lang w:val="en-US" w:eastAsia="ko-KR"/>
        </w:rPr>
        <w:t>9.19.2.8a EDCA channel access in a S1G BSS</w:t>
      </w:r>
      <w:r>
        <w:rPr>
          <w:rFonts w:ascii="Arial-BoldMT" w:hAnsi="Arial-BoldMT" w:cs="Arial-BoldMT"/>
          <w:b/>
          <w:bCs/>
          <w:color w:val="218B21"/>
          <w:sz w:val="20"/>
          <w:lang w:val="en-US" w:eastAsia="ko-KR"/>
        </w:rPr>
        <w:t>(#866)</w:t>
      </w:r>
    </w:p>
    <w:p w:rsidR="00AC3299" w:rsidRDefault="00AC3299" w:rsidP="00AC3299">
      <w:pPr>
        <w:autoSpaceDE w:val="0"/>
        <w:autoSpaceDN w:val="0"/>
        <w:adjustRightInd w:val="0"/>
        <w:rPr>
          <w:rFonts w:ascii="TimesNewRomanPSMT" w:hAnsi="TimesNewRomanPSMT" w:cs="TimesNewRomanPSMT"/>
          <w:sz w:val="20"/>
          <w:lang w:val="en-US" w:eastAsia="ko-KR"/>
        </w:rPr>
      </w:pP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If an S1G STA </w:t>
      </w:r>
      <w:r w:rsidRPr="00D24ABE">
        <w:rPr>
          <w:rFonts w:ascii="TimesNewRomanPSMT" w:hAnsi="TimesNewRomanPSMT" w:cs="TimesNewRomanPSMT"/>
          <w:strike/>
          <w:szCs w:val="22"/>
          <w:highlight w:val="yellow"/>
          <w:lang w:val="en-US" w:eastAsia="ko-KR"/>
        </w:rPr>
        <w:t>(e.g., offloading STA)</w:t>
      </w:r>
      <w:r>
        <w:rPr>
          <w:rFonts w:ascii="TimesNewRomanPSMT" w:hAnsi="TimesNewRomanPSMT" w:cs="TimesNewRomanPSMT"/>
          <w:szCs w:val="22"/>
          <w:lang w:val="en-US" w:eastAsia="ko-KR"/>
        </w:rPr>
        <w:t xml:space="preserve"> invokes a </w:t>
      </w:r>
      <w:proofErr w:type="spellStart"/>
      <w:r>
        <w:rPr>
          <w:rFonts w:ascii="TimesNewRomanPSMT" w:hAnsi="TimesNewRomanPSMT" w:cs="TimesNewRomanPSMT"/>
          <w:szCs w:val="22"/>
          <w:lang w:val="en-US" w:eastAsia="ko-KR"/>
        </w:rPr>
        <w:t>backoff</w:t>
      </w:r>
      <w:proofErr w:type="spellEnd"/>
      <w:r>
        <w:rPr>
          <w:rFonts w:ascii="TimesNewRomanPSMT" w:hAnsi="TimesNewRomanPSMT" w:cs="TimesNewRomanPSMT"/>
          <w:szCs w:val="22"/>
          <w:lang w:val="en-US" w:eastAsia="ko-KR"/>
        </w:rPr>
        <w:t xml:space="preserve"> procedure at the primary 2MHz channel for &gt;=</w:t>
      </w: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2MHz PPDU transmission </w:t>
      </w:r>
      <w:r w:rsidR="00B86732" w:rsidRPr="00B86732">
        <w:rPr>
          <w:rFonts w:ascii="TimesNewRomanPSMT" w:hAnsi="TimesNewRomanPSMT" w:cs="TimesNewRomanPSMT"/>
          <w:szCs w:val="22"/>
          <w:highlight w:val="yellow"/>
          <w:lang w:val="en-US" w:eastAsia="ko-KR"/>
        </w:rPr>
        <w:t>using the CCA conditions defined in 24.3.19.5.4</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and the S1G STA is permitted to begin a TXOP (as defined in 9.19.2.3</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(Obtaining an EDCA TXOP)) and the S1G STA has at least one MSDU pending for transmission for the AC of the permitted TXOP, the S1G STA shall perform exactly one of the following steps:</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a) Transmit a 16 MHz mask PPDU if the secondary 2MHz channel, the secondary 4 MHz channel and the secondary 8 MHz channel were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b) Transmit an 8 MHz mask PPDU on the primary 8 MHz channel if both the secondary 2 MHz</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channel and the secondary 4 MHz channel were idle during an interval of PIFS immediately</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 Transmit a 4 MHz mask PPDU on the primary 4 MHz channel if the secondary 2 MHz channel was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d) Transmit a 2 MHz mask PPDU on the primary 2 MHz channel</w:t>
      </w:r>
    </w:p>
    <w:p w:rsidR="00AC3299" w:rsidRDefault="00AC3299" w:rsidP="00AC3299">
      <w:pPr>
        <w:autoSpaceDE w:val="0"/>
        <w:autoSpaceDN w:val="0"/>
        <w:adjustRightInd w:val="0"/>
        <w:ind w:left="720"/>
        <w:rPr>
          <w:rFonts w:ascii="TimesNewRomanPSMT" w:hAnsi="TimesNewRomanPSMT" w:cs="TimesNewRomanPSMT"/>
          <w:szCs w:val="22"/>
          <w:lang w:val="en-US" w:eastAsia="ko-KR"/>
        </w:rPr>
      </w:pPr>
    </w:p>
    <w:p w:rsidR="00AC3299" w:rsidRPr="00AC3299" w:rsidRDefault="00C23B25" w:rsidP="00AC3299">
      <w:pPr>
        <w:autoSpaceDE w:val="0"/>
        <w:autoSpaceDN w:val="0"/>
        <w:adjustRightInd w:val="0"/>
        <w:rPr>
          <w:rFonts w:ascii="TimesNewRomanPSMT" w:hAnsi="TimesNewRomanPSMT" w:cs="TimesNewRomanPSMT"/>
          <w:szCs w:val="22"/>
          <w:highlight w:val="yellow"/>
          <w:lang w:val="en-US" w:eastAsia="ko-KR"/>
        </w:rPr>
      </w:pPr>
      <w:r>
        <w:rPr>
          <w:rFonts w:ascii="TimesNewRomanPSMT" w:hAnsi="TimesNewRomanPSMT" w:cs="TimesNewRomanPSMT"/>
          <w:szCs w:val="22"/>
          <w:highlight w:val="yellow"/>
          <w:lang w:val="en-US" w:eastAsia="ko-KR"/>
        </w:rPr>
        <w:t>A</w:t>
      </w:r>
      <w:r w:rsidR="0026522C">
        <w:rPr>
          <w:rFonts w:ascii="TimesNewRomanPSMT" w:hAnsi="TimesNewRomanPSMT" w:cs="TimesNewRomanPSMT"/>
          <w:szCs w:val="22"/>
          <w:highlight w:val="yellow"/>
          <w:lang w:val="en-US" w:eastAsia="ko-KR"/>
        </w:rPr>
        <w:t>n</w:t>
      </w:r>
      <w:r w:rsidR="00AC3299" w:rsidRPr="00AC3299">
        <w:rPr>
          <w:rFonts w:ascii="TimesNewRomanPSMT" w:hAnsi="TimesNewRomanPSMT" w:cs="TimesNewRomanPSMT"/>
          <w:szCs w:val="22"/>
          <w:highlight w:val="yellow"/>
          <w:lang w:val="en-US" w:eastAsia="ko-KR"/>
        </w:rPr>
        <w:t xml:space="preserve"> S1G STA </w:t>
      </w:r>
      <w:r w:rsidR="00BA3F04">
        <w:rPr>
          <w:rFonts w:ascii="TimesNewRomanPSMT" w:hAnsi="TimesNewRomanPSMT" w:cs="TimesNewRomanPSMT"/>
          <w:szCs w:val="22"/>
          <w:highlight w:val="yellow"/>
          <w:lang w:val="en-US" w:eastAsia="ko-KR"/>
        </w:rPr>
        <w:t xml:space="preserve">may </w:t>
      </w:r>
      <w:r>
        <w:rPr>
          <w:rFonts w:ascii="TimesNewRomanPSMT" w:hAnsi="TimesNewRomanPSMT" w:cs="TimesNewRomanPSMT"/>
          <w:szCs w:val="22"/>
          <w:highlight w:val="yellow"/>
          <w:lang w:val="en-US" w:eastAsia="ko-KR"/>
        </w:rPr>
        <w:t xml:space="preserve">also invoke a </w:t>
      </w:r>
      <w:proofErr w:type="spellStart"/>
      <w:r>
        <w:rPr>
          <w:rFonts w:ascii="TimesNewRomanPSMT" w:hAnsi="TimesNewRomanPSMT" w:cs="TimesNewRomanPSMT"/>
          <w:szCs w:val="22"/>
          <w:highlight w:val="yellow"/>
          <w:lang w:val="en-US" w:eastAsia="ko-KR"/>
        </w:rPr>
        <w:t>backoff</w:t>
      </w:r>
      <w:proofErr w:type="spellEnd"/>
      <w:r>
        <w:rPr>
          <w:rFonts w:ascii="TimesNewRomanPSMT" w:hAnsi="TimesNewRomanPSMT" w:cs="TimesNewRomanPSMT"/>
          <w:szCs w:val="22"/>
          <w:highlight w:val="yellow"/>
          <w:lang w:val="en-US" w:eastAsia="ko-KR"/>
        </w:rPr>
        <w:t xml:space="preserve"> procedure</w:t>
      </w:r>
      <w:r w:rsidRPr="00AC3299">
        <w:rPr>
          <w:rFonts w:ascii="TimesNewRomanPSMT" w:hAnsi="TimesNewRomanPSMT" w:cs="TimesNewRomanPSMT"/>
          <w:szCs w:val="22"/>
          <w:highlight w:val="yellow"/>
          <w:lang w:val="en-US" w:eastAsia="ko-KR"/>
        </w:rPr>
        <w:t xml:space="preserve"> </w:t>
      </w:r>
      <w:r w:rsidR="0052039E">
        <w:rPr>
          <w:rFonts w:ascii="TimesNewRomanPSMT" w:hAnsi="TimesNewRomanPSMT" w:cs="TimesNewRomanPSMT"/>
          <w:szCs w:val="22"/>
          <w:highlight w:val="yellow"/>
          <w:lang w:val="en-US" w:eastAsia="ko-KR"/>
        </w:rPr>
        <w:t>at</w:t>
      </w:r>
      <w:r w:rsidR="00AC3299" w:rsidRPr="00AC3299">
        <w:rPr>
          <w:rFonts w:ascii="TimesNewRomanPSMT" w:hAnsi="TimesNewRomanPSMT" w:cs="TimesNewRomanPSMT"/>
          <w:szCs w:val="22"/>
          <w:highlight w:val="yellow"/>
          <w:lang w:val="en-US" w:eastAsia="ko-KR"/>
        </w:rPr>
        <w:t xml:space="preserve"> the primary 2MHz channel</w:t>
      </w:r>
      <w:r w:rsidR="00422270">
        <w:rPr>
          <w:rFonts w:ascii="TimesNewRomanPSMT" w:hAnsi="TimesNewRomanPSMT" w:cs="TimesNewRomanPSMT"/>
          <w:szCs w:val="22"/>
          <w:highlight w:val="yellow"/>
          <w:lang w:val="en-US" w:eastAsia="ko-KR"/>
        </w:rPr>
        <w:t xml:space="preserve"> for </w:t>
      </w:r>
      <w:r w:rsidR="00422270" w:rsidRPr="00AC3299">
        <w:rPr>
          <w:rFonts w:ascii="TimesNewRomanPSMT" w:hAnsi="TimesNewRomanPSMT" w:cs="TimesNewRomanPSMT"/>
          <w:szCs w:val="22"/>
          <w:highlight w:val="yellow"/>
          <w:lang w:val="en-US" w:eastAsia="ko-KR"/>
        </w:rPr>
        <w:t>&gt;= 2MHz PPDU transmission</w:t>
      </w:r>
      <w:r w:rsidR="00422270">
        <w:rPr>
          <w:rFonts w:ascii="TimesNewRomanPSMT" w:hAnsi="TimesNewRomanPSMT" w:cs="TimesNewRomanPSMT"/>
          <w:szCs w:val="22"/>
          <w:highlight w:val="yellow"/>
          <w:lang w:val="en-US" w:eastAsia="ko-KR"/>
        </w:rPr>
        <w:t>s</w:t>
      </w:r>
      <w:r w:rsidR="00AC3299" w:rsidRPr="00AC3299">
        <w:rPr>
          <w:rFonts w:ascii="TimesNewRomanPSMT" w:hAnsi="TimesNewRomanPSMT" w:cs="TimesNewRomanPSMT"/>
          <w:szCs w:val="22"/>
          <w:highlight w:val="yellow"/>
          <w:lang w:val="en-US" w:eastAsia="ko-KR"/>
        </w:rPr>
        <w:t xml:space="preserve"> using the</w:t>
      </w:r>
      <w:r w:rsidR="00F36E12">
        <w:rPr>
          <w:rFonts w:ascii="TimesNewRomanPSMT" w:hAnsi="TimesNewRomanPSMT" w:cs="TimesNewRomanPSMT"/>
          <w:szCs w:val="22"/>
          <w:highlight w:val="yellow"/>
          <w:lang w:val="en-US" w:eastAsia="ko-KR"/>
        </w:rPr>
        <w:t xml:space="preserve"> intended</w:t>
      </w:r>
      <w:r w:rsidR="00AC3299" w:rsidRPr="00AC3299">
        <w:rPr>
          <w:rFonts w:ascii="TimesNewRomanPSMT" w:hAnsi="TimesNewRomanPSMT" w:cs="TimesNewRomanPSMT"/>
          <w:szCs w:val="22"/>
          <w:highlight w:val="yellow"/>
          <w:lang w:val="en-US" w:eastAsia="ko-KR"/>
        </w:rPr>
        <w:t xml:space="preserve"> </w:t>
      </w:r>
      <w:r w:rsidR="00F36E12">
        <w:rPr>
          <w:rFonts w:ascii="TimesNewRomanPSMT" w:hAnsi="TimesNewRomanPSMT" w:cs="TimesNewRomanPSMT"/>
          <w:szCs w:val="22"/>
          <w:highlight w:val="yellow"/>
          <w:lang w:val="en-US" w:eastAsia="ko-KR"/>
        </w:rPr>
        <w:t xml:space="preserve"> 8 or 16 MHz transmit channel width CCA</w:t>
      </w:r>
      <w:r w:rsidR="00AC3299" w:rsidRPr="00AC3299">
        <w:rPr>
          <w:rFonts w:ascii="TimesNewRomanPSMT" w:hAnsi="TimesNewRomanPSMT" w:cs="TimesNewRomanPSMT"/>
          <w:szCs w:val="22"/>
          <w:highlight w:val="yellow"/>
          <w:lang w:val="en-US" w:eastAsia="ko-KR"/>
        </w:rPr>
        <w:t xml:space="preserve"> conditions as defined in 24.3.19.5.4</w:t>
      </w:r>
      <w:r w:rsidR="00F36E12">
        <w:rPr>
          <w:rFonts w:ascii="TimesNewRomanPSMT" w:hAnsi="TimesNewRomanPSMT" w:cs="TimesNewRomanPSMT"/>
          <w:szCs w:val="22"/>
          <w:highlight w:val="yellow"/>
          <w:lang w:val="en-US" w:eastAsia="ko-KR"/>
        </w:rPr>
        <w:t>.1</w:t>
      </w:r>
      <w:r w:rsidR="007D3237">
        <w:rPr>
          <w:rFonts w:ascii="TimesNewRomanPSMT" w:hAnsi="TimesNewRomanPSMT" w:cs="TimesNewRomanPSMT"/>
          <w:szCs w:val="22"/>
          <w:highlight w:val="yellow"/>
          <w:lang w:val="en-US" w:eastAsia="ko-KR"/>
        </w:rPr>
        <w:t>, and</w:t>
      </w:r>
      <w:r w:rsidR="0026522C">
        <w:rPr>
          <w:rFonts w:ascii="TimesNewRomanPSMT" w:hAnsi="TimesNewRomanPSMT" w:cs="TimesNewRomanPSMT"/>
          <w:szCs w:val="22"/>
          <w:highlight w:val="yellow"/>
          <w:lang w:val="en-US" w:eastAsia="ko-KR"/>
        </w:rPr>
        <w:t xml:space="preserve"> </w:t>
      </w:r>
      <w:r w:rsidR="007D3237">
        <w:rPr>
          <w:rFonts w:ascii="TimesNewRomanPSMT" w:hAnsi="TimesNewRomanPSMT" w:cs="TimesNewRomanPSMT"/>
          <w:szCs w:val="22"/>
          <w:highlight w:val="yellow"/>
          <w:lang w:val="en-US" w:eastAsia="ko-KR"/>
        </w:rPr>
        <w:t>i</w:t>
      </w:r>
      <w:r>
        <w:rPr>
          <w:rFonts w:ascii="TimesNewRomanPSMT" w:hAnsi="TimesNewRomanPSMT" w:cs="TimesNewRomanPSMT"/>
          <w:szCs w:val="22"/>
          <w:highlight w:val="yellow"/>
          <w:lang w:val="en-US" w:eastAsia="ko-KR"/>
        </w:rPr>
        <w:t xml:space="preserve">f </w:t>
      </w:r>
      <w:r w:rsidR="00AC3299" w:rsidRPr="00AC3299">
        <w:rPr>
          <w:rFonts w:ascii="TimesNewRomanPSMT" w:hAnsi="TimesNewRomanPSMT" w:cs="TimesNewRomanPSMT"/>
          <w:szCs w:val="22"/>
          <w:highlight w:val="yellow"/>
          <w:lang w:val="en-US" w:eastAsia="ko-KR"/>
        </w:rPr>
        <w:t>the S1G STA is permitted to begin a TXOP (as defined in 9.19.2.3(Obtaining an EDCA TXOP)) and the S1G STA has at least one MSDU pending for transmission for the AC of the permitted TXOP, the S1G STA shall perform exactly one of the following steps:</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a) Transmit a 16 MHz mask PPDU if the secondary 2MHz channel, the secondary 4 MHz channel and the secondary 8 MHz channel were idle during an interval of PIFS immediately preceding the start of the TXOP</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b) Transmit an 8 MHz mask PPDU on the primary 8 MHz channel if both the secondary 2 MHz</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channel and the secondary 4 MHz channel were idle during an interval of PIFS immediately</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preceding the start of the TXOP</w:t>
      </w:r>
    </w:p>
    <w:p w:rsidR="00AC3299" w:rsidRDefault="00AC3299" w:rsidP="00AC3299">
      <w:pPr>
        <w:autoSpaceDE w:val="0"/>
        <w:autoSpaceDN w:val="0"/>
        <w:adjustRightInd w:val="0"/>
        <w:ind w:left="720"/>
        <w:rPr>
          <w:szCs w:val="22"/>
          <w:lang w:val="en-US"/>
        </w:rPr>
      </w:pPr>
      <w:r w:rsidRPr="00AC3299">
        <w:rPr>
          <w:rFonts w:ascii="TimesNewRomanPSMT" w:hAnsi="TimesNewRomanPSMT" w:cs="TimesNewRomanPSMT"/>
          <w:szCs w:val="22"/>
          <w:highlight w:val="yellow"/>
          <w:lang w:val="en-US" w:eastAsia="ko-KR"/>
        </w:rPr>
        <w:t xml:space="preserve">c) Invoke a new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if the secondary 2MHz and/or the secondary 4MHz channel were busy.</w:t>
      </w:r>
    </w:p>
    <w:p w:rsidR="00AC3299" w:rsidRPr="003C042C" w:rsidRDefault="00AC3299" w:rsidP="003C042C">
      <w:pPr>
        <w:autoSpaceDE w:val="0"/>
        <w:autoSpaceDN w:val="0"/>
        <w:adjustRightInd w:val="0"/>
        <w:rPr>
          <w:lang w:val="en-US"/>
        </w:rPr>
      </w:pPr>
    </w:p>
    <w:sectPr w:rsidR="00AC3299" w:rsidRPr="003C04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6E" w:rsidRDefault="00E9686E">
      <w:r>
        <w:separator/>
      </w:r>
    </w:p>
  </w:endnote>
  <w:endnote w:type="continuationSeparator" w:id="0">
    <w:p w:rsidR="00E9686E" w:rsidRDefault="00E9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4A1B47">
      <w:rPr>
        <w:noProof/>
        <w:lang w:val="fr-FR"/>
      </w:rPr>
      <w:t>2</w:t>
    </w:r>
    <w:r>
      <w:fldChar w:fldCharType="end"/>
    </w:r>
    <w:r>
      <w:rPr>
        <w:lang w:val="fr-FR"/>
      </w:rPr>
      <w:tab/>
    </w:r>
    <w:r w:rsidR="00C9760B">
      <w:t>Eugene Baik, Qualcomm</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6E" w:rsidRDefault="00E9686E">
      <w:r>
        <w:separator/>
      </w:r>
    </w:p>
  </w:footnote>
  <w:footnote w:type="continuationSeparator" w:id="0">
    <w:p w:rsidR="00E9686E" w:rsidRDefault="00E9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04158A" w:rsidP="006851C5">
    <w:pPr>
      <w:pStyle w:val="Header"/>
      <w:tabs>
        <w:tab w:val="clear" w:pos="6480"/>
        <w:tab w:val="center" w:pos="4680"/>
        <w:tab w:val="right" w:pos="9360"/>
      </w:tabs>
    </w:pPr>
    <w:fldSimple w:instr=" KEYWORDS  \* MERGEFORMAT ">
      <w:r w:rsidR="00423DE9">
        <w:rPr>
          <w:rFonts w:eastAsia="Malgun Gothic" w:hint="eastAsia"/>
          <w:lang w:eastAsia="ko-KR"/>
        </w:rPr>
        <w:t>September</w:t>
      </w:r>
      <w:r w:rsidR="002D0F36">
        <w:t xml:space="preserve"> 201</w:t>
      </w:r>
      <w:r w:rsidR="00423DE9">
        <w:rPr>
          <w:rFonts w:eastAsia="Malgun Gothic" w:hint="eastAsia"/>
          <w:lang w:eastAsia="ko-KR"/>
        </w:rPr>
        <w:t>3</w:t>
      </w:r>
    </w:fldSimple>
    <w:r w:rsidR="00A20FCE">
      <w:tab/>
    </w:r>
    <w:r w:rsidR="00A20FCE">
      <w:tab/>
    </w:r>
    <w:fldSimple w:instr=" TITLE  \* MERGEFORMAT ">
      <w:r w:rsidR="002D0F36">
        <w:t>doc.:</w:t>
      </w:r>
      <w:r w:rsidR="00B6777A">
        <w:t xml:space="preserve"> IEEE 802.11-1</w:t>
      </w:r>
      <w:r w:rsidR="00423DE9">
        <w:rPr>
          <w:rFonts w:eastAsia="Malgun Gothic" w:hint="eastAsia"/>
          <w:lang w:eastAsia="ko-KR"/>
        </w:rPr>
        <w:t>3</w:t>
      </w:r>
      <w:r w:rsidR="002D0F36">
        <w:t>/</w:t>
      </w:r>
      <w:r w:rsidR="00C9760B">
        <w:rPr>
          <w:rFonts w:eastAsia="Malgun Gothic" w:hint="eastAsia"/>
          <w:lang w:eastAsia="ko-KR"/>
        </w:rPr>
        <w:t>1</w:t>
      </w:r>
      <w:r w:rsidR="00C9760B">
        <w:rPr>
          <w:rFonts w:eastAsia="Malgun Gothic"/>
          <w:lang w:eastAsia="ko-KR"/>
        </w:rPr>
        <w:t>188</w:t>
      </w:r>
      <w:r w:rsidR="002D0F36">
        <w:t>r</w:t>
      </w:r>
      <w:r w:rsidR="00B6777A">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AC"/>
    <w:multiLevelType w:val="hybridMultilevel"/>
    <w:tmpl w:val="48F4142A"/>
    <w:lvl w:ilvl="0" w:tplc="E4D42D7C">
      <w:start w:val="24"/>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7">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4"/>
  </w:num>
  <w:num w:numId="8">
    <w:abstractNumId w:val="7"/>
  </w:num>
  <w:num w:numId="9">
    <w:abstractNumId w:val="1"/>
  </w:num>
  <w:num w:numId="10">
    <w:abstractNumId w:val="2"/>
  </w:num>
  <w:num w:numId="11">
    <w:abstractNumId w:val="16"/>
  </w:num>
  <w:num w:numId="12">
    <w:abstractNumId w:val="15"/>
  </w:num>
  <w:num w:numId="13">
    <w:abstractNumId w:val="28"/>
  </w:num>
  <w:num w:numId="14">
    <w:abstractNumId w:val="27"/>
  </w:num>
  <w:num w:numId="15">
    <w:abstractNumId w:val="15"/>
  </w:num>
  <w:num w:numId="16">
    <w:abstractNumId w:val="15"/>
  </w:num>
  <w:num w:numId="17">
    <w:abstractNumId w:val="15"/>
  </w:num>
  <w:num w:numId="18">
    <w:abstractNumId w:val="26"/>
  </w:num>
  <w:num w:numId="19">
    <w:abstractNumId w:val="14"/>
  </w:num>
  <w:num w:numId="20">
    <w:abstractNumId w:val="30"/>
  </w:num>
  <w:num w:numId="21">
    <w:abstractNumId w:val="23"/>
  </w:num>
  <w:num w:numId="22">
    <w:abstractNumId w:val="29"/>
  </w:num>
  <w:num w:numId="23">
    <w:abstractNumId w:val="24"/>
  </w:num>
  <w:num w:numId="24">
    <w:abstractNumId w:val="5"/>
  </w:num>
  <w:num w:numId="25">
    <w:abstractNumId w:val="21"/>
  </w:num>
  <w:num w:numId="26">
    <w:abstractNumId w:val="12"/>
  </w:num>
  <w:num w:numId="27">
    <w:abstractNumId w:val="3"/>
  </w:num>
  <w:num w:numId="28">
    <w:abstractNumId w:val="8"/>
  </w:num>
  <w:num w:numId="29">
    <w:abstractNumId w:val="9"/>
  </w:num>
  <w:num w:numId="30">
    <w:abstractNumId w:val="19"/>
  </w:num>
  <w:num w:numId="31">
    <w:abstractNumId w:val="10"/>
  </w:num>
  <w:num w:numId="32">
    <w:abstractNumId w:val="17"/>
  </w:num>
  <w:num w:numId="33">
    <w:abstractNumId w:val="6"/>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17DA4"/>
    <w:rsid w:val="000204C9"/>
    <w:rsid w:val="00022C24"/>
    <w:rsid w:val="00025077"/>
    <w:rsid w:val="00026E69"/>
    <w:rsid w:val="000322FC"/>
    <w:rsid w:val="0003260B"/>
    <w:rsid w:val="00034386"/>
    <w:rsid w:val="000410A8"/>
    <w:rsid w:val="0004158A"/>
    <w:rsid w:val="000443BF"/>
    <w:rsid w:val="00052F5D"/>
    <w:rsid w:val="00081BF5"/>
    <w:rsid w:val="00085119"/>
    <w:rsid w:val="000908B3"/>
    <w:rsid w:val="00094C6A"/>
    <w:rsid w:val="0009533E"/>
    <w:rsid w:val="000A390F"/>
    <w:rsid w:val="000A7A59"/>
    <w:rsid w:val="000B011C"/>
    <w:rsid w:val="000B13B4"/>
    <w:rsid w:val="000B4575"/>
    <w:rsid w:val="000B6E4E"/>
    <w:rsid w:val="000C2D5F"/>
    <w:rsid w:val="000C3E97"/>
    <w:rsid w:val="000D052A"/>
    <w:rsid w:val="000F3B27"/>
    <w:rsid w:val="00101E7A"/>
    <w:rsid w:val="00104BD9"/>
    <w:rsid w:val="00115AFA"/>
    <w:rsid w:val="001218BA"/>
    <w:rsid w:val="0012370A"/>
    <w:rsid w:val="0012528A"/>
    <w:rsid w:val="00127E39"/>
    <w:rsid w:val="00135B24"/>
    <w:rsid w:val="00150682"/>
    <w:rsid w:val="0016456A"/>
    <w:rsid w:val="00170B84"/>
    <w:rsid w:val="001711AE"/>
    <w:rsid w:val="00182EC1"/>
    <w:rsid w:val="00183A52"/>
    <w:rsid w:val="0018766E"/>
    <w:rsid w:val="001A0E3D"/>
    <w:rsid w:val="001B57E1"/>
    <w:rsid w:val="001C42C4"/>
    <w:rsid w:val="001C47CF"/>
    <w:rsid w:val="001C6149"/>
    <w:rsid w:val="001D3835"/>
    <w:rsid w:val="001E64FC"/>
    <w:rsid w:val="001E70DD"/>
    <w:rsid w:val="001F4CB5"/>
    <w:rsid w:val="001F7867"/>
    <w:rsid w:val="00212F94"/>
    <w:rsid w:val="0022683D"/>
    <w:rsid w:val="00232D52"/>
    <w:rsid w:val="00233A0D"/>
    <w:rsid w:val="002344BB"/>
    <w:rsid w:val="002370FC"/>
    <w:rsid w:val="0024171E"/>
    <w:rsid w:val="00241E2A"/>
    <w:rsid w:val="00255623"/>
    <w:rsid w:val="0026522C"/>
    <w:rsid w:val="00266155"/>
    <w:rsid w:val="0026642D"/>
    <w:rsid w:val="002676F0"/>
    <w:rsid w:val="0028642B"/>
    <w:rsid w:val="00286F60"/>
    <w:rsid w:val="0029502B"/>
    <w:rsid w:val="00295711"/>
    <w:rsid w:val="00295B4F"/>
    <w:rsid w:val="002A3B5B"/>
    <w:rsid w:val="002A48E8"/>
    <w:rsid w:val="002A5958"/>
    <w:rsid w:val="002C3896"/>
    <w:rsid w:val="002D0F36"/>
    <w:rsid w:val="002D4CD7"/>
    <w:rsid w:val="002D62B3"/>
    <w:rsid w:val="002D7138"/>
    <w:rsid w:val="002D7D75"/>
    <w:rsid w:val="002E26B0"/>
    <w:rsid w:val="00306265"/>
    <w:rsid w:val="0030652B"/>
    <w:rsid w:val="00312498"/>
    <w:rsid w:val="00313D0A"/>
    <w:rsid w:val="003429A1"/>
    <w:rsid w:val="003576B4"/>
    <w:rsid w:val="00375BC5"/>
    <w:rsid w:val="00387444"/>
    <w:rsid w:val="0039270F"/>
    <w:rsid w:val="00392FAB"/>
    <w:rsid w:val="00393D0B"/>
    <w:rsid w:val="003954AB"/>
    <w:rsid w:val="003A283C"/>
    <w:rsid w:val="003A5A9E"/>
    <w:rsid w:val="003A66BA"/>
    <w:rsid w:val="003B504D"/>
    <w:rsid w:val="003B77AE"/>
    <w:rsid w:val="003C042C"/>
    <w:rsid w:val="003C63C7"/>
    <w:rsid w:val="003C7EA9"/>
    <w:rsid w:val="003D07D1"/>
    <w:rsid w:val="003D14AC"/>
    <w:rsid w:val="003E153B"/>
    <w:rsid w:val="003E1C7A"/>
    <w:rsid w:val="004110E7"/>
    <w:rsid w:val="00421768"/>
    <w:rsid w:val="00421A7F"/>
    <w:rsid w:val="00422270"/>
    <w:rsid w:val="00423DE9"/>
    <w:rsid w:val="004273E5"/>
    <w:rsid w:val="0043028C"/>
    <w:rsid w:val="00445FA0"/>
    <w:rsid w:val="004464B1"/>
    <w:rsid w:val="00447267"/>
    <w:rsid w:val="00455B5C"/>
    <w:rsid w:val="00457C2C"/>
    <w:rsid w:val="00457DE6"/>
    <w:rsid w:val="00460D1D"/>
    <w:rsid w:val="00463509"/>
    <w:rsid w:val="00463F17"/>
    <w:rsid w:val="00470FD9"/>
    <w:rsid w:val="00472929"/>
    <w:rsid w:val="0047516D"/>
    <w:rsid w:val="00475D97"/>
    <w:rsid w:val="00476FC8"/>
    <w:rsid w:val="0049047D"/>
    <w:rsid w:val="004946C2"/>
    <w:rsid w:val="004946C8"/>
    <w:rsid w:val="004A1B47"/>
    <w:rsid w:val="004A1C2E"/>
    <w:rsid w:val="004B166E"/>
    <w:rsid w:val="004C3F84"/>
    <w:rsid w:val="004D037A"/>
    <w:rsid w:val="004E01B2"/>
    <w:rsid w:val="004E6CC5"/>
    <w:rsid w:val="004F5710"/>
    <w:rsid w:val="004F5C8A"/>
    <w:rsid w:val="00500E48"/>
    <w:rsid w:val="005012E5"/>
    <w:rsid w:val="005025B3"/>
    <w:rsid w:val="005044FC"/>
    <w:rsid w:val="00512FA0"/>
    <w:rsid w:val="0052039E"/>
    <w:rsid w:val="00530DFA"/>
    <w:rsid w:val="0053378B"/>
    <w:rsid w:val="0053550E"/>
    <w:rsid w:val="0054295D"/>
    <w:rsid w:val="005439F2"/>
    <w:rsid w:val="0054623A"/>
    <w:rsid w:val="00554743"/>
    <w:rsid w:val="00556FB0"/>
    <w:rsid w:val="00560742"/>
    <w:rsid w:val="0056134D"/>
    <w:rsid w:val="00562402"/>
    <w:rsid w:val="0056763F"/>
    <w:rsid w:val="00573235"/>
    <w:rsid w:val="00573A9E"/>
    <w:rsid w:val="00575022"/>
    <w:rsid w:val="00580B52"/>
    <w:rsid w:val="005B5E31"/>
    <w:rsid w:val="005B75BB"/>
    <w:rsid w:val="005C11B0"/>
    <w:rsid w:val="005C34D1"/>
    <w:rsid w:val="005D21B2"/>
    <w:rsid w:val="005E4536"/>
    <w:rsid w:val="005E6A6E"/>
    <w:rsid w:val="005F1B76"/>
    <w:rsid w:val="005F6D11"/>
    <w:rsid w:val="00602AE6"/>
    <w:rsid w:val="00625BA7"/>
    <w:rsid w:val="00627270"/>
    <w:rsid w:val="00627B80"/>
    <w:rsid w:val="00627E30"/>
    <w:rsid w:val="006424D9"/>
    <w:rsid w:val="00656115"/>
    <w:rsid w:val="006655E0"/>
    <w:rsid w:val="00682DE8"/>
    <w:rsid w:val="00683C78"/>
    <w:rsid w:val="006851C5"/>
    <w:rsid w:val="006902E0"/>
    <w:rsid w:val="00693F93"/>
    <w:rsid w:val="006940FD"/>
    <w:rsid w:val="006C38C2"/>
    <w:rsid w:val="006C4C96"/>
    <w:rsid w:val="006D2D73"/>
    <w:rsid w:val="006E31C6"/>
    <w:rsid w:val="006F02A6"/>
    <w:rsid w:val="006F49AB"/>
    <w:rsid w:val="007054F6"/>
    <w:rsid w:val="00720DFA"/>
    <w:rsid w:val="00721C5F"/>
    <w:rsid w:val="007230C0"/>
    <w:rsid w:val="00724D22"/>
    <w:rsid w:val="00726C2B"/>
    <w:rsid w:val="00727B69"/>
    <w:rsid w:val="0073765E"/>
    <w:rsid w:val="00743AC9"/>
    <w:rsid w:val="00751116"/>
    <w:rsid w:val="00766E07"/>
    <w:rsid w:val="00781C3F"/>
    <w:rsid w:val="00781CBC"/>
    <w:rsid w:val="007826CE"/>
    <w:rsid w:val="00785FA0"/>
    <w:rsid w:val="00787076"/>
    <w:rsid w:val="007B2BD8"/>
    <w:rsid w:val="007B46A9"/>
    <w:rsid w:val="007C42EE"/>
    <w:rsid w:val="007C6BA0"/>
    <w:rsid w:val="007D1772"/>
    <w:rsid w:val="007D3237"/>
    <w:rsid w:val="007D3D32"/>
    <w:rsid w:val="007D5B6B"/>
    <w:rsid w:val="007E0A53"/>
    <w:rsid w:val="007F2421"/>
    <w:rsid w:val="007F3E41"/>
    <w:rsid w:val="007F7934"/>
    <w:rsid w:val="00807E42"/>
    <w:rsid w:val="0081453D"/>
    <w:rsid w:val="00830135"/>
    <w:rsid w:val="00835F12"/>
    <w:rsid w:val="008374B4"/>
    <w:rsid w:val="00841C64"/>
    <w:rsid w:val="00843BD9"/>
    <w:rsid w:val="008441D0"/>
    <w:rsid w:val="00851C96"/>
    <w:rsid w:val="00861AC6"/>
    <w:rsid w:val="0086623E"/>
    <w:rsid w:val="00872796"/>
    <w:rsid w:val="00876FD6"/>
    <w:rsid w:val="00881681"/>
    <w:rsid w:val="00883457"/>
    <w:rsid w:val="00884AD2"/>
    <w:rsid w:val="00892B19"/>
    <w:rsid w:val="00894696"/>
    <w:rsid w:val="00895EC6"/>
    <w:rsid w:val="008A0F53"/>
    <w:rsid w:val="008B49DF"/>
    <w:rsid w:val="008B4FCF"/>
    <w:rsid w:val="008B5935"/>
    <w:rsid w:val="008B5F51"/>
    <w:rsid w:val="008B6908"/>
    <w:rsid w:val="008B6E2D"/>
    <w:rsid w:val="008B6ECD"/>
    <w:rsid w:val="008C1DCE"/>
    <w:rsid w:val="008C6F96"/>
    <w:rsid w:val="008D26BD"/>
    <w:rsid w:val="008D68CF"/>
    <w:rsid w:val="008D7AF9"/>
    <w:rsid w:val="008E04A8"/>
    <w:rsid w:val="008E270B"/>
    <w:rsid w:val="008F0B61"/>
    <w:rsid w:val="008F0EA1"/>
    <w:rsid w:val="008F5830"/>
    <w:rsid w:val="00911B65"/>
    <w:rsid w:val="009133CB"/>
    <w:rsid w:val="00914D7E"/>
    <w:rsid w:val="0091771A"/>
    <w:rsid w:val="009224EA"/>
    <w:rsid w:val="0093151F"/>
    <w:rsid w:val="00931A22"/>
    <w:rsid w:val="00932574"/>
    <w:rsid w:val="00935698"/>
    <w:rsid w:val="00936704"/>
    <w:rsid w:val="00936C51"/>
    <w:rsid w:val="00937D89"/>
    <w:rsid w:val="00945E5E"/>
    <w:rsid w:val="00952AC6"/>
    <w:rsid w:val="0098158F"/>
    <w:rsid w:val="0098399F"/>
    <w:rsid w:val="009906C8"/>
    <w:rsid w:val="009A1DDB"/>
    <w:rsid w:val="009B612D"/>
    <w:rsid w:val="009B66FB"/>
    <w:rsid w:val="009C07CA"/>
    <w:rsid w:val="009C5A63"/>
    <w:rsid w:val="009D49B1"/>
    <w:rsid w:val="009E38AC"/>
    <w:rsid w:val="009E7C1A"/>
    <w:rsid w:val="009F5479"/>
    <w:rsid w:val="00A11410"/>
    <w:rsid w:val="00A151B2"/>
    <w:rsid w:val="00A1579D"/>
    <w:rsid w:val="00A168D2"/>
    <w:rsid w:val="00A20FCE"/>
    <w:rsid w:val="00A22C92"/>
    <w:rsid w:val="00A255DB"/>
    <w:rsid w:val="00A2655D"/>
    <w:rsid w:val="00A3482C"/>
    <w:rsid w:val="00A447FB"/>
    <w:rsid w:val="00A47F53"/>
    <w:rsid w:val="00A549D1"/>
    <w:rsid w:val="00A55444"/>
    <w:rsid w:val="00A60647"/>
    <w:rsid w:val="00A642B9"/>
    <w:rsid w:val="00A654B3"/>
    <w:rsid w:val="00A6726F"/>
    <w:rsid w:val="00A678D7"/>
    <w:rsid w:val="00A72EED"/>
    <w:rsid w:val="00A770F8"/>
    <w:rsid w:val="00A82B38"/>
    <w:rsid w:val="00A86545"/>
    <w:rsid w:val="00A87482"/>
    <w:rsid w:val="00A90AD9"/>
    <w:rsid w:val="00A973F8"/>
    <w:rsid w:val="00A97761"/>
    <w:rsid w:val="00AB22EA"/>
    <w:rsid w:val="00AB23AD"/>
    <w:rsid w:val="00AB7C76"/>
    <w:rsid w:val="00AC1A32"/>
    <w:rsid w:val="00AC3299"/>
    <w:rsid w:val="00AC6866"/>
    <w:rsid w:val="00AC6D8A"/>
    <w:rsid w:val="00AD7639"/>
    <w:rsid w:val="00AE04E3"/>
    <w:rsid w:val="00AE3740"/>
    <w:rsid w:val="00AE6400"/>
    <w:rsid w:val="00AF06B1"/>
    <w:rsid w:val="00AF2C9F"/>
    <w:rsid w:val="00AF488B"/>
    <w:rsid w:val="00B017AC"/>
    <w:rsid w:val="00B103B9"/>
    <w:rsid w:val="00B13E5B"/>
    <w:rsid w:val="00B23123"/>
    <w:rsid w:val="00B3433B"/>
    <w:rsid w:val="00B536CD"/>
    <w:rsid w:val="00B54806"/>
    <w:rsid w:val="00B57FAC"/>
    <w:rsid w:val="00B65A0B"/>
    <w:rsid w:val="00B6777A"/>
    <w:rsid w:val="00B8077B"/>
    <w:rsid w:val="00B86732"/>
    <w:rsid w:val="00B87719"/>
    <w:rsid w:val="00BA3F04"/>
    <w:rsid w:val="00BB289B"/>
    <w:rsid w:val="00BB3422"/>
    <w:rsid w:val="00BB43FB"/>
    <w:rsid w:val="00BB5C88"/>
    <w:rsid w:val="00BB7D63"/>
    <w:rsid w:val="00BC4778"/>
    <w:rsid w:val="00BC7DA9"/>
    <w:rsid w:val="00BD54DB"/>
    <w:rsid w:val="00BE0D6B"/>
    <w:rsid w:val="00BE1DD4"/>
    <w:rsid w:val="00BE3BE6"/>
    <w:rsid w:val="00BE71FB"/>
    <w:rsid w:val="00BF2414"/>
    <w:rsid w:val="00C00BCE"/>
    <w:rsid w:val="00C03487"/>
    <w:rsid w:val="00C049AC"/>
    <w:rsid w:val="00C06696"/>
    <w:rsid w:val="00C10E1A"/>
    <w:rsid w:val="00C11AAE"/>
    <w:rsid w:val="00C12829"/>
    <w:rsid w:val="00C13B42"/>
    <w:rsid w:val="00C220F6"/>
    <w:rsid w:val="00C23B25"/>
    <w:rsid w:val="00C25466"/>
    <w:rsid w:val="00C27897"/>
    <w:rsid w:val="00C31865"/>
    <w:rsid w:val="00C41612"/>
    <w:rsid w:val="00C46726"/>
    <w:rsid w:val="00C46B9B"/>
    <w:rsid w:val="00C51418"/>
    <w:rsid w:val="00C51A04"/>
    <w:rsid w:val="00C5474D"/>
    <w:rsid w:val="00C54836"/>
    <w:rsid w:val="00C62C1A"/>
    <w:rsid w:val="00C65971"/>
    <w:rsid w:val="00C722DB"/>
    <w:rsid w:val="00C804BF"/>
    <w:rsid w:val="00C80533"/>
    <w:rsid w:val="00C8329C"/>
    <w:rsid w:val="00C854AE"/>
    <w:rsid w:val="00C94264"/>
    <w:rsid w:val="00C957FF"/>
    <w:rsid w:val="00C9760B"/>
    <w:rsid w:val="00CA0625"/>
    <w:rsid w:val="00CA09D7"/>
    <w:rsid w:val="00CA1AB6"/>
    <w:rsid w:val="00CB1A67"/>
    <w:rsid w:val="00CB1EDD"/>
    <w:rsid w:val="00CC1F99"/>
    <w:rsid w:val="00CD45B5"/>
    <w:rsid w:val="00CF7100"/>
    <w:rsid w:val="00D02A43"/>
    <w:rsid w:val="00D02D6F"/>
    <w:rsid w:val="00D057F6"/>
    <w:rsid w:val="00D05816"/>
    <w:rsid w:val="00D06430"/>
    <w:rsid w:val="00D12DB9"/>
    <w:rsid w:val="00D176DB"/>
    <w:rsid w:val="00D20D0B"/>
    <w:rsid w:val="00D23A76"/>
    <w:rsid w:val="00D24ABE"/>
    <w:rsid w:val="00D2730E"/>
    <w:rsid w:val="00D37E83"/>
    <w:rsid w:val="00D4040C"/>
    <w:rsid w:val="00D460F6"/>
    <w:rsid w:val="00D46D8B"/>
    <w:rsid w:val="00D50084"/>
    <w:rsid w:val="00D868C2"/>
    <w:rsid w:val="00D86DA9"/>
    <w:rsid w:val="00D9112C"/>
    <w:rsid w:val="00D94C65"/>
    <w:rsid w:val="00DA6CFE"/>
    <w:rsid w:val="00DC126E"/>
    <w:rsid w:val="00DC2ABA"/>
    <w:rsid w:val="00DC50E7"/>
    <w:rsid w:val="00DD3176"/>
    <w:rsid w:val="00DF1A83"/>
    <w:rsid w:val="00DF314D"/>
    <w:rsid w:val="00E17578"/>
    <w:rsid w:val="00E2140D"/>
    <w:rsid w:val="00E24513"/>
    <w:rsid w:val="00E275BF"/>
    <w:rsid w:val="00E30C40"/>
    <w:rsid w:val="00E31DA3"/>
    <w:rsid w:val="00E37759"/>
    <w:rsid w:val="00E4371E"/>
    <w:rsid w:val="00E5021C"/>
    <w:rsid w:val="00E52E1B"/>
    <w:rsid w:val="00E53058"/>
    <w:rsid w:val="00E742F1"/>
    <w:rsid w:val="00E76D55"/>
    <w:rsid w:val="00E91432"/>
    <w:rsid w:val="00E9686E"/>
    <w:rsid w:val="00EA3960"/>
    <w:rsid w:val="00EA7889"/>
    <w:rsid w:val="00EB24AC"/>
    <w:rsid w:val="00EB5E39"/>
    <w:rsid w:val="00EC570D"/>
    <w:rsid w:val="00ED1755"/>
    <w:rsid w:val="00ED57C7"/>
    <w:rsid w:val="00ED5D0A"/>
    <w:rsid w:val="00ED77CA"/>
    <w:rsid w:val="00EE4F84"/>
    <w:rsid w:val="00EE775F"/>
    <w:rsid w:val="00EF054E"/>
    <w:rsid w:val="00EF69D1"/>
    <w:rsid w:val="00F02A6A"/>
    <w:rsid w:val="00F075FE"/>
    <w:rsid w:val="00F07FE2"/>
    <w:rsid w:val="00F23E58"/>
    <w:rsid w:val="00F26248"/>
    <w:rsid w:val="00F30832"/>
    <w:rsid w:val="00F36E12"/>
    <w:rsid w:val="00F43E83"/>
    <w:rsid w:val="00F44B20"/>
    <w:rsid w:val="00F454C6"/>
    <w:rsid w:val="00F5132E"/>
    <w:rsid w:val="00F55F2B"/>
    <w:rsid w:val="00F57396"/>
    <w:rsid w:val="00F6272A"/>
    <w:rsid w:val="00F64AD2"/>
    <w:rsid w:val="00F82605"/>
    <w:rsid w:val="00F826E2"/>
    <w:rsid w:val="00F82FE0"/>
    <w:rsid w:val="00F9421E"/>
    <w:rsid w:val="00F96D6A"/>
    <w:rsid w:val="00F973B8"/>
    <w:rsid w:val="00FA65C0"/>
    <w:rsid w:val="00FA6734"/>
    <w:rsid w:val="00FB3E5B"/>
    <w:rsid w:val="00FB6B2B"/>
    <w:rsid w:val="00FC4814"/>
    <w:rsid w:val="00FD1302"/>
    <w:rsid w:val="00FD51D3"/>
    <w:rsid w:val="00FD5B29"/>
    <w:rsid w:val="00FD6C4F"/>
    <w:rsid w:val="00FE2B77"/>
    <w:rsid w:val="00FE4C03"/>
    <w:rsid w:val="00FF1AC2"/>
    <w:rsid w:val="00FF1CA5"/>
    <w:rsid w:val="00FF26A2"/>
    <w:rsid w:val="00FF4951"/>
    <w:rsid w:val="00FF7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2642">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20070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204</TotalTime>
  <Pages>7</Pages>
  <Words>2493</Words>
  <Characters>14214</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802.11-10/1025r3</vt:lpstr>
      <vt:lpstr>doc.: IEEE 802.11-10/1025r3</vt:lpstr>
    </vt:vector>
  </TitlesOfParts>
  <Company>Intel</Company>
  <LinksUpToDate>false</LinksUpToDate>
  <CharactersWithSpaces>16674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802.11-10/1025r3</dc:title>
  <dc:subject>Submission</dc:subject>
  <dc:creator>Eldad Perahia</dc:creator>
  <cp:keywords>September 2010</cp:keywords>
  <cp:lastModifiedBy>Eugene Baik</cp:lastModifiedBy>
  <cp:revision>27</cp:revision>
  <dcterms:created xsi:type="dcterms:W3CDTF">2013-09-17T13:19:00Z</dcterms:created>
  <dcterms:modified xsi:type="dcterms:W3CDTF">2013-09-18T13:33:00Z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