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E5339">
            <w:pPr>
              <w:pStyle w:val="T2"/>
            </w:pPr>
            <w:r>
              <w:t>QoS Simplification</w:t>
            </w:r>
            <w:bookmarkStart w:id="0" w:name="_GoBack"/>
            <w:bookmarkEnd w:id="0"/>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2B1E96">
              <w:rPr>
                <w:b w:val="0"/>
                <w:sz w:val="20"/>
              </w:rPr>
              <w:t xml:space="preserve">  2013-09-17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BE1A4F">
        <w:trPr>
          <w:jc w:val="center"/>
        </w:trPr>
        <w:tc>
          <w:tcPr>
            <w:tcW w:w="1336" w:type="dxa"/>
            <w:vAlign w:val="center"/>
          </w:tcPr>
          <w:p w:rsidR="00BE1A4F" w:rsidRDefault="00BE1A4F">
            <w:pPr>
              <w:pStyle w:val="T2"/>
              <w:spacing w:after="0"/>
              <w:ind w:left="0" w:right="0"/>
              <w:rPr>
                <w:b w:val="0"/>
                <w:sz w:val="20"/>
              </w:rPr>
            </w:pPr>
            <w:r>
              <w:rPr>
                <w:b w:val="0"/>
                <w:sz w:val="20"/>
              </w:rPr>
              <w:t>Adrian Stephens</w:t>
            </w:r>
          </w:p>
        </w:tc>
        <w:tc>
          <w:tcPr>
            <w:tcW w:w="2064" w:type="dxa"/>
            <w:vAlign w:val="center"/>
          </w:tcPr>
          <w:p w:rsidR="00BE1A4F" w:rsidRDefault="00BE1A4F">
            <w:pPr>
              <w:pStyle w:val="T2"/>
              <w:spacing w:after="0"/>
              <w:ind w:left="0" w:right="0"/>
              <w:rPr>
                <w:b w:val="0"/>
                <w:sz w:val="20"/>
              </w:rPr>
            </w:pPr>
            <w:r>
              <w:rPr>
                <w:b w:val="0"/>
                <w:sz w:val="20"/>
              </w:rPr>
              <w:t>Intel Corp.</w:t>
            </w:r>
          </w:p>
        </w:tc>
        <w:tc>
          <w:tcPr>
            <w:tcW w:w="2814" w:type="dxa"/>
            <w:vAlign w:val="center"/>
          </w:tcPr>
          <w:p w:rsidR="00BE1A4F" w:rsidRDefault="00BE1A4F">
            <w:pPr>
              <w:pStyle w:val="T2"/>
              <w:spacing w:after="0"/>
              <w:ind w:left="0" w:right="0"/>
              <w:rPr>
                <w:b w:val="0"/>
                <w:sz w:val="20"/>
              </w:rPr>
            </w:pPr>
            <w:r w:rsidRPr="00D94331">
              <w:rPr>
                <w:b w:val="0"/>
                <w:bCs/>
                <w:sz w:val="20"/>
              </w:rPr>
              <w:t>Pipers Way, Swindon SN3 1RJ</w:t>
            </w:r>
          </w:p>
        </w:tc>
        <w:tc>
          <w:tcPr>
            <w:tcW w:w="1715" w:type="dxa"/>
            <w:vAlign w:val="center"/>
          </w:tcPr>
          <w:p w:rsidR="00BE1A4F" w:rsidRDefault="00BE1A4F">
            <w:pPr>
              <w:pStyle w:val="T2"/>
              <w:spacing w:after="0"/>
              <w:ind w:left="0" w:right="0"/>
              <w:rPr>
                <w:b w:val="0"/>
                <w:sz w:val="20"/>
              </w:rPr>
            </w:pPr>
            <w:r w:rsidRPr="00BE1A4F">
              <w:rPr>
                <w:b w:val="0"/>
                <w:bCs/>
                <w:sz w:val="20"/>
              </w:rPr>
              <w:t>+44 (1793) 404 825</w:t>
            </w:r>
          </w:p>
        </w:tc>
        <w:tc>
          <w:tcPr>
            <w:tcW w:w="1647" w:type="dxa"/>
            <w:vAlign w:val="center"/>
          </w:tcPr>
          <w:p w:rsidR="00BE1A4F" w:rsidRPr="006C749D" w:rsidRDefault="00BE1A4F" w:rsidP="00E5508A">
            <w:pPr>
              <w:pStyle w:val="T2"/>
              <w:spacing w:after="0"/>
              <w:ind w:left="0" w:right="0"/>
              <w:rPr>
                <w:b w:val="0"/>
                <w:sz w:val="20"/>
                <w:lang w:val="en-US"/>
              </w:rPr>
            </w:pPr>
            <w:r>
              <w:rPr>
                <w:b w:val="0"/>
                <w:sz w:val="20"/>
                <w:lang w:val="en-US"/>
              </w:rPr>
              <w:t>a</w:t>
            </w:r>
            <w:r w:rsidRPr="006C749D">
              <w:rPr>
                <w:b w:val="0"/>
                <w:sz w:val="20"/>
                <w:lang w:val="en-US"/>
              </w:rPr>
              <w:t>drian.p.stephens@intel.com</w:t>
            </w:r>
          </w:p>
        </w:tc>
      </w:tr>
    </w:tbl>
    <w:p w:rsidR="00CA09B2" w:rsidRDefault="00796810">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434.25pt;z-index:251657728;mso-position-horizontal-relative:text;mso-position-vertical-relative:text" o:allowincell="f" stroked="f">
            <v:textbox style="mso-next-textbox:#_x0000_s1027">
              <w:txbxContent>
                <w:p w:rsidR="006C21B7" w:rsidRDefault="006C21B7">
                  <w:pPr>
                    <w:pStyle w:val="T1"/>
                    <w:spacing w:after="120"/>
                  </w:pPr>
                  <w:r>
                    <w:t>Abstract</w:t>
                  </w:r>
                </w:p>
                <w:p w:rsidR="00E80DCD" w:rsidRPr="00B16F69" w:rsidRDefault="00E80DCD" w:rsidP="00E80DCD">
                  <w:pPr>
                    <w:jc w:val="both"/>
                    <w:rPr>
                      <w:sz w:val="24"/>
                      <w:szCs w:val="24"/>
                    </w:rPr>
                  </w:pPr>
                  <w:r>
                    <w:rPr>
                      <w:sz w:val="24"/>
                      <w:szCs w:val="24"/>
                    </w:rPr>
                    <w:t xml:space="preserve">The purpose of this proposal is to allow for a simplified implementation of the 802.11 quality-of-service (QoS) facility.  Specifically, </w:t>
                  </w:r>
                  <w:r w:rsidR="009A09AE">
                    <w:rPr>
                      <w:sz w:val="24"/>
                      <w:szCs w:val="24"/>
                    </w:rPr>
                    <w:t>this submission proposes</w:t>
                  </w:r>
                  <w:r w:rsidRPr="00B16F69">
                    <w:rPr>
                      <w:sz w:val="24"/>
                      <w:szCs w:val="24"/>
                    </w:rPr>
                    <w:t xml:space="preserve"> (i) adding a bit to an existing “capabilities” field that indicates whether the 802.11 device implements a simplified QoS mechanism known as “QoS Simplification”; and (ii) specify that the mappings in Table 9-1 are </w:t>
                  </w:r>
                  <w:r>
                    <w:rPr>
                      <w:sz w:val="24"/>
                      <w:szCs w:val="24"/>
                    </w:rPr>
                    <w:t>not used</w:t>
                  </w:r>
                  <w:r w:rsidRPr="00B16F69">
                    <w:rPr>
                      <w:sz w:val="24"/>
                      <w:szCs w:val="24"/>
                    </w:rPr>
                    <w:t xml:space="preserve"> and that all data packets are sent with a TID subfield value of 0 and a designation of “Best Effort” when QoS Simplification is </w:t>
                  </w:r>
                  <w:r>
                    <w:rPr>
                      <w:sz w:val="24"/>
                      <w:szCs w:val="24"/>
                    </w:rPr>
                    <w:t>implemented</w:t>
                  </w:r>
                  <w:r w:rsidRPr="00B16F69">
                    <w:rPr>
                      <w:sz w:val="24"/>
                      <w:szCs w:val="24"/>
                    </w:rPr>
                    <w:t>.</w:t>
                  </w:r>
                </w:p>
                <w:p w:rsidR="00E80DCD" w:rsidRDefault="00E80DCD" w:rsidP="00E80DCD">
                  <w:pPr>
                    <w:jc w:val="both"/>
                    <w:rPr>
                      <w:sz w:val="24"/>
                      <w:szCs w:val="24"/>
                    </w:rPr>
                  </w:pPr>
                  <w:r w:rsidRPr="00B16F69">
                    <w:rPr>
                      <w:sz w:val="24"/>
                      <w:szCs w:val="24"/>
                    </w:rPr>
                    <w:t> </w:t>
                  </w:r>
                </w:p>
                <w:p w:rsidR="00E80DCD" w:rsidRDefault="00E80DCD" w:rsidP="00E80DCD">
                  <w:pPr>
                    <w:jc w:val="both"/>
                    <w:rPr>
                      <w:sz w:val="24"/>
                      <w:szCs w:val="24"/>
                    </w:rPr>
                  </w:pPr>
                  <w:r>
                    <w:rPr>
                      <w:sz w:val="24"/>
                      <w:szCs w:val="24"/>
                    </w:rPr>
                    <w:t>These changes will simplify the standard.</w:t>
                  </w:r>
                  <w:r>
                    <w:t xml:space="preserve">  </w:t>
                  </w:r>
                  <w:r>
                    <w:rPr>
                      <w:sz w:val="24"/>
                      <w:szCs w:val="24"/>
                    </w:rPr>
                    <w:t xml:space="preserve">Many </w:t>
                  </w:r>
                  <w:r w:rsidR="009A09AE">
                    <w:rPr>
                      <w:sz w:val="24"/>
                      <w:szCs w:val="24"/>
                    </w:rPr>
                    <w:t>applications</w:t>
                  </w:r>
                  <w:r w:rsidRPr="00A82B70">
                    <w:rPr>
                      <w:sz w:val="24"/>
                      <w:szCs w:val="24"/>
                    </w:rPr>
                    <w:t xml:space="preserve"> have not </w:t>
                  </w:r>
                  <w:r>
                    <w:rPr>
                      <w:sz w:val="24"/>
                      <w:szCs w:val="24"/>
                    </w:rPr>
                    <w:t>found it necessary</w:t>
                  </w:r>
                  <w:r w:rsidRPr="00A82B70">
                    <w:rPr>
                      <w:sz w:val="24"/>
                      <w:szCs w:val="24"/>
                    </w:rPr>
                    <w:t xml:space="preserve"> to </w:t>
                  </w:r>
                  <w:r>
                    <w:rPr>
                      <w:sz w:val="24"/>
                      <w:szCs w:val="24"/>
                    </w:rPr>
                    <w:t xml:space="preserve">variably </w:t>
                  </w:r>
                  <w:r w:rsidRPr="00A82B70">
                    <w:rPr>
                      <w:sz w:val="24"/>
                      <w:szCs w:val="24"/>
                    </w:rPr>
                    <w:t>prio</w:t>
                  </w:r>
                  <w:r>
                    <w:rPr>
                      <w:sz w:val="24"/>
                      <w:szCs w:val="24"/>
                    </w:rPr>
                    <w:t xml:space="preserve">ritize traffic using </w:t>
                  </w:r>
                  <w:r w:rsidRPr="00A82B70">
                    <w:rPr>
                      <w:sz w:val="24"/>
                      <w:szCs w:val="24"/>
                    </w:rPr>
                    <w:t>the different access categories of the EDCA channel access mechanism—most traffic continues to be</w:t>
                  </w:r>
                  <w:r>
                    <w:rPr>
                      <w:sz w:val="24"/>
                      <w:szCs w:val="24"/>
                    </w:rPr>
                    <w:t xml:space="preserve"> </w:t>
                  </w:r>
                  <w:r w:rsidRPr="00A82B70">
                    <w:rPr>
                      <w:sz w:val="24"/>
                      <w:szCs w:val="24"/>
                    </w:rPr>
                    <w:t>se</w:t>
                  </w:r>
                  <w:r>
                    <w:rPr>
                      <w:sz w:val="24"/>
                      <w:szCs w:val="24"/>
                    </w:rPr>
                    <w:t>n</w:t>
                  </w:r>
                  <w:r w:rsidRPr="00A82B70">
                    <w:rPr>
                      <w:sz w:val="24"/>
                      <w:szCs w:val="24"/>
                    </w:rPr>
                    <w:t>t on a best effort basis</w:t>
                  </w:r>
                  <w:r>
                    <w:rPr>
                      <w:sz w:val="24"/>
                      <w:szCs w:val="24"/>
                    </w:rPr>
                    <w:t xml:space="preserve"> </w:t>
                  </w:r>
                  <w:r w:rsidRPr="00B16F69">
                    <w:rPr>
                      <w:sz w:val="24"/>
                      <w:szCs w:val="24"/>
                    </w:rPr>
                    <w:t>with a TID subfield value of 0</w:t>
                  </w:r>
                  <w:r w:rsidRPr="00A82B70">
                    <w:rPr>
                      <w:sz w:val="24"/>
                      <w:szCs w:val="24"/>
                    </w:rPr>
                    <w:t>. Thus, it would be advantageous to allow for implementations that do not use</w:t>
                  </w:r>
                  <w:r>
                    <w:rPr>
                      <w:sz w:val="24"/>
                      <w:szCs w:val="24"/>
                    </w:rPr>
                    <w:t xml:space="preserve"> </w:t>
                  </w:r>
                  <w:r w:rsidRPr="00A82B70">
                    <w:rPr>
                      <w:sz w:val="24"/>
                      <w:szCs w:val="24"/>
                    </w:rPr>
                    <w:t>EDCA, but maintain all other QoS functionality.</w:t>
                  </w:r>
                </w:p>
                <w:p w:rsidR="00E80DCD" w:rsidRDefault="00E80DCD" w:rsidP="00E80DCD">
                  <w:pPr>
                    <w:jc w:val="both"/>
                    <w:rPr>
                      <w:sz w:val="24"/>
                      <w:szCs w:val="24"/>
                    </w:rPr>
                  </w:pPr>
                </w:p>
                <w:p w:rsidR="00E80DCD" w:rsidRDefault="00E80DCD" w:rsidP="00E80DCD">
                  <w:pPr>
                    <w:jc w:val="both"/>
                    <w:rPr>
                      <w:sz w:val="24"/>
                      <w:szCs w:val="24"/>
                    </w:rPr>
                  </w:pPr>
                  <w:r w:rsidRPr="00B16F69">
                    <w:rPr>
                      <w:sz w:val="24"/>
                      <w:szCs w:val="24"/>
                    </w:rPr>
                    <w:t xml:space="preserve">Additionally, a patent holder has asked for licenses from those </w:t>
                  </w:r>
                  <w:r w:rsidR="00BA362B">
                    <w:rPr>
                      <w:sz w:val="24"/>
                      <w:szCs w:val="24"/>
                    </w:rPr>
                    <w:t>implementing</w:t>
                  </w:r>
                  <w:r w:rsidRPr="00B16F69">
                    <w:rPr>
                      <w:sz w:val="24"/>
                      <w:szCs w:val="24"/>
                    </w:rPr>
                    <w:t xml:space="preserve"> the standard, based on the capabilities expressed in Table 9-1, regardless of how it is actually being used.</w:t>
                  </w:r>
                  <w:r>
                    <w:rPr>
                      <w:sz w:val="24"/>
                      <w:szCs w:val="24"/>
                    </w:rPr>
                    <w:t xml:space="preserve">  Those licenses increase the costs of </w:t>
                  </w:r>
                  <w:r w:rsidR="009A09AE">
                    <w:rPr>
                      <w:sz w:val="24"/>
                      <w:szCs w:val="24"/>
                    </w:rPr>
                    <w:t>implementing</w:t>
                  </w:r>
                  <w:r>
                    <w:rPr>
                      <w:sz w:val="24"/>
                      <w:szCs w:val="24"/>
                    </w:rPr>
                    <w:t xml:space="preserve"> the standard.  Accepting this proposal, therefore, would lower costs by creating an optionality that will enable </w:t>
                  </w:r>
                  <w:r w:rsidR="00BA362B">
                    <w:rPr>
                      <w:sz w:val="24"/>
                      <w:szCs w:val="24"/>
                    </w:rPr>
                    <w:t>implementers</w:t>
                  </w:r>
                  <w:r>
                    <w:rPr>
                      <w:sz w:val="24"/>
                      <w:szCs w:val="24"/>
                    </w:rPr>
                    <w:t xml:space="preserve"> not to use the mapping in Table 9-1 and thus avoid paying for licenses that have been requested.  Those costs are particularly unnecessary given that </w:t>
                  </w:r>
                  <w:r w:rsidRPr="00A82B70">
                    <w:rPr>
                      <w:sz w:val="24"/>
                      <w:szCs w:val="24"/>
                    </w:rPr>
                    <w:t>most traffic continues to be</w:t>
                  </w:r>
                  <w:r>
                    <w:rPr>
                      <w:sz w:val="24"/>
                      <w:szCs w:val="24"/>
                    </w:rPr>
                    <w:t xml:space="preserve"> </w:t>
                  </w:r>
                  <w:r w:rsidRPr="00A82B70">
                    <w:rPr>
                      <w:sz w:val="24"/>
                      <w:szCs w:val="24"/>
                    </w:rPr>
                    <w:t>se</w:t>
                  </w:r>
                  <w:r>
                    <w:rPr>
                      <w:sz w:val="24"/>
                      <w:szCs w:val="24"/>
                    </w:rPr>
                    <w:t>n</w:t>
                  </w:r>
                  <w:r w:rsidRPr="00A82B70">
                    <w:rPr>
                      <w:sz w:val="24"/>
                      <w:szCs w:val="24"/>
                    </w:rPr>
                    <w:t>t on a best effort basis</w:t>
                  </w:r>
                  <w:r>
                    <w:rPr>
                      <w:sz w:val="24"/>
                      <w:szCs w:val="24"/>
                    </w:rPr>
                    <w:t xml:space="preserve"> </w:t>
                  </w:r>
                  <w:r w:rsidRPr="00B16F69">
                    <w:rPr>
                      <w:sz w:val="24"/>
                      <w:szCs w:val="24"/>
                    </w:rPr>
                    <w:t>with a TID subfield value of 0</w:t>
                  </w:r>
                  <w:r>
                    <w:rPr>
                      <w:sz w:val="24"/>
                      <w:szCs w:val="24"/>
                    </w:rPr>
                    <w:t>, and thus does not take advantage of the mapping capabilities in Table 9-1.</w:t>
                  </w:r>
                </w:p>
                <w:p w:rsidR="00E80DCD" w:rsidRDefault="00E80DCD" w:rsidP="00E80DCD">
                  <w:pPr>
                    <w:jc w:val="both"/>
                    <w:rPr>
                      <w:sz w:val="24"/>
                      <w:szCs w:val="24"/>
                    </w:rPr>
                  </w:pPr>
                </w:p>
                <w:p w:rsidR="00E80DCD" w:rsidRPr="007E5A8B" w:rsidRDefault="00E80DCD" w:rsidP="00E80DCD">
                  <w:pPr>
                    <w:jc w:val="both"/>
                    <w:rPr>
                      <w:sz w:val="24"/>
                      <w:szCs w:val="24"/>
                    </w:rPr>
                  </w:pPr>
                  <w:r>
                    <w:rPr>
                      <w:sz w:val="24"/>
                      <w:szCs w:val="24"/>
                    </w:rPr>
                    <w:t xml:space="preserve">Finally, this proposal only adds an optional feature to the standard—it does not remove any specific technology from the standard.  Implementers would thus remain free to use the </w:t>
                  </w:r>
                  <w:r w:rsidRPr="00B16F69">
                    <w:rPr>
                      <w:sz w:val="24"/>
                      <w:szCs w:val="24"/>
                    </w:rPr>
                    <w:t>mappings in Table 9-1</w:t>
                  </w:r>
                  <w:r>
                    <w:rPr>
                      <w:sz w:val="24"/>
                      <w:szCs w:val="24"/>
                    </w:rPr>
                    <w:t xml:space="preserve"> if they so desired.</w:t>
                  </w:r>
                </w:p>
                <w:p w:rsidR="006C21B7" w:rsidRDefault="006C21B7" w:rsidP="00E80DCD">
                  <w:pPr>
                    <w:jc w:val="both"/>
                  </w:pPr>
                </w:p>
              </w:txbxContent>
            </v:textbox>
          </v:shape>
        </w:pict>
      </w:r>
    </w:p>
    <w:p w:rsidR="00CA09B2" w:rsidRDefault="00CA09B2" w:rsidP="006E5339"/>
    <w:p w:rsidR="00B37A59" w:rsidRDefault="00CA09B2" w:rsidP="00C15C0F">
      <w:pPr>
        <w:rPr>
          <w:b/>
          <w:i/>
          <w:color w:val="FF0000"/>
        </w:rPr>
      </w:pPr>
      <w:r>
        <w:br w:type="page"/>
      </w:r>
    </w:p>
    <w:p w:rsidR="004026B5" w:rsidRPr="00A8519A" w:rsidRDefault="004026B5" w:rsidP="004026B5">
      <w:pPr>
        <w:rPr>
          <w:b/>
          <w:sz w:val="26"/>
          <w:szCs w:val="26"/>
        </w:rPr>
      </w:pPr>
      <w:r>
        <w:rPr>
          <w:b/>
          <w:sz w:val="26"/>
          <w:szCs w:val="26"/>
        </w:rPr>
        <w:t>5.1.1.4 Interpretation of priority parameter in MAC service primitives</w:t>
      </w:r>
    </w:p>
    <w:p w:rsidR="004026B5" w:rsidRDefault="004026B5" w:rsidP="004026B5">
      <w:pPr>
        <w:rPr>
          <w:b/>
          <w:i/>
          <w:color w:val="FF0000"/>
        </w:rPr>
      </w:pPr>
    </w:p>
    <w:p w:rsidR="004026B5" w:rsidRDefault="004026B5" w:rsidP="004026B5">
      <w:r>
        <w:rPr>
          <w:b/>
          <w:i/>
          <w:color w:val="FF0000"/>
        </w:rPr>
        <w:t>Insert the following sentence at the end of the third paragraph:</w:t>
      </w:r>
    </w:p>
    <w:p w:rsidR="004026B5" w:rsidRDefault="004026B5" w:rsidP="004026B5"/>
    <w:p w:rsidR="004026B5" w:rsidRDefault="004026B5" w:rsidP="004026B5">
      <w:r>
        <w:t>When</w:t>
      </w:r>
      <w:r w:rsidRPr="000051BF">
        <w:t xml:space="preserve"> </w:t>
      </w:r>
      <w:r>
        <w:t>dot11QoSSimplificationImplemented is true, UP values 0 to 7 are mapped to TID subfield value 0</w:t>
      </w:r>
      <w:r w:rsidR="001647B3">
        <w:t xml:space="preserve"> </w:t>
      </w:r>
      <w:r w:rsidR="001647B3" w:rsidRPr="001647B3">
        <w:t>for outgoing MSDUs</w:t>
      </w:r>
      <w:r>
        <w:t>.</w:t>
      </w:r>
    </w:p>
    <w:p w:rsidR="004026B5" w:rsidRDefault="004026B5" w:rsidP="004026B5">
      <w:pPr>
        <w:rPr>
          <w:b/>
          <w:sz w:val="26"/>
          <w:szCs w:val="26"/>
        </w:rPr>
      </w:pPr>
    </w:p>
    <w:p w:rsidR="004026B5" w:rsidRPr="00A8519A" w:rsidRDefault="004026B5" w:rsidP="004026B5">
      <w:pPr>
        <w:rPr>
          <w:b/>
          <w:sz w:val="26"/>
          <w:szCs w:val="26"/>
        </w:rPr>
      </w:pPr>
      <w:r>
        <w:rPr>
          <w:b/>
          <w:sz w:val="26"/>
          <w:szCs w:val="26"/>
        </w:rPr>
        <w:t>8.2.4.5.1 QoS Control field structure</w:t>
      </w:r>
    </w:p>
    <w:p w:rsidR="004026B5" w:rsidRDefault="004026B5" w:rsidP="004026B5"/>
    <w:p w:rsidR="004026B5" w:rsidRDefault="002B1E96" w:rsidP="004026B5">
      <w:r>
        <w:rPr>
          <w:b/>
          <w:i/>
          <w:color w:val="FF0000"/>
        </w:rPr>
        <w:t>Change T</w:t>
      </w:r>
      <w:r w:rsidR="004026B5">
        <w:rPr>
          <w:b/>
          <w:i/>
          <w:color w:val="FF0000"/>
        </w:rPr>
        <w:t>able 8</w:t>
      </w:r>
      <w:r>
        <w:rPr>
          <w:b/>
          <w:i/>
          <w:color w:val="FF0000"/>
        </w:rPr>
        <w:t>-5 as follows (only NOTE</w:t>
      </w:r>
      <w:r w:rsidR="004026B5">
        <w:rPr>
          <w:b/>
          <w:i/>
          <w:color w:val="FF0000"/>
        </w:rPr>
        <w:t xml:space="preserve"> </w:t>
      </w:r>
      <w:r>
        <w:rPr>
          <w:b/>
          <w:i/>
          <w:color w:val="FF0000"/>
        </w:rPr>
        <w:t xml:space="preserve">and its reference </w:t>
      </w:r>
      <w:r w:rsidR="004026B5">
        <w:rPr>
          <w:b/>
          <w:i/>
          <w:color w:val="FF0000"/>
        </w:rPr>
        <w:t>is added):</w:t>
      </w:r>
    </w:p>
    <w:p w:rsidR="004026B5" w:rsidRDefault="004026B5" w:rsidP="004026B5"/>
    <w:p w:rsidR="004026B5" w:rsidRPr="00A8519A" w:rsidRDefault="004026B5" w:rsidP="004026B5">
      <w:pPr>
        <w:jc w:val="center"/>
        <w:rPr>
          <w:b/>
          <w:sz w:val="26"/>
          <w:szCs w:val="26"/>
        </w:rPr>
      </w:pPr>
      <w:r w:rsidRPr="00A8519A">
        <w:rPr>
          <w:b/>
          <w:sz w:val="26"/>
          <w:szCs w:val="26"/>
        </w:rPr>
        <w:t xml:space="preserve">Table </w:t>
      </w:r>
      <w:r>
        <w:rPr>
          <w:b/>
          <w:sz w:val="26"/>
          <w:szCs w:val="26"/>
        </w:rPr>
        <w:t>8-5</w:t>
      </w:r>
      <w:r w:rsidRPr="00A8519A">
        <w:rPr>
          <w:b/>
          <w:sz w:val="26"/>
          <w:szCs w:val="26"/>
        </w:rPr>
        <w:t>—</w:t>
      </w:r>
      <w:r>
        <w:rPr>
          <w:b/>
          <w:sz w:val="26"/>
          <w:szCs w:val="26"/>
        </w:rPr>
        <w:t>TID subfield</w:t>
      </w:r>
    </w:p>
    <w:p w:rsidR="004026B5" w:rsidRDefault="004026B5" w:rsidP="004026B5"/>
    <w:tbl>
      <w:tblPr>
        <w:tblStyle w:val="TableGrid"/>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18"/>
        <w:gridCol w:w="4950"/>
        <w:gridCol w:w="2790"/>
      </w:tblGrid>
      <w:tr w:rsidR="004026B5" w:rsidRPr="00C15C0F" w:rsidTr="00331406">
        <w:trPr>
          <w:trHeight w:val="303"/>
        </w:trPr>
        <w:tc>
          <w:tcPr>
            <w:tcW w:w="1818" w:type="dxa"/>
            <w:tcBorders>
              <w:top w:val="single" w:sz="12" w:space="0" w:color="auto"/>
              <w:left w:val="single" w:sz="12" w:space="0" w:color="auto"/>
              <w:bottom w:val="single" w:sz="12" w:space="0" w:color="auto"/>
            </w:tcBorders>
            <w:vAlign w:val="center"/>
          </w:tcPr>
          <w:p w:rsidR="004026B5" w:rsidRPr="00C15C0F" w:rsidRDefault="004026B5" w:rsidP="00331406">
            <w:pPr>
              <w:jc w:val="center"/>
              <w:rPr>
                <w:b/>
              </w:rPr>
            </w:pPr>
            <w:r>
              <w:rPr>
                <w:b/>
              </w:rPr>
              <w:t>Access Policy</w:t>
            </w:r>
          </w:p>
        </w:tc>
        <w:tc>
          <w:tcPr>
            <w:tcW w:w="4950" w:type="dxa"/>
            <w:tcBorders>
              <w:top w:val="single" w:sz="12" w:space="0" w:color="auto"/>
              <w:bottom w:val="single" w:sz="12" w:space="0" w:color="auto"/>
            </w:tcBorders>
            <w:vAlign w:val="center"/>
          </w:tcPr>
          <w:p w:rsidR="004026B5" w:rsidRPr="00C15C0F" w:rsidRDefault="004026B5" w:rsidP="00331406">
            <w:pPr>
              <w:jc w:val="center"/>
              <w:rPr>
                <w:b/>
              </w:rPr>
            </w:pPr>
            <w:r>
              <w:rPr>
                <w:b/>
              </w:rPr>
              <w:t>Usage</w:t>
            </w:r>
          </w:p>
        </w:tc>
        <w:tc>
          <w:tcPr>
            <w:tcW w:w="2790" w:type="dxa"/>
            <w:tcBorders>
              <w:top w:val="single" w:sz="12" w:space="0" w:color="auto"/>
              <w:bottom w:val="single" w:sz="12" w:space="0" w:color="auto"/>
              <w:right w:val="single" w:sz="12" w:space="0" w:color="auto"/>
            </w:tcBorders>
            <w:vAlign w:val="center"/>
          </w:tcPr>
          <w:p w:rsidR="004026B5" w:rsidRPr="00C15C0F" w:rsidRDefault="004026B5" w:rsidP="00331406">
            <w:pPr>
              <w:jc w:val="center"/>
              <w:rPr>
                <w:b/>
              </w:rPr>
            </w:pPr>
            <w:r>
              <w:rPr>
                <w:b/>
              </w:rPr>
              <w:t>Allowed values in bits 0-3 (TID subfield)</w:t>
            </w:r>
          </w:p>
        </w:tc>
      </w:tr>
      <w:tr w:rsidR="004026B5" w:rsidTr="00331406">
        <w:trPr>
          <w:trHeight w:val="438"/>
        </w:trPr>
        <w:tc>
          <w:tcPr>
            <w:tcW w:w="1818" w:type="dxa"/>
            <w:tcBorders>
              <w:top w:val="single" w:sz="12" w:space="0" w:color="auto"/>
              <w:left w:val="single" w:sz="12" w:space="0" w:color="auto"/>
            </w:tcBorders>
          </w:tcPr>
          <w:p w:rsidR="004026B5" w:rsidRDefault="004026B5" w:rsidP="00331406">
            <w:pPr>
              <w:jc w:val="center"/>
            </w:pPr>
            <w:r>
              <w:t>EDCA</w:t>
            </w:r>
          </w:p>
        </w:tc>
        <w:tc>
          <w:tcPr>
            <w:tcW w:w="4950" w:type="dxa"/>
            <w:tcBorders>
              <w:top w:val="single" w:sz="12" w:space="0" w:color="auto"/>
            </w:tcBorders>
          </w:tcPr>
          <w:p w:rsidR="004026B5" w:rsidRDefault="004026B5" w:rsidP="00331406">
            <w:r>
              <w:t>UP for either TC or TS, regardless of whether admission control is required</w:t>
            </w:r>
          </w:p>
        </w:tc>
        <w:tc>
          <w:tcPr>
            <w:tcW w:w="2790" w:type="dxa"/>
            <w:tcBorders>
              <w:top w:val="single" w:sz="12" w:space="0" w:color="auto"/>
              <w:right w:val="single" w:sz="12" w:space="0" w:color="auto"/>
            </w:tcBorders>
          </w:tcPr>
          <w:p w:rsidR="004026B5" w:rsidRDefault="004026B5" w:rsidP="00331406">
            <w:pPr>
              <w:jc w:val="center"/>
            </w:pPr>
            <w:r>
              <w:t>0-7</w:t>
            </w:r>
          </w:p>
          <w:p w:rsidR="004026B5" w:rsidRPr="002B1E96" w:rsidRDefault="002B1E96" w:rsidP="00331406">
            <w:pPr>
              <w:jc w:val="center"/>
              <w:rPr>
                <w:u w:val="single"/>
              </w:rPr>
            </w:pPr>
            <w:r w:rsidRPr="002B1E96">
              <w:rPr>
                <w:u w:val="single"/>
              </w:rPr>
              <w:t>See NOTE</w:t>
            </w:r>
          </w:p>
        </w:tc>
      </w:tr>
      <w:tr w:rsidR="004026B5" w:rsidTr="00331406">
        <w:trPr>
          <w:trHeight w:val="438"/>
        </w:trPr>
        <w:tc>
          <w:tcPr>
            <w:tcW w:w="1818" w:type="dxa"/>
            <w:tcBorders>
              <w:left w:val="single" w:sz="12" w:space="0" w:color="auto"/>
            </w:tcBorders>
          </w:tcPr>
          <w:p w:rsidR="004026B5" w:rsidRPr="004026B5" w:rsidRDefault="004026B5" w:rsidP="00331406">
            <w:pPr>
              <w:jc w:val="center"/>
            </w:pPr>
            <w:r w:rsidRPr="004026B5">
              <w:t>HCCA</w:t>
            </w:r>
          </w:p>
        </w:tc>
        <w:tc>
          <w:tcPr>
            <w:tcW w:w="4950" w:type="dxa"/>
          </w:tcPr>
          <w:p w:rsidR="004026B5" w:rsidRDefault="004026B5" w:rsidP="00331406">
            <w:r>
              <w:t>TSID</w:t>
            </w:r>
          </w:p>
        </w:tc>
        <w:tc>
          <w:tcPr>
            <w:tcW w:w="2790" w:type="dxa"/>
            <w:tcBorders>
              <w:right w:val="single" w:sz="12" w:space="0" w:color="auto"/>
            </w:tcBorders>
          </w:tcPr>
          <w:p w:rsidR="004026B5" w:rsidRDefault="004026B5" w:rsidP="00331406">
            <w:pPr>
              <w:jc w:val="center"/>
            </w:pPr>
            <w:r>
              <w:t>8-15</w:t>
            </w:r>
          </w:p>
        </w:tc>
      </w:tr>
      <w:tr w:rsidR="004026B5" w:rsidTr="00331406">
        <w:trPr>
          <w:trHeight w:val="438"/>
        </w:trPr>
        <w:tc>
          <w:tcPr>
            <w:tcW w:w="1818" w:type="dxa"/>
            <w:tcBorders>
              <w:left w:val="single" w:sz="12" w:space="0" w:color="auto"/>
              <w:bottom w:val="single" w:sz="12" w:space="0" w:color="auto"/>
            </w:tcBorders>
          </w:tcPr>
          <w:p w:rsidR="004026B5" w:rsidRPr="004026B5" w:rsidRDefault="004026B5" w:rsidP="00331406">
            <w:pPr>
              <w:jc w:val="center"/>
            </w:pPr>
            <w:r w:rsidRPr="004026B5">
              <w:t>HEMM</w:t>
            </w:r>
          </w:p>
        </w:tc>
        <w:tc>
          <w:tcPr>
            <w:tcW w:w="4950" w:type="dxa"/>
            <w:tcBorders>
              <w:bottom w:val="single" w:sz="12" w:space="0" w:color="auto"/>
            </w:tcBorders>
          </w:tcPr>
          <w:p w:rsidR="004026B5" w:rsidRDefault="004026B5" w:rsidP="00331406">
            <w:r>
              <w:t>TSID, regardless of the access mechanism used</w:t>
            </w:r>
          </w:p>
        </w:tc>
        <w:tc>
          <w:tcPr>
            <w:tcW w:w="2790" w:type="dxa"/>
            <w:tcBorders>
              <w:bottom w:val="single" w:sz="12" w:space="0" w:color="auto"/>
              <w:right w:val="single" w:sz="12" w:space="0" w:color="auto"/>
            </w:tcBorders>
          </w:tcPr>
          <w:p w:rsidR="004026B5" w:rsidRDefault="004026B5" w:rsidP="00331406">
            <w:pPr>
              <w:jc w:val="center"/>
            </w:pPr>
            <w:r>
              <w:t>8-15</w:t>
            </w:r>
          </w:p>
        </w:tc>
      </w:tr>
      <w:tr w:rsidR="004026B5" w:rsidTr="0053423F">
        <w:trPr>
          <w:trHeight w:val="573"/>
        </w:trPr>
        <w:tc>
          <w:tcPr>
            <w:tcW w:w="9558" w:type="dxa"/>
            <w:gridSpan w:val="3"/>
            <w:tcBorders>
              <w:left w:val="single" w:sz="12" w:space="0" w:color="auto"/>
              <w:bottom w:val="single" w:sz="12" w:space="0" w:color="auto"/>
              <w:right w:val="single" w:sz="12" w:space="0" w:color="auto"/>
            </w:tcBorders>
            <w:vAlign w:val="center"/>
          </w:tcPr>
          <w:p w:rsidR="004026B5" w:rsidRPr="002B1E96" w:rsidRDefault="002B1E96" w:rsidP="0053423F">
            <w:pPr>
              <w:rPr>
                <w:u w:val="single"/>
              </w:rPr>
            </w:pPr>
            <w:r w:rsidRPr="002B1E96">
              <w:rPr>
                <w:u w:val="single"/>
              </w:rPr>
              <w:t>NOTE</w:t>
            </w:r>
            <w:r w:rsidR="004026B5" w:rsidRPr="002B1E96">
              <w:rPr>
                <w:u w:val="single"/>
              </w:rPr>
              <w:t xml:space="preserve">—A value of 0 is the only allowed value in the TID subfield </w:t>
            </w:r>
            <w:r w:rsidR="003A3F7D" w:rsidRPr="002B1E96">
              <w:rPr>
                <w:u w:val="single"/>
              </w:rPr>
              <w:t xml:space="preserve">in a frame transmitted from a STA where </w:t>
            </w:r>
            <w:r w:rsidR="004026B5" w:rsidRPr="002B1E96">
              <w:rPr>
                <w:u w:val="single"/>
              </w:rPr>
              <w:t>dot11QoSSimplificationImplemented is true.</w:t>
            </w:r>
          </w:p>
        </w:tc>
      </w:tr>
    </w:tbl>
    <w:p w:rsidR="004026B5" w:rsidRDefault="004026B5" w:rsidP="004026B5"/>
    <w:p w:rsidR="000B12C0" w:rsidRDefault="000B12C0" w:rsidP="000B12C0">
      <w:pPr>
        <w:rPr>
          <w:b/>
          <w:sz w:val="26"/>
          <w:szCs w:val="26"/>
        </w:rPr>
      </w:pPr>
      <w:r>
        <w:rPr>
          <w:b/>
          <w:sz w:val="26"/>
          <w:szCs w:val="26"/>
        </w:rPr>
        <w:t>8.4.1.14 Block Ack Parameter Set field</w:t>
      </w:r>
    </w:p>
    <w:p w:rsidR="000B12C0" w:rsidRDefault="000B12C0" w:rsidP="000B12C0"/>
    <w:p w:rsidR="000B12C0" w:rsidRDefault="000B12C0" w:rsidP="000B12C0">
      <w:r>
        <w:rPr>
          <w:b/>
          <w:i/>
          <w:color w:val="FF0000"/>
        </w:rPr>
        <w:t>Insert the following sentence at the end of the paragraph beginning with “The TID subfield...”:</w:t>
      </w:r>
    </w:p>
    <w:p w:rsidR="000B12C0" w:rsidRDefault="000B12C0" w:rsidP="000B12C0"/>
    <w:p w:rsidR="000B12C0" w:rsidRDefault="000B12C0" w:rsidP="000B12C0">
      <w:pPr>
        <w:rPr>
          <w:b/>
          <w:sz w:val="26"/>
          <w:szCs w:val="26"/>
        </w:rPr>
      </w:pPr>
      <w:r>
        <w:t>In ADDBA Request frames from a STA where dot11QoSSimplificationImplemented is true, the TID subfield is equal to 0.</w:t>
      </w:r>
    </w:p>
    <w:p w:rsidR="000B12C0" w:rsidRDefault="000B12C0" w:rsidP="004026B5">
      <w:pPr>
        <w:rPr>
          <w:b/>
          <w:sz w:val="26"/>
          <w:szCs w:val="26"/>
        </w:rPr>
      </w:pPr>
    </w:p>
    <w:p w:rsidR="004026B5" w:rsidRPr="00A8519A" w:rsidRDefault="004026B5" w:rsidP="004026B5">
      <w:pPr>
        <w:rPr>
          <w:b/>
          <w:sz w:val="26"/>
          <w:szCs w:val="26"/>
        </w:rPr>
      </w:pPr>
      <w:r>
        <w:rPr>
          <w:b/>
          <w:sz w:val="26"/>
          <w:szCs w:val="26"/>
        </w:rPr>
        <w:t>8.4.2.29 Extended Capabilities element</w:t>
      </w:r>
    </w:p>
    <w:p w:rsidR="004026B5" w:rsidRDefault="004026B5" w:rsidP="00C15C0F">
      <w:pPr>
        <w:rPr>
          <w:b/>
          <w:i/>
          <w:color w:val="FF0000"/>
        </w:rPr>
      </w:pPr>
    </w:p>
    <w:p w:rsidR="00C15C0F" w:rsidRDefault="00C15C0F" w:rsidP="00C15C0F">
      <w:r>
        <w:rPr>
          <w:b/>
          <w:i/>
          <w:color w:val="FF0000"/>
        </w:rPr>
        <w:t>Insert</w:t>
      </w:r>
      <w:r w:rsidR="002B1E96">
        <w:rPr>
          <w:b/>
          <w:i/>
          <w:color w:val="FF0000"/>
        </w:rPr>
        <w:t xml:space="preserve"> a row</w:t>
      </w:r>
      <w:r>
        <w:rPr>
          <w:b/>
          <w:i/>
          <w:color w:val="FF0000"/>
        </w:rPr>
        <w:t xml:space="preserve"> in Table </w:t>
      </w:r>
      <w:r w:rsidR="0057235D">
        <w:rPr>
          <w:b/>
          <w:i/>
          <w:color w:val="FF0000"/>
        </w:rPr>
        <w:t>8-103</w:t>
      </w:r>
      <w:r>
        <w:rPr>
          <w:b/>
          <w:i/>
          <w:color w:val="FF0000"/>
        </w:rPr>
        <w:t xml:space="preserve"> as follows (note that the entire table is not shown here):</w:t>
      </w:r>
    </w:p>
    <w:p w:rsidR="00C15C0F" w:rsidRDefault="00C15C0F" w:rsidP="00C15C0F"/>
    <w:p w:rsidR="00C15C0F" w:rsidRPr="00A8519A" w:rsidRDefault="00C15C0F" w:rsidP="00C15C0F">
      <w:pPr>
        <w:jc w:val="center"/>
        <w:rPr>
          <w:b/>
          <w:sz w:val="26"/>
          <w:szCs w:val="26"/>
        </w:rPr>
      </w:pPr>
      <w:r w:rsidRPr="00A8519A">
        <w:rPr>
          <w:b/>
          <w:sz w:val="26"/>
          <w:szCs w:val="26"/>
        </w:rPr>
        <w:t xml:space="preserve">Table </w:t>
      </w:r>
      <w:r w:rsidR="0057235D">
        <w:rPr>
          <w:b/>
          <w:sz w:val="26"/>
          <w:szCs w:val="26"/>
        </w:rPr>
        <w:t>8-103</w:t>
      </w:r>
      <w:r w:rsidRPr="00A8519A">
        <w:rPr>
          <w:b/>
          <w:sz w:val="26"/>
          <w:szCs w:val="26"/>
        </w:rPr>
        <w:t>—</w:t>
      </w:r>
      <w:r w:rsidR="0057235D">
        <w:rPr>
          <w:b/>
          <w:sz w:val="26"/>
          <w:szCs w:val="26"/>
        </w:rPr>
        <w:t>Capabilities field</w:t>
      </w:r>
    </w:p>
    <w:p w:rsidR="00C15C0F" w:rsidRDefault="00C15C0F" w:rsidP="00C15C0F"/>
    <w:tbl>
      <w:tblPr>
        <w:tblStyle w:val="TableGrid"/>
        <w:tblW w:w="0" w:type="auto"/>
        <w:tblLook w:val="04A0" w:firstRow="1" w:lastRow="0" w:firstColumn="1" w:lastColumn="0" w:noHBand="0" w:noVBand="1"/>
      </w:tblPr>
      <w:tblGrid>
        <w:gridCol w:w="1368"/>
        <w:gridCol w:w="2520"/>
        <w:gridCol w:w="5670"/>
      </w:tblGrid>
      <w:tr w:rsidR="00C15C0F" w:rsidRPr="00C15C0F" w:rsidTr="0057235D">
        <w:trPr>
          <w:trHeight w:val="303"/>
        </w:trPr>
        <w:tc>
          <w:tcPr>
            <w:tcW w:w="1368" w:type="dxa"/>
            <w:tcBorders>
              <w:top w:val="single" w:sz="12" w:space="0" w:color="auto"/>
              <w:left w:val="single" w:sz="12" w:space="0" w:color="auto"/>
              <w:bottom w:val="single" w:sz="12" w:space="0" w:color="auto"/>
            </w:tcBorders>
            <w:vAlign w:val="center"/>
          </w:tcPr>
          <w:p w:rsidR="00C15C0F" w:rsidRPr="00C15C0F" w:rsidRDefault="0057235D" w:rsidP="0057235D">
            <w:pPr>
              <w:jc w:val="center"/>
              <w:rPr>
                <w:b/>
              </w:rPr>
            </w:pPr>
            <w:r>
              <w:rPr>
                <w:b/>
              </w:rPr>
              <w:t>Bit</w:t>
            </w:r>
          </w:p>
        </w:tc>
        <w:tc>
          <w:tcPr>
            <w:tcW w:w="2520" w:type="dxa"/>
            <w:tcBorders>
              <w:top w:val="single" w:sz="12" w:space="0" w:color="auto"/>
              <w:bottom w:val="single" w:sz="12" w:space="0" w:color="auto"/>
            </w:tcBorders>
            <w:vAlign w:val="center"/>
          </w:tcPr>
          <w:p w:rsidR="00C15C0F" w:rsidRPr="00C15C0F" w:rsidRDefault="00C15C0F" w:rsidP="0057235D">
            <w:pPr>
              <w:jc w:val="center"/>
              <w:rPr>
                <w:b/>
              </w:rPr>
            </w:pPr>
            <w:r w:rsidRPr="00C15C0F">
              <w:rPr>
                <w:b/>
              </w:rPr>
              <w:t>Information</w:t>
            </w:r>
          </w:p>
        </w:tc>
        <w:tc>
          <w:tcPr>
            <w:tcW w:w="5670" w:type="dxa"/>
            <w:tcBorders>
              <w:top w:val="single" w:sz="12" w:space="0" w:color="auto"/>
              <w:bottom w:val="single" w:sz="12" w:space="0" w:color="auto"/>
              <w:right w:val="single" w:sz="12" w:space="0" w:color="auto"/>
            </w:tcBorders>
            <w:vAlign w:val="center"/>
          </w:tcPr>
          <w:p w:rsidR="00C15C0F" w:rsidRPr="00C15C0F" w:rsidRDefault="00C15C0F" w:rsidP="0057235D">
            <w:pPr>
              <w:jc w:val="center"/>
              <w:rPr>
                <w:b/>
              </w:rPr>
            </w:pPr>
            <w:r w:rsidRPr="00C15C0F">
              <w:rPr>
                <w:b/>
              </w:rPr>
              <w:t>Notes</w:t>
            </w:r>
          </w:p>
        </w:tc>
      </w:tr>
      <w:tr w:rsidR="00C15C0F" w:rsidTr="0080070A">
        <w:trPr>
          <w:trHeight w:val="438"/>
        </w:trPr>
        <w:tc>
          <w:tcPr>
            <w:tcW w:w="1368" w:type="dxa"/>
            <w:tcBorders>
              <w:top w:val="single" w:sz="12" w:space="0" w:color="auto"/>
              <w:left w:val="single" w:sz="12" w:space="0" w:color="auto"/>
              <w:bottom w:val="single" w:sz="12" w:space="0" w:color="auto"/>
            </w:tcBorders>
          </w:tcPr>
          <w:p w:rsidR="00C15C0F" w:rsidRPr="002B1E96" w:rsidRDefault="002B1E96" w:rsidP="0080070A">
            <w:pPr>
              <w:jc w:val="center"/>
              <w:rPr>
                <w:color w:val="FF0000"/>
              </w:rPr>
            </w:pPr>
            <w:r w:rsidRPr="002B1E96">
              <w:rPr>
                <w:color w:val="FF0000"/>
              </w:rPr>
              <w:t>&lt;ANA&gt;</w:t>
            </w:r>
          </w:p>
        </w:tc>
        <w:tc>
          <w:tcPr>
            <w:tcW w:w="2520" w:type="dxa"/>
            <w:tcBorders>
              <w:top w:val="single" w:sz="12" w:space="0" w:color="auto"/>
              <w:bottom w:val="single" w:sz="12" w:space="0" w:color="auto"/>
            </w:tcBorders>
          </w:tcPr>
          <w:p w:rsidR="00C15C0F" w:rsidRDefault="00C15C0F" w:rsidP="0080070A">
            <w:r>
              <w:t>QoS Simplification</w:t>
            </w:r>
          </w:p>
        </w:tc>
        <w:tc>
          <w:tcPr>
            <w:tcW w:w="5670" w:type="dxa"/>
            <w:tcBorders>
              <w:top w:val="single" w:sz="12" w:space="0" w:color="auto"/>
              <w:bottom w:val="single" w:sz="12" w:space="0" w:color="auto"/>
              <w:right w:val="single" w:sz="12" w:space="0" w:color="auto"/>
            </w:tcBorders>
            <w:vAlign w:val="center"/>
          </w:tcPr>
          <w:p w:rsidR="00C15C0F" w:rsidRDefault="00C15C0F" w:rsidP="0080070A">
            <w:r>
              <w:t xml:space="preserve">The </w:t>
            </w:r>
            <w:r w:rsidR="0057235D">
              <w:t xml:space="preserve">STA sets the </w:t>
            </w:r>
            <w:r>
              <w:t xml:space="preserve">QoS Simplification </w:t>
            </w:r>
            <w:r w:rsidR="0057235D">
              <w:t xml:space="preserve">field to 1 </w:t>
            </w:r>
            <w:r>
              <w:t>when dot11QoSSimplificationImplemented is TRUE</w:t>
            </w:r>
            <w:r w:rsidR="0080070A">
              <w:t>, and sets it to 0 otherwise</w:t>
            </w:r>
            <w:r>
              <w:t>.</w:t>
            </w:r>
          </w:p>
        </w:tc>
      </w:tr>
    </w:tbl>
    <w:p w:rsidR="00092693" w:rsidRDefault="00092693" w:rsidP="00C15C0F"/>
    <w:p w:rsidR="0053423F" w:rsidRDefault="0053423F" w:rsidP="004026B5">
      <w:pPr>
        <w:rPr>
          <w:b/>
          <w:sz w:val="26"/>
          <w:szCs w:val="26"/>
        </w:rPr>
      </w:pPr>
    </w:p>
    <w:p w:rsidR="0053423F" w:rsidRDefault="0053423F" w:rsidP="004026B5">
      <w:pPr>
        <w:rPr>
          <w:b/>
          <w:sz w:val="26"/>
          <w:szCs w:val="26"/>
        </w:rPr>
      </w:pPr>
    </w:p>
    <w:p w:rsidR="0053423F" w:rsidRDefault="0053423F" w:rsidP="004026B5">
      <w:pPr>
        <w:rPr>
          <w:b/>
          <w:sz w:val="26"/>
          <w:szCs w:val="26"/>
        </w:rPr>
      </w:pPr>
    </w:p>
    <w:p w:rsidR="0053423F" w:rsidRDefault="0053423F" w:rsidP="004026B5">
      <w:pPr>
        <w:rPr>
          <w:b/>
          <w:sz w:val="26"/>
          <w:szCs w:val="26"/>
        </w:rPr>
      </w:pPr>
    </w:p>
    <w:p w:rsidR="0053423F" w:rsidRDefault="0053423F" w:rsidP="004026B5">
      <w:pPr>
        <w:rPr>
          <w:b/>
          <w:sz w:val="26"/>
          <w:szCs w:val="26"/>
        </w:rPr>
      </w:pPr>
    </w:p>
    <w:p w:rsidR="004026B5" w:rsidRPr="00A8519A" w:rsidRDefault="004026B5" w:rsidP="004026B5">
      <w:pPr>
        <w:rPr>
          <w:b/>
          <w:sz w:val="26"/>
          <w:szCs w:val="26"/>
        </w:rPr>
      </w:pPr>
      <w:r>
        <w:rPr>
          <w:b/>
          <w:sz w:val="26"/>
          <w:szCs w:val="26"/>
        </w:rPr>
        <w:t>9.2.4.2 HCF contention-based channel access (EDCA)</w:t>
      </w:r>
    </w:p>
    <w:p w:rsidR="004026B5" w:rsidRDefault="004026B5" w:rsidP="004026B5"/>
    <w:p w:rsidR="004026B5" w:rsidRDefault="004026B5" w:rsidP="004026B5">
      <w:r>
        <w:rPr>
          <w:b/>
          <w:i/>
          <w:color w:val="FF0000"/>
        </w:rPr>
        <w:lastRenderedPageBreak/>
        <w:t>Insert the following paragraph at the end of section 9.2.4.2:</w:t>
      </w:r>
    </w:p>
    <w:p w:rsidR="004026B5" w:rsidRDefault="004026B5" w:rsidP="004026B5"/>
    <w:p w:rsidR="004026B5" w:rsidRDefault="004026B5" w:rsidP="004026B5">
      <w:r>
        <w:t xml:space="preserve">The UP-to-AC mappings in Table 9-1 </w:t>
      </w:r>
      <w:r w:rsidR="00A577B1">
        <w:t>apply only in the case when dot11QoSSimplificationImplemented is false</w:t>
      </w:r>
      <w:r>
        <w:t xml:space="preserve">.  When dot11QoSSimplificationImplemented is true, a STA shall </w:t>
      </w:r>
      <w:r w:rsidR="0057147E">
        <w:t xml:space="preserve">not follow the mappings in Table 9-1; instead, the STA shall </w:t>
      </w:r>
      <w:r>
        <w:t>maintain only a single access category for data frames</w:t>
      </w:r>
      <w:r w:rsidR="0057147E">
        <w:t xml:space="preserve"> and shall map </w:t>
      </w:r>
      <w:r>
        <w:t>UP values 0 through 7 to access category AC_BE.</w:t>
      </w:r>
    </w:p>
    <w:p w:rsidR="004026B5" w:rsidRDefault="004026B5" w:rsidP="00C15C0F"/>
    <w:p w:rsidR="00246E42" w:rsidRPr="00A8519A" w:rsidRDefault="00246E42" w:rsidP="00331406">
      <w:pPr>
        <w:rPr>
          <w:b/>
          <w:sz w:val="26"/>
          <w:szCs w:val="26"/>
        </w:rPr>
      </w:pPr>
      <w:r>
        <w:rPr>
          <w:b/>
          <w:sz w:val="26"/>
          <w:szCs w:val="26"/>
        </w:rPr>
        <w:t>9.19.2.1 Reference implementation</w:t>
      </w:r>
    </w:p>
    <w:p w:rsidR="00246E42" w:rsidRDefault="00246E42" w:rsidP="0080070A">
      <w:pPr>
        <w:rPr>
          <w:b/>
          <w:i/>
          <w:color w:val="FF0000"/>
        </w:rPr>
      </w:pPr>
    </w:p>
    <w:p w:rsidR="0080070A" w:rsidRDefault="0080070A" w:rsidP="0080070A">
      <w:r>
        <w:rPr>
          <w:b/>
          <w:i/>
          <w:color w:val="FF0000"/>
        </w:rPr>
        <w:t>Insert the following paragraph after Figure 9-19:</w:t>
      </w:r>
    </w:p>
    <w:p w:rsidR="0080070A" w:rsidRDefault="0080070A"/>
    <w:p w:rsidR="005F1829" w:rsidRDefault="00A577B1" w:rsidP="00C15C0F">
      <w:r>
        <w:t xml:space="preserve">Support for multiple EDCAFs is mandatory only when dot11QoSSimplificationImplemented is false. </w:t>
      </w:r>
      <w:r w:rsidR="0080070A">
        <w:t xml:space="preserve">When dot11QoSSimplificationImplemented is true, </w:t>
      </w:r>
      <w:r w:rsidR="005F1829">
        <w:t>a</w:t>
      </w:r>
      <w:r w:rsidR="0080070A">
        <w:t xml:space="preserve"> STA</w:t>
      </w:r>
      <w:r w:rsidR="005F1829">
        <w:t xml:space="preserve"> shall maintain only a single transmit queue for data frames.</w:t>
      </w:r>
    </w:p>
    <w:p w:rsidR="0057147E" w:rsidRDefault="0057147E" w:rsidP="00C15C0F"/>
    <w:p w:rsidR="0057147E" w:rsidRPr="00A8519A" w:rsidRDefault="0057147E" w:rsidP="0057147E">
      <w:pPr>
        <w:rPr>
          <w:b/>
          <w:sz w:val="26"/>
          <w:szCs w:val="26"/>
        </w:rPr>
      </w:pPr>
      <w:r>
        <w:rPr>
          <w:b/>
          <w:sz w:val="26"/>
          <w:szCs w:val="26"/>
        </w:rPr>
        <w:t>9.21.2 Setup and modification of the Block Ack parameters</w:t>
      </w:r>
    </w:p>
    <w:p w:rsidR="0057147E" w:rsidRDefault="0057147E" w:rsidP="00C15C0F"/>
    <w:p w:rsidR="0057147E" w:rsidRDefault="002B1E96" w:rsidP="0057147E">
      <w:r>
        <w:rPr>
          <w:b/>
          <w:i/>
          <w:color w:val="FF0000"/>
        </w:rPr>
        <w:t>Change the first paragraph as follows</w:t>
      </w:r>
      <w:r w:rsidR="0057147E">
        <w:rPr>
          <w:b/>
          <w:i/>
          <w:color w:val="FF0000"/>
        </w:rPr>
        <w:t>:</w:t>
      </w:r>
    </w:p>
    <w:p w:rsidR="0057147E" w:rsidRDefault="0057147E" w:rsidP="00C15C0F"/>
    <w:p w:rsidR="004026B5" w:rsidRDefault="0057147E" w:rsidP="0057147E">
      <w:r>
        <w:t xml:space="preserve">An originator that intends to use the Block Ack mechanism for the transmission of QoS data frames to an intended recipient should first check whether the intended recipient STA is capable of participating in Block Ack mechanism by discovering and examining its Delayed Block Ack and Immediate Block Ack capability bits. If the intended recipient STA is capable of participating, the originator sends an ADDBA Request frame indicating the TID for which the Block Ack is being set up. </w:t>
      </w:r>
      <w:r w:rsidRPr="002B1E96">
        <w:rPr>
          <w:u w:val="single"/>
        </w:rPr>
        <w:t xml:space="preserve">For an originator where dot11QoSSimplificationImplemented is true, the TID </w:t>
      </w:r>
      <w:r w:rsidR="00A577B1" w:rsidRPr="002B1E96">
        <w:rPr>
          <w:u w:val="single"/>
        </w:rPr>
        <w:t>is</w:t>
      </w:r>
      <w:r w:rsidRPr="002B1E96">
        <w:rPr>
          <w:u w:val="single"/>
        </w:rPr>
        <w:t xml:space="preserve"> 0.</w:t>
      </w:r>
      <w:r>
        <w:t xml:space="preserve"> For an ADDBA set up between STAs where one is a non-HT STA, the Block Ack Policy and Buffer Size fields in the ADDBA Request frame are advisory and may be changed by the recipient. The Buffer Size field in the ADDBA Request frame is advisory and may be changed by the recipient for an ADDBA set up between HT STAs.</w:t>
      </w:r>
    </w:p>
    <w:p w:rsidR="004026B5" w:rsidRDefault="004026B5" w:rsidP="00C15C0F"/>
    <w:p w:rsidR="004026B5" w:rsidRDefault="004026B5" w:rsidP="00C15C0F"/>
    <w:p w:rsidR="004026B5" w:rsidRDefault="004026B5" w:rsidP="00C15C0F"/>
    <w:p w:rsidR="005F1829" w:rsidRDefault="005F1829" w:rsidP="00C15C0F"/>
    <w:p w:rsidR="000B0463" w:rsidRDefault="000B0463"/>
    <w:sectPr w:rsidR="000B0463" w:rsidSect="00D607F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810" w:rsidRDefault="00796810">
      <w:r>
        <w:separator/>
      </w:r>
    </w:p>
  </w:endnote>
  <w:endnote w:type="continuationSeparator" w:id="0">
    <w:p w:rsidR="00796810" w:rsidRDefault="0079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B7" w:rsidRDefault="004F6C73" w:rsidP="00A71109">
    <w:pPr>
      <w:pStyle w:val="Footer"/>
      <w:tabs>
        <w:tab w:val="clear" w:pos="6480"/>
        <w:tab w:val="center" w:pos="4680"/>
        <w:tab w:val="right" w:pos="9360"/>
      </w:tabs>
    </w:pPr>
    <w:fldSimple w:instr=" SUBJECT  \* MERGEFORMAT ">
      <w:r w:rsidR="0013239C">
        <w:t>Submission</w:t>
      </w:r>
    </w:fldSimple>
    <w:r w:rsidR="006C21B7">
      <w:tab/>
      <w:t xml:space="preserve">page </w:t>
    </w:r>
    <w:r>
      <w:fldChar w:fldCharType="begin"/>
    </w:r>
    <w:r>
      <w:instrText xml:space="preserve">page </w:instrText>
    </w:r>
    <w:r>
      <w:fldChar w:fldCharType="separate"/>
    </w:r>
    <w:r w:rsidR="00147BA8">
      <w:rPr>
        <w:noProof/>
      </w:rPr>
      <w:t>1</w:t>
    </w:r>
    <w:r>
      <w:rPr>
        <w:noProof/>
      </w:rPr>
      <w:fldChar w:fldCharType="end"/>
    </w:r>
    <w:r w:rsidR="006C21B7">
      <w:tab/>
    </w:r>
    <w:fldSimple w:instr=" COMMENTS  \* MERGEFORMAT ">
      <w:r w:rsidR="0013239C">
        <w:t>Adrian Stephens, Intel Corp.</w:t>
      </w:r>
    </w:fldSimple>
  </w:p>
  <w:p w:rsidR="006C21B7" w:rsidRDefault="006C21B7" w:rsidP="00A71109">
    <w:pPr>
      <w:pStyle w:val="Footer"/>
      <w:tabs>
        <w:tab w:val="clear" w:pos="648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810" w:rsidRDefault="00796810">
      <w:r>
        <w:separator/>
      </w:r>
    </w:p>
  </w:footnote>
  <w:footnote w:type="continuationSeparator" w:id="0">
    <w:p w:rsidR="00796810" w:rsidRDefault="00796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B7" w:rsidRDefault="006E5339">
    <w:pPr>
      <w:pStyle w:val="Header"/>
      <w:tabs>
        <w:tab w:val="clear" w:pos="6480"/>
        <w:tab w:val="center" w:pos="4680"/>
        <w:tab w:val="right" w:pos="9360"/>
      </w:tabs>
    </w:pPr>
    <w:r>
      <w:t>September 2013</w:t>
    </w:r>
    <w:r w:rsidR="006C21B7">
      <w:tab/>
    </w:r>
    <w:r w:rsidR="006C21B7">
      <w:tab/>
    </w:r>
    <w:r w:rsidR="002046BE">
      <w:fldChar w:fldCharType="begin"/>
    </w:r>
    <w:r w:rsidR="006C21B7">
      <w:instrText xml:space="preserve"> TITLE  \* MERGEFORMAT </w:instrText>
    </w:r>
    <w:r w:rsidR="002046BE">
      <w:fldChar w:fldCharType="separate"/>
    </w:r>
    <w:r w:rsidR="00147BA8">
      <w:t>doc.: IEEE 802.11-13/1170r0</w:t>
    </w:r>
    <w:r w:rsidR="002046B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F4C59"/>
    <w:multiLevelType w:val="hybridMultilevel"/>
    <w:tmpl w:val="84A6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AutoAppliedDocIDOnNew" w:val="Yes"/>
    <w:docVar w:name="DocIDLoc&amp;Size" w:val="0^8"/>
    <w:docVar w:name="FirmDocID" w:val="L9"/>
    <w:docVar w:name="FutureDocID" w:val="S00001100"/>
  </w:docVars>
  <w:rsids>
    <w:rsidRoot w:val="004C51F6"/>
    <w:rsid w:val="000051BF"/>
    <w:rsid w:val="00055AD0"/>
    <w:rsid w:val="00063F69"/>
    <w:rsid w:val="000651EF"/>
    <w:rsid w:val="00070BD0"/>
    <w:rsid w:val="0008599D"/>
    <w:rsid w:val="00092693"/>
    <w:rsid w:val="00096C36"/>
    <w:rsid w:val="000B0463"/>
    <w:rsid w:val="000B12C0"/>
    <w:rsid w:val="000B46EB"/>
    <w:rsid w:val="00107D27"/>
    <w:rsid w:val="0013239C"/>
    <w:rsid w:val="00144538"/>
    <w:rsid w:val="00147BA8"/>
    <w:rsid w:val="001647B3"/>
    <w:rsid w:val="00183B87"/>
    <w:rsid w:val="001C0FBE"/>
    <w:rsid w:val="001D723B"/>
    <w:rsid w:val="002046BE"/>
    <w:rsid w:val="00246E42"/>
    <w:rsid w:val="0029020B"/>
    <w:rsid w:val="002B1E96"/>
    <w:rsid w:val="002D44BE"/>
    <w:rsid w:val="003309A5"/>
    <w:rsid w:val="00331406"/>
    <w:rsid w:val="00371E82"/>
    <w:rsid w:val="003A3F7D"/>
    <w:rsid w:val="003B29E3"/>
    <w:rsid w:val="004026B5"/>
    <w:rsid w:val="004218AE"/>
    <w:rsid w:val="00422556"/>
    <w:rsid w:val="00442037"/>
    <w:rsid w:val="00496774"/>
    <w:rsid w:val="004B064B"/>
    <w:rsid w:val="004C51F6"/>
    <w:rsid w:val="004F6C73"/>
    <w:rsid w:val="00516E4E"/>
    <w:rsid w:val="0053423F"/>
    <w:rsid w:val="0057147E"/>
    <w:rsid w:val="0057235D"/>
    <w:rsid w:val="00572D53"/>
    <w:rsid w:val="005F1829"/>
    <w:rsid w:val="005F5231"/>
    <w:rsid w:val="0062440B"/>
    <w:rsid w:val="006868E2"/>
    <w:rsid w:val="006C0727"/>
    <w:rsid w:val="006C21B7"/>
    <w:rsid w:val="006E145F"/>
    <w:rsid w:val="006E5339"/>
    <w:rsid w:val="00770572"/>
    <w:rsid w:val="00796810"/>
    <w:rsid w:val="007E6F9E"/>
    <w:rsid w:val="0080070A"/>
    <w:rsid w:val="008A05A3"/>
    <w:rsid w:val="008C3E9F"/>
    <w:rsid w:val="008D22AF"/>
    <w:rsid w:val="008D3AFA"/>
    <w:rsid w:val="00925C79"/>
    <w:rsid w:val="00944899"/>
    <w:rsid w:val="009A09AE"/>
    <w:rsid w:val="009E5F2B"/>
    <w:rsid w:val="009F2FBC"/>
    <w:rsid w:val="00A15244"/>
    <w:rsid w:val="00A55D4B"/>
    <w:rsid w:val="00A577B1"/>
    <w:rsid w:val="00A71109"/>
    <w:rsid w:val="00A76CF3"/>
    <w:rsid w:val="00A8519A"/>
    <w:rsid w:val="00AA427C"/>
    <w:rsid w:val="00B27545"/>
    <w:rsid w:val="00B37A59"/>
    <w:rsid w:val="00B95470"/>
    <w:rsid w:val="00BA1472"/>
    <w:rsid w:val="00BA362B"/>
    <w:rsid w:val="00BE1A4F"/>
    <w:rsid w:val="00BE68C2"/>
    <w:rsid w:val="00C15C0F"/>
    <w:rsid w:val="00C42143"/>
    <w:rsid w:val="00C50632"/>
    <w:rsid w:val="00CA09B2"/>
    <w:rsid w:val="00CB4E4C"/>
    <w:rsid w:val="00CF730C"/>
    <w:rsid w:val="00D15C32"/>
    <w:rsid w:val="00D30D61"/>
    <w:rsid w:val="00D607FA"/>
    <w:rsid w:val="00DC5A7B"/>
    <w:rsid w:val="00E00CFE"/>
    <w:rsid w:val="00E74205"/>
    <w:rsid w:val="00E80DCD"/>
    <w:rsid w:val="00ED5C93"/>
    <w:rsid w:val="00EE3AE6"/>
    <w:rsid w:val="00EF06C1"/>
    <w:rsid w:val="00F15BB8"/>
    <w:rsid w:val="00F640D4"/>
    <w:rsid w:val="00FB7173"/>
    <w:rsid w:val="00FE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8A4B0E5-C98E-4115-B7E7-9DCC24A9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7FA"/>
    <w:rPr>
      <w:sz w:val="22"/>
      <w:lang w:val="en-GB"/>
    </w:rPr>
  </w:style>
  <w:style w:type="paragraph" w:styleId="Heading1">
    <w:name w:val="heading 1"/>
    <w:basedOn w:val="Normal"/>
    <w:next w:val="Normal"/>
    <w:qFormat/>
    <w:rsid w:val="00D607FA"/>
    <w:pPr>
      <w:keepNext/>
      <w:keepLines/>
      <w:spacing w:before="320"/>
      <w:outlineLvl w:val="0"/>
    </w:pPr>
    <w:rPr>
      <w:rFonts w:ascii="Arial" w:hAnsi="Arial"/>
      <w:b/>
      <w:sz w:val="32"/>
      <w:u w:val="single"/>
    </w:rPr>
  </w:style>
  <w:style w:type="paragraph" w:styleId="Heading2">
    <w:name w:val="heading 2"/>
    <w:basedOn w:val="Normal"/>
    <w:next w:val="Normal"/>
    <w:qFormat/>
    <w:rsid w:val="00D607FA"/>
    <w:pPr>
      <w:keepNext/>
      <w:keepLines/>
      <w:spacing w:before="280"/>
      <w:outlineLvl w:val="1"/>
    </w:pPr>
    <w:rPr>
      <w:rFonts w:ascii="Arial" w:hAnsi="Arial"/>
      <w:b/>
      <w:sz w:val="28"/>
      <w:u w:val="single"/>
    </w:rPr>
  </w:style>
  <w:style w:type="paragraph" w:styleId="Heading3">
    <w:name w:val="heading 3"/>
    <w:basedOn w:val="Normal"/>
    <w:next w:val="Normal"/>
    <w:qFormat/>
    <w:rsid w:val="00D607F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607FA"/>
    <w:pPr>
      <w:pBdr>
        <w:top w:val="single" w:sz="6" w:space="1" w:color="auto"/>
      </w:pBdr>
      <w:tabs>
        <w:tab w:val="center" w:pos="6480"/>
        <w:tab w:val="right" w:pos="12960"/>
      </w:tabs>
    </w:pPr>
    <w:rPr>
      <w:sz w:val="24"/>
    </w:rPr>
  </w:style>
  <w:style w:type="paragraph" w:styleId="Header">
    <w:name w:val="header"/>
    <w:basedOn w:val="Normal"/>
    <w:rsid w:val="00D607FA"/>
    <w:pPr>
      <w:pBdr>
        <w:bottom w:val="single" w:sz="6" w:space="2" w:color="auto"/>
      </w:pBdr>
      <w:tabs>
        <w:tab w:val="center" w:pos="6480"/>
        <w:tab w:val="right" w:pos="12960"/>
      </w:tabs>
    </w:pPr>
    <w:rPr>
      <w:b/>
      <w:sz w:val="28"/>
    </w:rPr>
  </w:style>
  <w:style w:type="paragraph" w:customStyle="1" w:styleId="T1">
    <w:name w:val="T1"/>
    <w:basedOn w:val="Normal"/>
    <w:rsid w:val="00D607FA"/>
    <w:pPr>
      <w:jc w:val="center"/>
    </w:pPr>
    <w:rPr>
      <w:b/>
      <w:sz w:val="28"/>
    </w:rPr>
  </w:style>
  <w:style w:type="paragraph" w:customStyle="1" w:styleId="T2">
    <w:name w:val="T2"/>
    <w:basedOn w:val="T1"/>
    <w:rsid w:val="00D607FA"/>
    <w:pPr>
      <w:spacing w:after="240"/>
      <w:ind w:left="720" w:right="720"/>
    </w:pPr>
  </w:style>
  <w:style w:type="paragraph" w:customStyle="1" w:styleId="T3">
    <w:name w:val="T3"/>
    <w:basedOn w:val="T1"/>
    <w:rsid w:val="00D607FA"/>
    <w:pPr>
      <w:pBdr>
        <w:bottom w:val="single" w:sz="6" w:space="1" w:color="auto"/>
      </w:pBdr>
      <w:tabs>
        <w:tab w:val="center" w:pos="4680"/>
      </w:tabs>
      <w:spacing w:after="240"/>
      <w:jc w:val="left"/>
    </w:pPr>
    <w:rPr>
      <w:b w:val="0"/>
      <w:sz w:val="24"/>
    </w:rPr>
  </w:style>
  <w:style w:type="paragraph" w:styleId="BodyTextIndent">
    <w:name w:val="Body Text Indent"/>
    <w:basedOn w:val="Normal"/>
    <w:rsid w:val="00D607FA"/>
    <w:pPr>
      <w:ind w:left="720" w:hanging="720"/>
    </w:pPr>
  </w:style>
  <w:style w:type="character" w:styleId="Hyperlink">
    <w:name w:val="Hyperlink"/>
    <w:rsid w:val="00D607FA"/>
    <w:rPr>
      <w:color w:val="0000FF"/>
      <w:u w:val="single"/>
    </w:rPr>
  </w:style>
  <w:style w:type="paragraph" w:styleId="FootnoteText">
    <w:name w:val="footnote text"/>
    <w:basedOn w:val="Normal"/>
    <w:link w:val="FootnoteTextChar"/>
    <w:rsid w:val="000B0463"/>
    <w:pPr>
      <w:spacing w:after="240"/>
      <w:ind w:left="360" w:hanging="360"/>
    </w:pPr>
    <w:rPr>
      <w:sz w:val="20"/>
    </w:rPr>
  </w:style>
  <w:style w:type="character" w:customStyle="1" w:styleId="FootnoteTextChar">
    <w:name w:val="Footnote Text Char"/>
    <w:basedOn w:val="DefaultParagraphFont"/>
    <w:link w:val="FootnoteText"/>
    <w:rsid w:val="000B0463"/>
    <w:rPr>
      <w:lang w:val="en-GB"/>
    </w:rPr>
  </w:style>
  <w:style w:type="paragraph" w:customStyle="1" w:styleId="DocID">
    <w:name w:val="DocID"/>
    <w:basedOn w:val="Normal"/>
    <w:link w:val="DocIDChar"/>
    <w:rsid w:val="000B0463"/>
    <w:pPr>
      <w:spacing w:before="60"/>
    </w:pPr>
    <w:rPr>
      <w:noProof/>
      <w:sz w:val="16"/>
    </w:rPr>
  </w:style>
  <w:style w:type="character" w:customStyle="1" w:styleId="DocIDChar">
    <w:name w:val="DocID Char"/>
    <w:basedOn w:val="DefaultParagraphFont"/>
    <w:link w:val="DocID"/>
    <w:rsid w:val="000B0463"/>
    <w:rPr>
      <w:noProof/>
      <w:sz w:val="16"/>
      <w:lang w:val="en-GB"/>
    </w:rPr>
  </w:style>
  <w:style w:type="table" w:styleId="TableGrid">
    <w:name w:val="Table Grid"/>
    <w:basedOn w:val="TableNormal"/>
    <w:rsid w:val="004C5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E6F9E"/>
    <w:rPr>
      <w:rFonts w:ascii="Tahoma" w:hAnsi="Tahoma" w:cs="Tahoma"/>
      <w:sz w:val="16"/>
      <w:szCs w:val="16"/>
    </w:rPr>
  </w:style>
  <w:style w:type="character" w:customStyle="1" w:styleId="BalloonTextChar">
    <w:name w:val="Balloon Text Char"/>
    <w:basedOn w:val="DefaultParagraphFont"/>
    <w:link w:val="BalloonText"/>
    <w:rsid w:val="007E6F9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parkk\Deskto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Intel Corp.</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802.11-13/1170r0</dc:title>
  <dc:subject>Submission</dc:subject>
  <dc:creator>Adrian Stephens</dc:creator>
  <cp:keywords>September 2013</cp:keywords>
  <dc:description>Adrian Stephens, Intel Corporation</dc:description>
  <cp:lastModifiedBy>Stephens, Adrian P</cp:lastModifiedBy>
  <cp:revision>5</cp:revision>
  <cp:lastPrinted>2013-08-20T22:58:00Z</cp:lastPrinted>
  <dcterms:created xsi:type="dcterms:W3CDTF">2013-09-15T02:27:00Z</dcterms:created>
  <dcterms:modified xsi:type="dcterms:W3CDTF">2013-09-17T00:01:00Z</dcterms:modified>
</cp:coreProperties>
</file>