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06"/>
        <w:gridCol w:w="1530"/>
        <w:gridCol w:w="2375"/>
      </w:tblGrid>
      <w:tr w:rsidR="00CA09B2" w:rsidTr="00A0234F">
        <w:trPr>
          <w:trHeight w:val="485"/>
          <w:jc w:val="center"/>
        </w:trPr>
        <w:tc>
          <w:tcPr>
            <w:tcW w:w="8711" w:type="dxa"/>
            <w:gridSpan w:val="5"/>
            <w:vAlign w:val="center"/>
          </w:tcPr>
          <w:p w:rsidR="00CA09B2" w:rsidRDefault="00A0234F" w:rsidP="00E2763D">
            <w:pPr>
              <w:pStyle w:val="T2"/>
            </w:pPr>
            <w:r>
              <w:t xml:space="preserve">Comment Collection 09 </w:t>
            </w:r>
            <w:r w:rsidR="00E2763D">
              <w:t>PHY</w:t>
            </w:r>
            <w:r>
              <w:t xml:space="preserve"> CIDs (Comment Resolutions for CC09)</w:t>
            </w:r>
          </w:p>
        </w:tc>
      </w:tr>
      <w:tr w:rsidR="00CA09B2" w:rsidTr="00A0234F">
        <w:trPr>
          <w:trHeight w:val="359"/>
          <w:jc w:val="center"/>
        </w:trPr>
        <w:tc>
          <w:tcPr>
            <w:tcW w:w="8711" w:type="dxa"/>
            <w:gridSpan w:val="5"/>
            <w:vAlign w:val="center"/>
          </w:tcPr>
          <w:p w:rsidR="00CA09B2" w:rsidRDefault="00CA09B2" w:rsidP="00F4362E">
            <w:pPr>
              <w:pStyle w:val="T2"/>
              <w:ind w:left="0"/>
              <w:rPr>
                <w:sz w:val="20"/>
              </w:rPr>
            </w:pPr>
            <w:r>
              <w:rPr>
                <w:sz w:val="20"/>
              </w:rPr>
              <w:t>Date:</w:t>
            </w:r>
            <w:r>
              <w:rPr>
                <w:b w:val="0"/>
                <w:sz w:val="20"/>
              </w:rPr>
              <w:t xml:space="preserve">  </w:t>
            </w:r>
            <w:r w:rsidR="00A0234F">
              <w:rPr>
                <w:b w:val="0"/>
                <w:sz w:val="20"/>
              </w:rPr>
              <w:t>2013</w:t>
            </w:r>
            <w:r>
              <w:rPr>
                <w:b w:val="0"/>
                <w:sz w:val="20"/>
              </w:rPr>
              <w:t>-</w:t>
            </w:r>
            <w:r w:rsidR="00F4362E">
              <w:rPr>
                <w:b w:val="0"/>
                <w:sz w:val="20"/>
              </w:rPr>
              <w:t>September</w:t>
            </w:r>
            <w:r>
              <w:rPr>
                <w:b w:val="0"/>
                <w:sz w:val="20"/>
              </w:rPr>
              <w:t>-</w:t>
            </w:r>
            <w:r w:rsidR="00F4362E">
              <w:rPr>
                <w:b w:val="0"/>
                <w:sz w:val="20"/>
              </w:rPr>
              <w:t>15</w:t>
            </w:r>
          </w:p>
        </w:tc>
      </w:tr>
      <w:tr w:rsidR="00CA09B2" w:rsidTr="00A0234F">
        <w:trPr>
          <w:cantSplit/>
          <w:jc w:val="center"/>
        </w:trPr>
        <w:tc>
          <w:tcPr>
            <w:tcW w:w="8711" w:type="dxa"/>
            <w:gridSpan w:val="5"/>
            <w:vAlign w:val="center"/>
          </w:tcPr>
          <w:p w:rsidR="00CA09B2" w:rsidRDefault="00CA09B2">
            <w:pPr>
              <w:pStyle w:val="T2"/>
              <w:spacing w:after="0"/>
              <w:ind w:left="0" w:right="0"/>
              <w:jc w:val="left"/>
              <w:rPr>
                <w:sz w:val="20"/>
              </w:rPr>
            </w:pPr>
            <w:r>
              <w:rPr>
                <w:sz w:val="20"/>
              </w:rPr>
              <w:t>Author(s):</w:t>
            </w:r>
          </w:p>
        </w:tc>
      </w:tr>
      <w:tr w:rsidR="00CA09B2" w:rsidTr="00A0234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06"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375" w:type="dxa"/>
            <w:vAlign w:val="center"/>
          </w:tcPr>
          <w:p w:rsidR="00CA09B2" w:rsidRDefault="00CA09B2">
            <w:pPr>
              <w:pStyle w:val="T2"/>
              <w:spacing w:after="0"/>
              <w:ind w:left="0" w:right="0"/>
              <w:jc w:val="left"/>
              <w:rPr>
                <w:sz w:val="20"/>
              </w:rPr>
            </w:pPr>
            <w:r>
              <w:rPr>
                <w:sz w:val="20"/>
              </w:rPr>
              <w:t>email</w:t>
            </w:r>
          </w:p>
        </w:tc>
      </w:tr>
      <w:tr w:rsidR="001A150A" w:rsidTr="00A0234F">
        <w:trPr>
          <w:jc w:val="center"/>
        </w:trPr>
        <w:tc>
          <w:tcPr>
            <w:tcW w:w="1336" w:type="dxa"/>
            <w:vAlign w:val="center"/>
          </w:tcPr>
          <w:p w:rsidR="001A150A" w:rsidRDefault="001A150A" w:rsidP="00283AD2">
            <w:pPr>
              <w:pStyle w:val="T2"/>
              <w:spacing w:after="0"/>
              <w:ind w:left="0" w:right="0"/>
              <w:rPr>
                <w:b w:val="0"/>
                <w:sz w:val="20"/>
              </w:rPr>
            </w:pPr>
            <w:r>
              <w:rPr>
                <w:b w:val="0"/>
                <w:sz w:val="20"/>
              </w:rPr>
              <w:t>Jianhan Liu</w:t>
            </w:r>
          </w:p>
        </w:tc>
        <w:tc>
          <w:tcPr>
            <w:tcW w:w="2064" w:type="dxa"/>
            <w:vMerge w:val="restart"/>
            <w:vAlign w:val="center"/>
          </w:tcPr>
          <w:p w:rsidR="001A150A" w:rsidRDefault="001A150A">
            <w:pPr>
              <w:pStyle w:val="T2"/>
              <w:spacing w:after="0"/>
              <w:ind w:left="0" w:right="0"/>
              <w:rPr>
                <w:b w:val="0"/>
                <w:sz w:val="20"/>
              </w:rPr>
            </w:pPr>
            <w:r>
              <w:rPr>
                <w:b w:val="0"/>
                <w:sz w:val="20"/>
              </w:rPr>
              <w:t>Mediatek Inc.</w:t>
            </w:r>
          </w:p>
        </w:tc>
        <w:tc>
          <w:tcPr>
            <w:tcW w:w="1406" w:type="dxa"/>
            <w:vAlign w:val="center"/>
          </w:tcPr>
          <w:p w:rsidR="001A150A" w:rsidRDefault="001A150A">
            <w:pPr>
              <w:pStyle w:val="T2"/>
              <w:spacing w:after="0"/>
              <w:ind w:left="0" w:right="0"/>
              <w:rPr>
                <w:b w:val="0"/>
                <w:sz w:val="20"/>
              </w:rPr>
            </w:pPr>
          </w:p>
        </w:tc>
        <w:tc>
          <w:tcPr>
            <w:tcW w:w="1530" w:type="dxa"/>
            <w:vAlign w:val="center"/>
          </w:tcPr>
          <w:p w:rsidR="001A150A" w:rsidRDefault="001A150A">
            <w:pPr>
              <w:pStyle w:val="T2"/>
              <w:spacing w:after="0"/>
              <w:ind w:left="0" w:right="0"/>
              <w:rPr>
                <w:b w:val="0"/>
                <w:sz w:val="20"/>
              </w:rPr>
            </w:pPr>
          </w:p>
        </w:tc>
        <w:tc>
          <w:tcPr>
            <w:tcW w:w="2375" w:type="dxa"/>
            <w:vAlign w:val="center"/>
          </w:tcPr>
          <w:p w:rsidR="001A150A" w:rsidRDefault="001A150A" w:rsidP="00386140">
            <w:pPr>
              <w:pStyle w:val="T2"/>
              <w:spacing w:after="0"/>
              <w:ind w:left="0" w:right="0"/>
              <w:rPr>
                <w:b w:val="0"/>
                <w:sz w:val="16"/>
              </w:rPr>
            </w:pPr>
            <w:r>
              <w:rPr>
                <w:b w:val="0"/>
                <w:sz w:val="16"/>
              </w:rPr>
              <w:t>Jianhan.liu@mediatek.com</w:t>
            </w:r>
          </w:p>
        </w:tc>
      </w:tr>
      <w:tr w:rsidR="001A150A" w:rsidTr="00A0234F">
        <w:trPr>
          <w:jc w:val="center"/>
        </w:trPr>
        <w:tc>
          <w:tcPr>
            <w:tcW w:w="1336" w:type="dxa"/>
            <w:vAlign w:val="center"/>
          </w:tcPr>
          <w:p w:rsidR="001A150A" w:rsidRDefault="001A150A">
            <w:pPr>
              <w:pStyle w:val="T2"/>
              <w:spacing w:after="0"/>
              <w:ind w:left="0" w:right="0"/>
              <w:rPr>
                <w:b w:val="0"/>
                <w:sz w:val="20"/>
              </w:rPr>
            </w:pPr>
            <w:r>
              <w:rPr>
                <w:b w:val="0"/>
                <w:sz w:val="20"/>
              </w:rPr>
              <w:t>James Wang</w:t>
            </w:r>
          </w:p>
        </w:tc>
        <w:tc>
          <w:tcPr>
            <w:tcW w:w="2064" w:type="dxa"/>
            <w:vMerge/>
            <w:vAlign w:val="center"/>
          </w:tcPr>
          <w:p w:rsidR="001A150A" w:rsidRDefault="001A150A">
            <w:pPr>
              <w:pStyle w:val="T2"/>
              <w:spacing w:after="0"/>
              <w:ind w:left="0" w:right="0"/>
              <w:rPr>
                <w:b w:val="0"/>
                <w:sz w:val="20"/>
              </w:rPr>
            </w:pPr>
          </w:p>
        </w:tc>
        <w:tc>
          <w:tcPr>
            <w:tcW w:w="1406" w:type="dxa"/>
            <w:vAlign w:val="center"/>
          </w:tcPr>
          <w:p w:rsidR="001A150A" w:rsidRDefault="001A150A">
            <w:pPr>
              <w:pStyle w:val="T2"/>
              <w:spacing w:after="0"/>
              <w:ind w:left="0" w:right="0"/>
              <w:rPr>
                <w:b w:val="0"/>
                <w:sz w:val="20"/>
              </w:rPr>
            </w:pPr>
          </w:p>
        </w:tc>
        <w:tc>
          <w:tcPr>
            <w:tcW w:w="1530" w:type="dxa"/>
            <w:vAlign w:val="center"/>
          </w:tcPr>
          <w:p w:rsidR="001A150A" w:rsidRDefault="001A150A">
            <w:pPr>
              <w:pStyle w:val="T2"/>
              <w:spacing w:after="0"/>
              <w:ind w:left="0" w:right="0"/>
              <w:rPr>
                <w:b w:val="0"/>
                <w:sz w:val="20"/>
              </w:rPr>
            </w:pPr>
          </w:p>
        </w:tc>
        <w:tc>
          <w:tcPr>
            <w:tcW w:w="2375" w:type="dxa"/>
            <w:vAlign w:val="center"/>
          </w:tcPr>
          <w:p w:rsidR="001A150A" w:rsidRDefault="001A150A">
            <w:pPr>
              <w:pStyle w:val="T2"/>
              <w:spacing w:after="0"/>
              <w:ind w:left="0" w:right="0"/>
              <w:rPr>
                <w:b w:val="0"/>
                <w:sz w:val="16"/>
              </w:rPr>
            </w:pPr>
            <w:r>
              <w:rPr>
                <w:b w:val="0"/>
                <w:sz w:val="16"/>
              </w:rPr>
              <w:t>James.wang@mediatek.com</w:t>
            </w:r>
          </w:p>
        </w:tc>
      </w:tr>
    </w:tbl>
    <w:p w:rsidR="00CA09B2" w:rsidRDefault="003A501F">
      <w:pPr>
        <w:pStyle w:val="T1"/>
        <w:spacing w:after="120"/>
        <w:rPr>
          <w:sz w:val="22"/>
        </w:rPr>
      </w:pPr>
      <w:r w:rsidRPr="003A501F">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736CE" w:rsidRDefault="00C736CE">
                  <w:pPr>
                    <w:pStyle w:val="T1"/>
                    <w:spacing w:after="120"/>
                  </w:pPr>
                  <w:r>
                    <w:t>Abstract</w:t>
                  </w:r>
                </w:p>
                <w:p w:rsidR="006A3706" w:rsidRDefault="00C736CE" w:rsidP="006A3706">
                  <w:pPr>
                    <w:jc w:val="both"/>
                  </w:pPr>
                  <w:r>
                    <w:t>This document provides resolutions for CIDs</w:t>
                  </w:r>
                  <w:r w:rsidR="006A3706">
                    <w:t xml:space="preserve"> in subclause </w:t>
                  </w:r>
                  <w:r w:rsidR="00F73490">
                    <w:rPr>
                      <w:rFonts w:ascii="Arial-BoldMT" w:hAnsi="Arial-BoldMT" w:cs="Arial-BoldMT"/>
                      <w:b/>
                      <w:bCs/>
                      <w:sz w:val="20"/>
                      <w:lang w:val="en-US" w:eastAsia="ko-KR"/>
                    </w:rPr>
                    <w:t>annex D</w:t>
                  </w:r>
                  <w:r>
                    <w:t xml:space="preserve">: </w:t>
                  </w:r>
                </w:p>
                <w:p w:rsidR="006A3706" w:rsidRDefault="00205684" w:rsidP="006A3706">
                  <w:pPr>
                    <w:pStyle w:val="ListParagraph"/>
                    <w:numPr>
                      <w:ilvl w:val="0"/>
                      <w:numId w:val="9"/>
                    </w:numPr>
                    <w:jc w:val="both"/>
                  </w:pPr>
                  <w:r>
                    <w:t>CID</w:t>
                  </w:r>
                  <w:r w:rsidR="00F73490">
                    <w:t>730</w:t>
                  </w:r>
                </w:p>
                <w:p w:rsidR="00D26EF1" w:rsidRDefault="00D26EF1" w:rsidP="00205684">
                  <w:pPr>
                    <w:jc w:val="both"/>
                  </w:pPr>
                </w:p>
                <w:p w:rsidR="006A3706" w:rsidRDefault="006A3706" w:rsidP="00D13B35">
                  <w:pPr>
                    <w:jc w:val="both"/>
                  </w:pPr>
                </w:p>
              </w:txbxContent>
            </v:textbox>
          </v:shape>
        </w:pict>
      </w:r>
    </w:p>
    <w:p w:rsidR="00CA09B2" w:rsidRDefault="00CA09B2" w:rsidP="001D7B22">
      <w:r>
        <w:br w:type="page"/>
      </w:r>
    </w:p>
    <w:p w:rsidR="00AA26E5" w:rsidRDefault="00AA26E5"/>
    <w:p w:rsidR="00AA26E5" w:rsidRDefault="00AA26E5"/>
    <w:tbl>
      <w:tblPr>
        <w:tblStyle w:val="TableGrid"/>
        <w:tblW w:w="9213" w:type="dxa"/>
        <w:tblLayout w:type="fixed"/>
        <w:tblLook w:val="04A0"/>
      </w:tblPr>
      <w:tblGrid>
        <w:gridCol w:w="561"/>
        <w:gridCol w:w="717"/>
        <w:gridCol w:w="628"/>
        <w:gridCol w:w="812"/>
        <w:gridCol w:w="1880"/>
        <w:gridCol w:w="2530"/>
        <w:gridCol w:w="2085"/>
      </w:tblGrid>
      <w:tr w:rsidR="007349B0" w:rsidRPr="002B361D" w:rsidTr="0086211B">
        <w:trPr>
          <w:trHeight w:val="20"/>
        </w:trPr>
        <w:tc>
          <w:tcPr>
            <w:tcW w:w="561" w:type="dxa"/>
            <w:shd w:val="clear" w:color="auto" w:fill="D9D9D9" w:themeFill="background1" w:themeFillShade="D9"/>
            <w:hideMark/>
          </w:tcPr>
          <w:p w:rsidR="007349B0" w:rsidRPr="002B361D" w:rsidRDefault="007349B0" w:rsidP="006538D2">
            <w:pPr>
              <w:rPr>
                <w:rFonts w:ascii="Arial" w:hAnsi="Arial" w:cs="Arial"/>
                <w:b/>
                <w:bCs/>
                <w:sz w:val="20"/>
                <w:lang w:val="en-US" w:eastAsia="ko-KR"/>
              </w:rPr>
            </w:pPr>
            <w:r w:rsidRPr="002B361D">
              <w:rPr>
                <w:rFonts w:ascii="Arial" w:hAnsi="Arial" w:cs="Arial"/>
                <w:b/>
                <w:bCs/>
                <w:sz w:val="20"/>
                <w:lang w:val="en-US" w:eastAsia="ko-KR"/>
              </w:rPr>
              <w:t>CID</w:t>
            </w:r>
          </w:p>
        </w:tc>
        <w:tc>
          <w:tcPr>
            <w:tcW w:w="717" w:type="dxa"/>
            <w:shd w:val="clear" w:color="auto" w:fill="D9D9D9" w:themeFill="background1" w:themeFillShade="D9"/>
            <w:hideMark/>
          </w:tcPr>
          <w:p w:rsidR="007349B0" w:rsidRPr="002B361D" w:rsidRDefault="007349B0" w:rsidP="006538D2">
            <w:pPr>
              <w:rPr>
                <w:rFonts w:ascii="Arial" w:hAnsi="Arial" w:cs="Arial"/>
                <w:b/>
                <w:bCs/>
                <w:sz w:val="20"/>
                <w:lang w:val="en-US" w:eastAsia="ko-KR"/>
              </w:rPr>
            </w:pPr>
            <w:r>
              <w:rPr>
                <w:rFonts w:ascii="Arial" w:hAnsi="Arial" w:cs="Arial"/>
                <w:b/>
                <w:bCs/>
                <w:sz w:val="20"/>
                <w:lang w:val="en-US" w:eastAsia="ko-KR"/>
              </w:rPr>
              <w:t>Page</w:t>
            </w:r>
            <w:r w:rsidRPr="002B361D">
              <w:rPr>
                <w:rFonts w:ascii="Arial" w:hAnsi="Arial" w:cs="Arial"/>
                <w:b/>
                <w:bCs/>
                <w:sz w:val="20"/>
                <w:lang w:val="en-US" w:eastAsia="ko-KR"/>
              </w:rPr>
              <w:t xml:space="preserve"> </w:t>
            </w:r>
          </w:p>
        </w:tc>
        <w:tc>
          <w:tcPr>
            <w:tcW w:w="628" w:type="dxa"/>
            <w:shd w:val="clear" w:color="auto" w:fill="D9D9D9" w:themeFill="background1" w:themeFillShade="D9"/>
            <w:hideMark/>
          </w:tcPr>
          <w:p w:rsidR="007349B0" w:rsidRPr="002B361D" w:rsidRDefault="007349B0" w:rsidP="006538D2">
            <w:pPr>
              <w:rPr>
                <w:rFonts w:ascii="Arial" w:hAnsi="Arial" w:cs="Arial"/>
                <w:b/>
                <w:bCs/>
                <w:sz w:val="20"/>
                <w:lang w:val="en-US" w:eastAsia="ko-KR"/>
              </w:rPr>
            </w:pPr>
            <w:r>
              <w:rPr>
                <w:rFonts w:ascii="Arial" w:hAnsi="Arial" w:cs="Arial"/>
                <w:b/>
                <w:bCs/>
                <w:sz w:val="20"/>
                <w:lang w:val="en-US" w:eastAsia="ko-KR"/>
              </w:rPr>
              <w:t>Line</w:t>
            </w:r>
          </w:p>
        </w:tc>
        <w:tc>
          <w:tcPr>
            <w:tcW w:w="812" w:type="dxa"/>
            <w:shd w:val="clear" w:color="auto" w:fill="D9D9D9" w:themeFill="background1" w:themeFillShade="D9"/>
            <w:hideMark/>
          </w:tcPr>
          <w:p w:rsidR="007349B0" w:rsidRPr="002B361D" w:rsidRDefault="007349B0" w:rsidP="006538D2">
            <w:pPr>
              <w:rPr>
                <w:rFonts w:ascii="Arial" w:hAnsi="Arial" w:cs="Arial"/>
                <w:b/>
                <w:bCs/>
                <w:sz w:val="20"/>
                <w:lang w:val="en-US" w:eastAsia="ko-KR"/>
              </w:rPr>
            </w:pPr>
            <w:r>
              <w:rPr>
                <w:rFonts w:ascii="Arial" w:hAnsi="Arial" w:cs="Arial"/>
                <w:b/>
                <w:bCs/>
                <w:sz w:val="20"/>
                <w:lang w:val="en-US" w:eastAsia="ko-KR"/>
              </w:rPr>
              <w:t>Clause</w:t>
            </w:r>
          </w:p>
        </w:tc>
        <w:tc>
          <w:tcPr>
            <w:tcW w:w="1880" w:type="dxa"/>
            <w:shd w:val="clear" w:color="auto" w:fill="D9D9D9" w:themeFill="background1" w:themeFillShade="D9"/>
            <w:hideMark/>
          </w:tcPr>
          <w:p w:rsidR="007349B0" w:rsidRPr="002B361D" w:rsidRDefault="007349B0" w:rsidP="006538D2">
            <w:pPr>
              <w:rPr>
                <w:rFonts w:ascii="Arial" w:hAnsi="Arial" w:cs="Arial"/>
                <w:b/>
                <w:bCs/>
                <w:sz w:val="20"/>
                <w:lang w:val="en-US" w:eastAsia="ko-KR"/>
              </w:rPr>
            </w:pPr>
            <w:r w:rsidRPr="002B361D">
              <w:rPr>
                <w:rFonts w:ascii="Arial" w:hAnsi="Arial" w:cs="Arial"/>
                <w:b/>
                <w:bCs/>
                <w:sz w:val="20"/>
                <w:lang w:val="en-US" w:eastAsia="ko-KR"/>
              </w:rPr>
              <w:t>Comment</w:t>
            </w:r>
          </w:p>
        </w:tc>
        <w:tc>
          <w:tcPr>
            <w:tcW w:w="2530" w:type="dxa"/>
            <w:shd w:val="clear" w:color="auto" w:fill="D9D9D9" w:themeFill="background1" w:themeFillShade="D9"/>
            <w:hideMark/>
          </w:tcPr>
          <w:p w:rsidR="007349B0" w:rsidRPr="002B361D" w:rsidRDefault="007349B0" w:rsidP="006538D2">
            <w:pPr>
              <w:rPr>
                <w:rFonts w:ascii="Arial" w:hAnsi="Arial" w:cs="Arial"/>
                <w:b/>
                <w:bCs/>
                <w:sz w:val="20"/>
                <w:lang w:val="en-US" w:eastAsia="ko-KR"/>
              </w:rPr>
            </w:pPr>
            <w:r w:rsidRPr="002B361D">
              <w:rPr>
                <w:rFonts w:ascii="Arial" w:hAnsi="Arial" w:cs="Arial"/>
                <w:b/>
                <w:bCs/>
                <w:sz w:val="20"/>
                <w:lang w:val="en-US" w:eastAsia="ko-KR"/>
              </w:rPr>
              <w:t>Proposed Change</w:t>
            </w:r>
          </w:p>
        </w:tc>
        <w:tc>
          <w:tcPr>
            <w:tcW w:w="2085" w:type="dxa"/>
            <w:shd w:val="clear" w:color="auto" w:fill="D9D9D9" w:themeFill="background1" w:themeFillShade="D9"/>
            <w:hideMark/>
          </w:tcPr>
          <w:p w:rsidR="007349B0" w:rsidRPr="002B361D" w:rsidRDefault="007349B0" w:rsidP="006538D2">
            <w:pPr>
              <w:rPr>
                <w:rFonts w:ascii="Arial" w:hAnsi="Arial" w:cs="Arial"/>
                <w:b/>
                <w:bCs/>
                <w:sz w:val="20"/>
                <w:lang w:val="en-US" w:eastAsia="ko-KR"/>
              </w:rPr>
            </w:pPr>
            <w:r w:rsidRPr="002B361D">
              <w:rPr>
                <w:rFonts w:ascii="Arial" w:hAnsi="Arial" w:cs="Arial"/>
                <w:b/>
                <w:bCs/>
                <w:sz w:val="20"/>
                <w:lang w:val="en-US" w:eastAsia="ko-KR"/>
              </w:rPr>
              <w:t>Resolution</w:t>
            </w:r>
          </w:p>
        </w:tc>
      </w:tr>
      <w:tr w:rsidR="007349B0" w:rsidRPr="00F9558B" w:rsidTr="0086211B">
        <w:trPr>
          <w:trHeight w:val="20"/>
        </w:trPr>
        <w:tc>
          <w:tcPr>
            <w:tcW w:w="561" w:type="dxa"/>
          </w:tcPr>
          <w:p w:rsidR="007349B0" w:rsidRPr="00ED32D0" w:rsidRDefault="008B2FE8" w:rsidP="00C736CE">
            <w:pPr>
              <w:jc w:val="right"/>
              <w:rPr>
                <w:rFonts w:ascii="Arial" w:hAnsi="Arial" w:cs="Arial"/>
                <w:sz w:val="20"/>
                <w:lang w:val="en-US" w:eastAsia="ko-KR"/>
              </w:rPr>
            </w:pPr>
            <w:r>
              <w:rPr>
                <w:rFonts w:ascii="Arial" w:hAnsi="Arial" w:cs="Arial"/>
                <w:sz w:val="20"/>
                <w:lang w:val="en-US" w:eastAsia="ko-KR"/>
              </w:rPr>
              <w:t>730</w:t>
            </w:r>
          </w:p>
        </w:tc>
        <w:tc>
          <w:tcPr>
            <w:tcW w:w="717" w:type="dxa"/>
          </w:tcPr>
          <w:p w:rsidR="007349B0" w:rsidRPr="00ED32D0" w:rsidRDefault="007349B0" w:rsidP="00C736CE">
            <w:pPr>
              <w:jc w:val="right"/>
              <w:rPr>
                <w:rFonts w:ascii="Arial" w:hAnsi="Arial" w:cs="Arial"/>
                <w:sz w:val="20"/>
                <w:lang w:val="en-US" w:eastAsia="ko-KR"/>
              </w:rPr>
            </w:pPr>
            <w:r>
              <w:rPr>
                <w:rFonts w:ascii="Arial" w:hAnsi="Arial" w:cs="Arial"/>
                <w:sz w:val="20"/>
                <w:lang w:val="en-US" w:eastAsia="ko-KR"/>
              </w:rPr>
              <w:t>76</w:t>
            </w:r>
          </w:p>
        </w:tc>
        <w:tc>
          <w:tcPr>
            <w:tcW w:w="628" w:type="dxa"/>
          </w:tcPr>
          <w:p w:rsidR="007349B0" w:rsidRPr="00ED32D0" w:rsidRDefault="007349B0" w:rsidP="00C736CE">
            <w:pPr>
              <w:rPr>
                <w:rFonts w:ascii="Arial" w:hAnsi="Arial" w:cs="Arial"/>
                <w:sz w:val="20"/>
                <w:lang w:val="en-US" w:eastAsia="ko-KR"/>
              </w:rPr>
            </w:pPr>
            <w:r w:rsidRPr="00E31F91">
              <w:rPr>
                <w:rFonts w:ascii="Arial" w:hAnsi="Arial" w:cs="Arial"/>
                <w:sz w:val="20"/>
                <w:lang w:val="en-US" w:eastAsia="ko-KR"/>
              </w:rPr>
              <w:t>12</w:t>
            </w:r>
          </w:p>
        </w:tc>
        <w:tc>
          <w:tcPr>
            <w:tcW w:w="812" w:type="dxa"/>
          </w:tcPr>
          <w:p w:rsidR="007349B0" w:rsidRPr="00ED32D0" w:rsidRDefault="007349B0" w:rsidP="00C736CE">
            <w:pPr>
              <w:rPr>
                <w:rFonts w:ascii="Arial" w:hAnsi="Arial" w:cs="Arial"/>
                <w:sz w:val="20"/>
                <w:lang w:val="en-US" w:eastAsia="ko-KR"/>
              </w:rPr>
            </w:pPr>
            <w:r w:rsidRPr="00ED32D0">
              <w:rPr>
                <w:rFonts w:ascii="Arial" w:hAnsi="Arial" w:cs="Arial"/>
                <w:sz w:val="20"/>
                <w:lang w:val="en-US" w:eastAsia="ko-KR"/>
              </w:rPr>
              <w:t>8.4.2.</w:t>
            </w:r>
            <w:r>
              <w:rPr>
                <w:rFonts w:ascii="Arial" w:hAnsi="Arial" w:cs="Arial"/>
                <w:sz w:val="20"/>
                <w:lang w:val="en-US" w:eastAsia="ko-KR"/>
              </w:rPr>
              <w:t>1</w:t>
            </w:r>
            <w:r w:rsidRPr="00ED32D0">
              <w:rPr>
                <w:rFonts w:ascii="Arial" w:hAnsi="Arial" w:cs="Arial"/>
                <w:sz w:val="20"/>
                <w:lang w:val="en-US" w:eastAsia="ko-KR"/>
              </w:rPr>
              <w:t>7</w:t>
            </w:r>
            <w:r>
              <w:rPr>
                <w:rFonts w:ascii="Arial" w:hAnsi="Arial" w:cs="Arial"/>
                <w:sz w:val="20"/>
                <w:lang w:val="en-US" w:eastAsia="ko-KR"/>
              </w:rPr>
              <w:t>0a</w:t>
            </w:r>
          </w:p>
        </w:tc>
        <w:tc>
          <w:tcPr>
            <w:tcW w:w="1880" w:type="dxa"/>
          </w:tcPr>
          <w:p w:rsidR="007349B0" w:rsidRPr="00ED32D0" w:rsidRDefault="008B2FE8" w:rsidP="00C736CE">
            <w:pPr>
              <w:rPr>
                <w:rFonts w:ascii="Arial" w:hAnsi="Arial" w:cs="Arial"/>
                <w:sz w:val="20"/>
                <w:lang w:val="en-US" w:eastAsia="ko-KR"/>
              </w:rPr>
            </w:pPr>
            <w:r w:rsidRPr="008B2FE8">
              <w:rPr>
                <w:rFonts w:ascii="Arial" w:hAnsi="Arial" w:cs="Arial"/>
                <w:sz w:val="20"/>
                <w:lang w:val="en-US" w:eastAsia="ko-KR"/>
              </w:rPr>
              <w:t>Regulatory requirements list is a placeholder table with no useful information.</w:t>
            </w:r>
          </w:p>
        </w:tc>
        <w:tc>
          <w:tcPr>
            <w:tcW w:w="2530" w:type="dxa"/>
          </w:tcPr>
          <w:p w:rsidR="007349B0" w:rsidRPr="00ED32D0" w:rsidRDefault="008B2FE8" w:rsidP="00C736CE">
            <w:pPr>
              <w:rPr>
                <w:rFonts w:ascii="Arial" w:hAnsi="Arial" w:cs="Arial"/>
                <w:sz w:val="20"/>
                <w:lang w:val="en-US" w:eastAsia="ko-KR"/>
              </w:rPr>
            </w:pPr>
            <w:r w:rsidRPr="008B2FE8">
              <w:rPr>
                <w:rFonts w:ascii="Arial" w:hAnsi="Arial" w:cs="Arial"/>
                <w:sz w:val="20"/>
                <w:lang w:val="en-US" w:eastAsia="ko-KR"/>
              </w:rPr>
              <w:t>Update Table D-1 to contain required information.</w:t>
            </w:r>
          </w:p>
        </w:tc>
        <w:tc>
          <w:tcPr>
            <w:tcW w:w="2085" w:type="dxa"/>
          </w:tcPr>
          <w:p w:rsidR="00A65D29" w:rsidRPr="00A43309" w:rsidRDefault="008B2FE8" w:rsidP="0075707D">
            <w:pPr>
              <w:rPr>
                <w:rFonts w:ascii="Arial" w:hAnsi="Arial" w:cs="Arial"/>
                <w:sz w:val="20"/>
                <w:lang w:val="en-US" w:eastAsia="ko-KR"/>
              </w:rPr>
            </w:pPr>
            <w:r>
              <w:rPr>
                <w:rFonts w:ascii="Arial" w:hAnsi="Arial" w:cs="Arial"/>
                <w:sz w:val="20"/>
                <w:lang w:val="en-US" w:eastAsia="ko-KR"/>
              </w:rPr>
              <w:t>Accepted</w:t>
            </w:r>
            <w:r w:rsidR="00B60F90">
              <w:rPr>
                <w:rFonts w:ascii="Arial" w:hAnsi="Arial" w:cs="Arial"/>
                <w:sz w:val="20"/>
                <w:lang w:val="en-US" w:eastAsia="ko-KR"/>
              </w:rPr>
              <w:t>.</w:t>
            </w:r>
          </w:p>
        </w:tc>
      </w:tr>
    </w:tbl>
    <w:p w:rsidR="00217A87" w:rsidRDefault="00217A87"/>
    <w:p w:rsidR="0075707D" w:rsidRPr="0075707D" w:rsidRDefault="0075707D">
      <w:pPr>
        <w:rPr>
          <w:b/>
        </w:rPr>
      </w:pPr>
      <w:r w:rsidRPr="0075707D">
        <w:rPr>
          <w:b/>
        </w:rPr>
        <w:t>Discussions:</w:t>
      </w:r>
    </w:p>
    <w:p w:rsidR="0075707D" w:rsidRDefault="0075707D"/>
    <w:p w:rsidR="0075707D" w:rsidRDefault="00531CD8" w:rsidP="0075707D">
      <w:pPr>
        <w:rPr>
          <w:rFonts w:ascii="Arial" w:hAnsi="Arial" w:cs="Arial"/>
          <w:sz w:val="20"/>
          <w:lang w:val="en-US" w:eastAsia="ko-KR"/>
        </w:rPr>
      </w:pPr>
      <w:r>
        <w:t xml:space="preserve">CID </w:t>
      </w:r>
      <w:r w:rsidR="003C586E">
        <w:t>730</w:t>
      </w:r>
      <w:r w:rsidR="0075707D">
        <w:t>-</w:t>
      </w:r>
      <w:r w:rsidR="0075707D" w:rsidRPr="0075707D">
        <w:rPr>
          <w:rFonts w:ascii="Arial" w:hAnsi="Arial" w:cs="Arial"/>
          <w:b/>
          <w:bCs/>
          <w:sz w:val="20"/>
          <w:lang w:val="en-US" w:eastAsia="ko-KR"/>
        </w:rPr>
        <w:t xml:space="preserve"> </w:t>
      </w:r>
      <w:r w:rsidR="0075707D" w:rsidRPr="002B361D">
        <w:rPr>
          <w:rFonts w:ascii="Arial" w:hAnsi="Arial" w:cs="Arial"/>
          <w:b/>
          <w:bCs/>
          <w:sz w:val="20"/>
          <w:lang w:val="en-US" w:eastAsia="ko-KR"/>
        </w:rPr>
        <w:t>Resolution</w:t>
      </w:r>
      <w:r w:rsidR="0075707D">
        <w:rPr>
          <w:rFonts w:ascii="Arial" w:hAnsi="Arial" w:cs="Arial"/>
          <w:sz w:val="20"/>
          <w:lang w:val="en-US" w:eastAsia="ko-KR"/>
        </w:rPr>
        <w:t xml:space="preserve">: </w:t>
      </w:r>
      <w:r w:rsidR="00980FB7">
        <w:rPr>
          <w:rFonts w:ascii="Arial" w:hAnsi="Arial" w:cs="Arial"/>
          <w:sz w:val="20"/>
          <w:lang w:val="en-US" w:eastAsia="ko-KR"/>
        </w:rPr>
        <w:t>Accepted.</w:t>
      </w:r>
    </w:p>
    <w:p w:rsidR="00917D00" w:rsidRDefault="00917D00" w:rsidP="00BD68A8">
      <w:pPr>
        <w:rPr>
          <w:rFonts w:ascii="Arial" w:hAnsi="Arial" w:cs="Arial"/>
          <w:sz w:val="20"/>
          <w:lang w:val="en-US" w:eastAsia="ko-KR"/>
        </w:rPr>
      </w:pPr>
    </w:p>
    <w:p w:rsidR="000953B4" w:rsidRDefault="000953B4" w:rsidP="00BD68A8">
      <w:pPr>
        <w:rPr>
          <w:rFonts w:ascii="Arial-BoldMT" w:hAnsi="Arial-BoldMT" w:cs="Arial-BoldMT"/>
          <w:b/>
          <w:bCs/>
          <w:sz w:val="20"/>
          <w:lang w:val="en-US" w:eastAsia="ko-KR"/>
        </w:rPr>
      </w:pPr>
      <w:r>
        <w:rPr>
          <w:rFonts w:ascii="Arial" w:hAnsi="Arial" w:cs="Arial"/>
          <w:sz w:val="20"/>
          <w:lang w:val="en-US" w:eastAsia="ko-KR"/>
        </w:rPr>
        <w:t xml:space="preserve">Remove </w:t>
      </w:r>
      <w:r>
        <w:rPr>
          <w:rFonts w:ascii="Arial-BoldMT" w:hAnsi="Arial-BoldMT" w:cs="Arial-BoldMT"/>
          <w:b/>
          <w:bCs/>
          <w:sz w:val="20"/>
          <w:lang w:val="en-US" w:eastAsia="ko-KR"/>
        </w:rPr>
        <w:t>Table D-1— Regulatory requirement list</w:t>
      </w:r>
      <w:r w:rsidR="00632E2C">
        <w:rPr>
          <w:rFonts w:ascii="Arial-BoldMT" w:hAnsi="Arial-BoldMT" w:cs="Arial-BoldMT"/>
          <w:b/>
          <w:bCs/>
          <w:sz w:val="20"/>
          <w:lang w:val="en-US" w:eastAsia="ko-KR"/>
        </w:rPr>
        <w:t xml:space="preserve">. </w:t>
      </w:r>
    </w:p>
    <w:p w:rsidR="00632E2C" w:rsidRDefault="00632E2C" w:rsidP="00BD68A8">
      <w:pPr>
        <w:rPr>
          <w:rFonts w:ascii="Arial-BoldMT" w:hAnsi="Arial-BoldMT" w:cs="Arial-BoldMT"/>
          <w:b/>
          <w:bCs/>
          <w:sz w:val="20"/>
          <w:lang w:val="en-US" w:eastAsia="ko-KR"/>
        </w:rPr>
      </w:pPr>
    </w:p>
    <w:p w:rsidR="00632E2C" w:rsidRDefault="00632E2C" w:rsidP="00BD68A8">
      <w:pPr>
        <w:rPr>
          <w:rFonts w:ascii="Arial-BoldMT" w:hAnsi="Arial-BoldMT" w:cs="Arial-BoldMT"/>
          <w:b/>
          <w:bCs/>
          <w:sz w:val="20"/>
          <w:lang w:val="en-US" w:eastAsia="ko-KR"/>
        </w:rPr>
      </w:pPr>
    </w:p>
    <w:p w:rsidR="00632E2C" w:rsidRDefault="00632E2C" w:rsidP="00BD68A8">
      <w:pPr>
        <w:rPr>
          <w:rFonts w:ascii="Arial-BoldMT" w:hAnsi="Arial-BoldMT" w:cs="Arial-BoldMT"/>
          <w:b/>
          <w:bCs/>
          <w:sz w:val="20"/>
          <w:lang w:val="en-US" w:eastAsia="ko-KR"/>
        </w:rPr>
      </w:pPr>
    </w:p>
    <w:p w:rsidR="00632E2C" w:rsidRDefault="00632E2C" w:rsidP="00BD68A8">
      <w:pPr>
        <w:rPr>
          <w:rFonts w:ascii="Arial" w:hAnsi="Arial" w:cs="Arial"/>
          <w:sz w:val="20"/>
          <w:lang w:val="en-US" w:eastAsia="ko-KR"/>
        </w:rPr>
      </w:pPr>
      <w:r>
        <w:rPr>
          <w:rFonts w:ascii="Arial-BoldMT" w:hAnsi="Arial-BoldMT" w:cs="Arial-BoldMT"/>
          <w:b/>
          <w:bCs/>
          <w:sz w:val="20"/>
          <w:lang w:val="en-US" w:eastAsia="ko-KR"/>
        </w:rPr>
        <w:t>Insert the following context</w:t>
      </w:r>
    </w:p>
    <w:p w:rsidR="00745D69" w:rsidRDefault="00745D69"/>
    <w:p w:rsidR="000953B4" w:rsidRDefault="000953B4" w:rsidP="003C472A">
      <w:pPr>
        <w:rPr>
          <w:rFonts w:ascii="Arial" w:hAnsi="Arial" w:cs="Arial"/>
          <w:b/>
          <w:bCs/>
          <w:color w:val="C00000"/>
          <w:sz w:val="28"/>
          <w:szCs w:val="28"/>
          <w:u w:val="single"/>
        </w:rPr>
      </w:pPr>
    </w:p>
    <w:p w:rsidR="000953B4" w:rsidRPr="000953B4" w:rsidRDefault="000953B4" w:rsidP="000953B4">
      <w:pPr>
        <w:autoSpaceDE w:val="0"/>
        <w:autoSpaceDN w:val="0"/>
        <w:adjustRightInd w:val="0"/>
        <w:rPr>
          <w:rFonts w:ascii="Arial" w:hAnsi="Arial" w:cs="Arial"/>
          <w:b/>
          <w:bCs/>
          <w:color w:val="C00000"/>
          <w:sz w:val="28"/>
          <w:szCs w:val="28"/>
          <w:u w:val="single"/>
        </w:rPr>
      </w:pPr>
      <w:r w:rsidRPr="000953B4">
        <w:rPr>
          <w:rFonts w:ascii="TimesNewRomanPSMT" w:hAnsi="TimesNewRomanPSMT" w:cs="TimesNewRomanPSMT"/>
          <w:color w:val="C00000"/>
          <w:sz w:val="20"/>
          <w:u w:val="single"/>
          <w:lang w:val="en-US" w:eastAsia="ko-KR"/>
        </w:rPr>
        <w:t>WLANs implemented in accordance with this standard are subject to equipment certification and operating requirements established by regional and national regulatory administrations. The PHY specification establishes minimum technical requirements for interoperability, based upon established regulations at the time this standard was issued. These regulations are subject to revision, or may be superseded. Requirements that are subject to local geographic regulations are annotated within the PHY specification. Regulatory requirements that do not affect interoperability are not addressed in this standard. Implementers are referred to the regulatory sources in Annex D for further information. Operation in countries within defined regulatory domains may be subject to additional or alternative national regulations.</w:t>
      </w:r>
    </w:p>
    <w:p w:rsidR="003C472A" w:rsidRDefault="003C472A" w:rsidP="003C472A">
      <w:pPr>
        <w:rPr>
          <w:rFonts w:ascii="Arial" w:hAnsi="Arial" w:cs="Arial"/>
          <w:b/>
          <w:bCs/>
          <w:color w:val="C00000"/>
          <w:sz w:val="28"/>
          <w:szCs w:val="28"/>
          <w:u w:val="single"/>
        </w:rPr>
      </w:pPr>
    </w:p>
    <w:p w:rsidR="004721DB" w:rsidRDefault="004721DB" w:rsidP="004721DB">
      <w:pPr>
        <w:rPr>
          <w:rFonts w:ascii="Arial" w:hAnsi="Arial" w:cs="Arial"/>
          <w:b/>
          <w:bCs/>
          <w:color w:val="C00000"/>
          <w:sz w:val="28"/>
          <w:szCs w:val="28"/>
          <w:u w:val="single"/>
        </w:rPr>
      </w:pPr>
      <w:r w:rsidRPr="000953B4">
        <w:rPr>
          <w:rFonts w:ascii="Arial" w:hAnsi="Arial" w:cs="Arial"/>
          <w:b/>
          <w:bCs/>
          <w:color w:val="C00000"/>
          <w:sz w:val="28"/>
          <w:szCs w:val="28"/>
          <w:u w:val="single"/>
        </w:rPr>
        <w:t>Regulatory references</w:t>
      </w:r>
    </w:p>
    <w:p w:rsidR="004721DB" w:rsidRPr="000953B4" w:rsidRDefault="004721DB" w:rsidP="003C472A">
      <w:pPr>
        <w:rPr>
          <w:rFonts w:ascii="Arial" w:hAnsi="Arial" w:cs="Arial"/>
          <w:b/>
          <w:bCs/>
          <w:color w:val="C00000"/>
          <w:sz w:val="28"/>
          <w:szCs w:val="28"/>
          <w:u w:val="single"/>
        </w:rPr>
      </w:pPr>
    </w:p>
    <w:p w:rsidR="003C472A" w:rsidRPr="000953B4" w:rsidRDefault="003C472A" w:rsidP="003C472A">
      <w:pPr>
        <w:rPr>
          <w:rFonts w:ascii="Arial" w:hAnsi="Arial" w:cs="Arial"/>
          <w:b/>
          <w:bCs/>
          <w:color w:val="C00000"/>
          <w:sz w:val="24"/>
          <w:szCs w:val="24"/>
          <w:u w:val="single"/>
        </w:rPr>
      </w:pPr>
      <w:r w:rsidRPr="000953B4">
        <w:rPr>
          <w:rFonts w:ascii="Arial" w:hAnsi="Arial" w:cs="Arial"/>
          <w:b/>
          <w:bCs/>
          <w:color w:val="C00000"/>
          <w:sz w:val="24"/>
          <w:szCs w:val="24"/>
          <w:u w:val="single"/>
        </w:rPr>
        <w:t>D.1 External regulatory references</w:t>
      </w:r>
    </w:p>
    <w:p w:rsidR="003C472A" w:rsidRPr="000953B4" w:rsidRDefault="003C472A" w:rsidP="003C472A">
      <w:pPr>
        <w:autoSpaceDE w:val="0"/>
        <w:autoSpaceDN w:val="0"/>
        <w:adjustRightInd w:val="0"/>
        <w:jc w:val="both"/>
        <w:rPr>
          <w:rFonts w:ascii="TimesNewRoman" w:hAnsi="TimesNewRoman" w:cs="TimesNewRoman"/>
          <w:color w:val="C00000"/>
          <w:sz w:val="20"/>
          <w:u w:val="single"/>
        </w:rPr>
      </w:pPr>
      <w:r w:rsidRPr="000953B4">
        <w:rPr>
          <w:rFonts w:ascii="TimesNewRoman" w:hAnsi="TimesNewRoman" w:cs="TimesNewRoman"/>
          <w:color w:val="C00000"/>
          <w:sz w:val="20"/>
          <w:u w:val="single"/>
        </w:rPr>
        <w:t>The documents listed in Table D-1 (Regulatory requirement list) specify current regulatory requirements for various frequency bands and geographic areas at the time this standard was developed. They are provided for information only and are subject to change or revision at any time.</w:t>
      </w:r>
    </w:p>
    <w:p w:rsidR="003C472A" w:rsidRPr="000953B4" w:rsidRDefault="003C472A" w:rsidP="003C472A">
      <w:pPr>
        <w:autoSpaceDE w:val="0"/>
        <w:autoSpaceDN w:val="0"/>
        <w:adjustRightInd w:val="0"/>
        <w:jc w:val="both"/>
        <w:rPr>
          <w:rFonts w:ascii="TimesNewRoman" w:hAnsi="TimesNewRoman" w:cs="TimesNewRoman"/>
          <w:color w:val="C00000"/>
          <w:sz w:val="20"/>
          <w:u w:val="single"/>
        </w:rPr>
      </w:pPr>
    </w:p>
    <w:p w:rsidR="003C472A" w:rsidRPr="000953B4" w:rsidRDefault="003C472A" w:rsidP="003C472A">
      <w:pPr>
        <w:autoSpaceDE w:val="0"/>
        <w:autoSpaceDN w:val="0"/>
        <w:adjustRightInd w:val="0"/>
        <w:jc w:val="center"/>
        <w:rPr>
          <w:rFonts w:ascii="Arial" w:hAnsi="Arial" w:cs="Arial"/>
          <w:b/>
          <w:bCs/>
          <w:color w:val="C00000"/>
          <w:sz w:val="20"/>
          <w:u w:val="single"/>
        </w:rPr>
      </w:pPr>
      <w:r w:rsidRPr="000953B4">
        <w:rPr>
          <w:rFonts w:ascii="Arial" w:hAnsi="Arial" w:cs="Arial"/>
          <w:b/>
          <w:bCs/>
          <w:color w:val="C00000"/>
          <w:sz w:val="20"/>
          <w:u w:val="single"/>
        </w:rPr>
        <w:t>Table D-1—Regulatory requirement list</w:t>
      </w:r>
    </w:p>
    <w:p w:rsidR="003C472A" w:rsidRPr="000953B4" w:rsidRDefault="003C472A" w:rsidP="003C472A">
      <w:pPr>
        <w:autoSpaceDE w:val="0"/>
        <w:autoSpaceDN w:val="0"/>
        <w:adjustRightInd w:val="0"/>
        <w:jc w:val="center"/>
        <w:rPr>
          <w:rFonts w:ascii="Arial" w:hAnsi="Arial" w:cs="Arial"/>
          <w:b/>
          <w:bCs/>
          <w:color w:val="C00000"/>
          <w:sz w:val="20"/>
          <w:u w:val="singl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214"/>
        <w:gridCol w:w="2214"/>
        <w:gridCol w:w="2700"/>
        <w:gridCol w:w="1728"/>
      </w:tblGrid>
      <w:tr w:rsidR="003C472A" w:rsidRPr="000953B4" w:rsidTr="00584B0E">
        <w:tc>
          <w:tcPr>
            <w:tcW w:w="2214" w:type="dxa"/>
          </w:tcPr>
          <w:p w:rsidR="003C472A" w:rsidRPr="000953B4" w:rsidRDefault="003C472A" w:rsidP="00584B0E">
            <w:pPr>
              <w:autoSpaceDE w:val="0"/>
              <w:autoSpaceDN w:val="0"/>
              <w:adjustRightInd w:val="0"/>
              <w:jc w:val="center"/>
              <w:rPr>
                <w:b/>
                <w:color w:val="C00000"/>
                <w:u w:val="single"/>
              </w:rPr>
            </w:pPr>
            <w:r w:rsidRPr="000953B4">
              <w:rPr>
                <w:b/>
                <w:color w:val="C00000"/>
                <w:u w:val="single"/>
              </w:rPr>
              <w:t xml:space="preserve">Geographic </w:t>
            </w:r>
          </w:p>
          <w:p w:rsidR="003C472A" w:rsidRPr="000953B4" w:rsidRDefault="003C472A" w:rsidP="00584B0E">
            <w:pPr>
              <w:autoSpaceDE w:val="0"/>
              <w:autoSpaceDN w:val="0"/>
              <w:adjustRightInd w:val="0"/>
              <w:jc w:val="center"/>
              <w:rPr>
                <w:b/>
                <w:color w:val="C00000"/>
                <w:u w:val="single"/>
              </w:rPr>
            </w:pPr>
            <w:r w:rsidRPr="000953B4">
              <w:rPr>
                <w:b/>
                <w:color w:val="C00000"/>
                <w:u w:val="single"/>
              </w:rPr>
              <w:t>area</w:t>
            </w:r>
          </w:p>
        </w:tc>
        <w:tc>
          <w:tcPr>
            <w:tcW w:w="2214" w:type="dxa"/>
          </w:tcPr>
          <w:p w:rsidR="003C472A" w:rsidRPr="000953B4" w:rsidRDefault="003C472A" w:rsidP="00584B0E">
            <w:pPr>
              <w:autoSpaceDE w:val="0"/>
              <w:autoSpaceDN w:val="0"/>
              <w:adjustRightInd w:val="0"/>
              <w:jc w:val="center"/>
              <w:rPr>
                <w:color w:val="C00000"/>
                <w:u w:val="single"/>
              </w:rPr>
            </w:pPr>
            <w:r w:rsidRPr="000953B4">
              <w:rPr>
                <w:b/>
                <w:bCs/>
                <w:color w:val="C00000"/>
                <w:u w:val="single"/>
              </w:rPr>
              <w:t>Approval standards</w:t>
            </w:r>
          </w:p>
        </w:tc>
        <w:tc>
          <w:tcPr>
            <w:tcW w:w="2700" w:type="dxa"/>
          </w:tcPr>
          <w:p w:rsidR="003C472A" w:rsidRPr="000953B4" w:rsidRDefault="003C472A" w:rsidP="00584B0E">
            <w:pPr>
              <w:autoSpaceDE w:val="0"/>
              <w:autoSpaceDN w:val="0"/>
              <w:adjustRightInd w:val="0"/>
              <w:jc w:val="center"/>
              <w:rPr>
                <w:color w:val="C00000"/>
                <w:u w:val="single"/>
              </w:rPr>
            </w:pPr>
            <w:r w:rsidRPr="000953B4">
              <w:rPr>
                <w:b/>
                <w:bCs/>
                <w:color w:val="C00000"/>
                <w:u w:val="single"/>
              </w:rPr>
              <w:t>Documents</w:t>
            </w:r>
          </w:p>
        </w:tc>
        <w:tc>
          <w:tcPr>
            <w:tcW w:w="1728" w:type="dxa"/>
          </w:tcPr>
          <w:p w:rsidR="003C472A" w:rsidRPr="000953B4" w:rsidRDefault="003C472A" w:rsidP="00584B0E">
            <w:pPr>
              <w:autoSpaceDE w:val="0"/>
              <w:autoSpaceDN w:val="0"/>
              <w:adjustRightInd w:val="0"/>
              <w:jc w:val="center"/>
              <w:rPr>
                <w:b/>
                <w:bCs/>
                <w:color w:val="C00000"/>
                <w:u w:val="single"/>
              </w:rPr>
            </w:pPr>
            <w:r w:rsidRPr="000953B4">
              <w:rPr>
                <w:b/>
                <w:bCs/>
                <w:color w:val="C00000"/>
                <w:u w:val="single"/>
              </w:rPr>
              <w:t>Approval</w:t>
            </w:r>
          </w:p>
          <w:p w:rsidR="003C472A" w:rsidRPr="000953B4" w:rsidRDefault="003C472A" w:rsidP="00584B0E">
            <w:pPr>
              <w:autoSpaceDE w:val="0"/>
              <w:autoSpaceDN w:val="0"/>
              <w:adjustRightInd w:val="0"/>
              <w:jc w:val="center"/>
              <w:rPr>
                <w:color w:val="C00000"/>
                <w:u w:val="single"/>
              </w:rPr>
            </w:pPr>
            <w:r w:rsidRPr="000953B4">
              <w:rPr>
                <w:b/>
                <w:bCs/>
                <w:color w:val="C00000"/>
                <w:u w:val="single"/>
              </w:rPr>
              <w:t>authority</w:t>
            </w:r>
          </w:p>
        </w:tc>
      </w:tr>
      <w:tr w:rsidR="003C472A" w:rsidRPr="000953B4" w:rsidTr="00584B0E">
        <w:tc>
          <w:tcPr>
            <w:tcW w:w="2214"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China</w:t>
            </w:r>
          </w:p>
        </w:tc>
        <w:tc>
          <w:tcPr>
            <w:tcW w:w="2214" w:type="dxa"/>
          </w:tcPr>
          <w:p w:rsidR="003C472A" w:rsidRPr="000953B4" w:rsidRDefault="003C472A" w:rsidP="00584B0E">
            <w:pPr>
              <w:autoSpaceDE w:val="0"/>
              <w:autoSpaceDN w:val="0"/>
              <w:adjustRightInd w:val="0"/>
              <w:rPr>
                <w:color w:val="C00000"/>
                <w:sz w:val="20"/>
                <w:u w:val="single"/>
              </w:rPr>
            </w:pPr>
            <w:r w:rsidRPr="000953B4">
              <w:rPr>
                <w:color w:val="C00000"/>
                <w:sz w:val="20"/>
                <w:u w:val="single"/>
              </w:rPr>
              <w:t>Ministry of Industry and Information Technology (MIIT)</w:t>
            </w:r>
          </w:p>
        </w:tc>
        <w:tc>
          <w:tcPr>
            <w:tcW w:w="2700"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MIIT Wireless [2005] 423</w:t>
            </w:r>
          </w:p>
        </w:tc>
        <w:tc>
          <w:tcPr>
            <w:tcW w:w="1728"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MIIT</w:t>
            </w:r>
          </w:p>
        </w:tc>
      </w:tr>
      <w:tr w:rsidR="00A04600" w:rsidRPr="000953B4" w:rsidTr="00584B0E">
        <w:tc>
          <w:tcPr>
            <w:tcW w:w="2214" w:type="dxa"/>
          </w:tcPr>
          <w:p w:rsidR="00A04600" w:rsidRPr="000953B4" w:rsidRDefault="00A04600" w:rsidP="00FD266D">
            <w:pPr>
              <w:autoSpaceDE w:val="0"/>
              <w:autoSpaceDN w:val="0"/>
              <w:adjustRightInd w:val="0"/>
              <w:jc w:val="center"/>
              <w:rPr>
                <w:color w:val="C00000"/>
                <w:sz w:val="20"/>
                <w:u w:val="single"/>
              </w:rPr>
            </w:pPr>
            <w:r>
              <w:rPr>
                <w:color w:val="C00000"/>
                <w:sz w:val="20"/>
                <w:u w:val="single"/>
              </w:rPr>
              <w:t>Europe</w:t>
            </w:r>
          </w:p>
        </w:tc>
        <w:tc>
          <w:tcPr>
            <w:tcW w:w="2214" w:type="dxa"/>
          </w:tcPr>
          <w:p w:rsidR="00A04600" w:rsidRPr="000953B4" w:rsidRDefault="00A04600" w:rsidP="00FD266D">
            <w:pPr>
              <w:autoSpaceDE w:val="0"/>
              <w:autoSpaceDN w:val="0"/>
              <w:adjustRightInd w:val="0"/>
              <w:rPr>
                <w:color w:val="C00000"/>
                <w:sz w:val="20"/>
                <w:u w:val="single"/>
              </w:rPr>
            </w:pPr>
            <w:r>
              <w:rPr>
                <w:color w:val="C00000"/>
                <w:sz w:val="20"/>
                <w:u w:val="single"/>
              </w:rPr>
              <w:t>CEPT ECC</w:t>
            </w:r>
          </w:p>
        </w:tc>
        <w:tc>
          <w:tcPr>
            <w:tcW w:w="2700" w:type="dxa"/>
          </w:tcPr>
          <w:p w:rsidR="00A04600" w:rsidRPr="000953B4" w:rsidRDefault="00A04600" w:rsidP="00FD266D">
            <w:pPr>
              <w:autoSpaceDE w:val="0"/>
              <w:autoSpaceDN w:val="0"/>
              <w:adjustRightInd w:val="0"/>
              <w:jc w:val="center"/>
              <w:rPr>
                <w:color w:val="C00000"/>
                <w:sz w:val="20"/>
                <w:u w:val="single"/>
              </w:rPr>
            </w:pPr>
            <w:r w:rsidRPr="00A04600">
              <w:rPr>
                <w:color w:val="C00000"/>
                <w:sz w:val="20"/>
                <w:u w:val="single"/>
              </w:rPr>
              <w:t>ERC Recommendation 70-03</w:t>
            </w:r>
          </w:p>
        </w:tc>
        <w:tc>
          <w:tcPr>
            <w:tcW w:w="1728" w:type="dxa"/>
          </w:tcPr>
          <w:p w:rsidR="00A04600" w:rsidRPr="000953B4" w:rsidRDefault="00A04600" w:rsidP="00FD266D">
            <w:pPr>
              <w:autoSpaceDE w:val="0"/>
              <w:autoSpaceDN w:val="0"/>
              <w:adjustRightInd w:val="0"/>
              <w:jc w:val="center"/>
              <w:rPr>
                <w:color w:val="C00000"/>
                <w:sz w:val="20"/>
                <w:u w:val="single"/>
              </w:rPr>
            </w:pPr>
            <w:r>
              <w:rPr>
                <w:color w:val="C00000"/>
                <w:sz w:val="20"/>
                <w:u w:val="single"/>
              </w:rPr>
              <w:t>CEPT</w:t>
            </w:r>
          </w:p>
        </w:tc>
      </w:tr>
      <w:tr w:rsidR="003C472A" w:rsidRPr="000953B4" w:rsidTr="00584B0E">
        <w:tc>
          <w:tcPr>
            <w:tcW w:w="2214"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Japan</w:t>
            </w:r>
          </w:p>
        </w:tc>
        <w:tc>
          <w:tcPr>
            <w:tcW w:w="2214" w:type="dxa"/>
          </w:tcPr>
          <w:p w:rsidR="003C472A" w:rsidRPr="000953B4" w:rsidRDefault="003C472A" w:rsidP="00584B0E">
            <w:pPr>
              <w:autoSpaceDE w:val="0"/>
              <w:autoSpaceDN w:val="0"/>
              <w:adjustRightInd w:val="0"/>
              <w:rPr>
                <w:color w:val="C00000"/>
                <w:sz w:val="20"/>
                <w:u w:val="single"/>
              </w:rPr>
            </w:pPr>
            <w:r w:rsidRPr="000953B4">
              <w:rPr>
                <w:color w:val="C00000"/>
                <w:sz w:val="20"/>
                <w:u w:val="single"/>
              </w:rPr>
              <w:t>Ministry of Internal Affairs and Communications (MIC)</w:t>
            </w:r>
          </w:p>
        </w:tc>
        <w:tc>
          <w:tcPr>
            <w:tcW w:w="2700"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MIC Equipment Ordinance (EO) for Regulating Radio Equipment Articles 49.14, 54.5</w:t>
            </w:r>
          </w:p>
        </w:tc>
        <w:tc>
          <w:tcPr>
            <w:tcW w:w="1728"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MIC</w:t>
            </w:r>
          </w:p>
        </w:tc>
      </w:tr>
      <w:tr w:rsidR="003C472A" w:rsidRPr="000953B4" w:rsidTr="00584B0E">
        <w:tc>
          <w:tcPr>
            <w:tcW w:w="2214"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Singapore</w:t>
            </w:r>
          </w:p>
        </w:tc>
        <w:tc>
          <w:tcPr>
            <w:tcW w:w="2214"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Infocomm Development Authority of Singapore</w:t>
            </w:r>
          </w:p>
        </w:tc>
        <w:tc>
          <w:tcPr>
            <w:tcW w:w="2700"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IDA TS SRD 2011</w:t>
            </w:r>
          </w:p>
          <w:p w:rsidR="003C472A" w:rsidRPr="000953B4" w:rsidRDefault="003A501F" w:rsidP="00584B0E">
            <w:pPr>
              <w:autoSpaceDE w:val="0"/>
              <w:autoSpaceDN w:val="0"/>
              <w:adjustRightInd w:val="0"/>
              <w:jc w:val="center"/>
              <w:rPr>
                <w:color w:val="C00000"/>
                <w:sz w:val="20"/>
                <w:u w:val="single"/>
              </w:rPr>
            </w:pPr>
            <w:hyperlink r:id="rId8" w:history="1">
              <w:r w:rsidR="003C472A" w:rsidRPr="000953B4">
                <w:rPr>
                  <w:rStyle w:val="Hyperlink"/>
                  <w:color w:val="C00000"/>
                  <w:sz w:val="20"/>
                </w:rPr>
                <w:t>Technical Specification for Short Range Devices</w:t>
              </w:r>
            </w:hyperlink>
          </w:p>
        </w:tc>
        <w:tc>
          <w:tcPr>
            <w:tcW w:w="1728"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IDA</w:t>
            </w:r>
          </w:p>
        </w:tc>
      </w:tr>
      <w:tr w:rsidR="003C472A" w:rsidRPr="000953B4" w:rsidTr="00584B0E">
        <w:tc>
          <w:tcPr>
            <w:tcW w:w="2214"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South Korea</w:t>
            </w:r>
          </w:p>
        </w:tc>
        <w:tc>
          <w:tcPr>
            <w:tcW w:w="2214"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 xml:space="preserve">Ministry of Science, ICT and Future Planning / Radio Research </w:t>
            </w:r>
            <w:r w:rsidRPr="000953B4">
              <w:rPr>
                <w:color w:val="C00000"/>
                <w:sz w:val="20"/>
                <w:u w:val="single"/>
              </w:rPr>
              <w:lastRenderedPageBreak/>
              <w:t>Agency (MSIP RRA ) Public Regulations Announcement</w:t>
            </w:r>
          </w:p>
        </w:tc>
        <w:tc>
          <w:tcPr>
            <w:tcW w:w="2700" w:type="dxa"/>
          </w:tcPr>
          <w:p w:rsidR="003C472A" w:rsidRPr="000953B4" w:rsidRDefault="003C472A" w:rsidP="00584B0E">
            <w:pPr>
              <w:autoSpaceDE w:val="0"/>
              <w:autoSpaceDN w:val="0"/>
              <w:jc w:val="center"/>
              <w:rPr>
                <w:bCs/>
                <w:color w:val="C00000"/>
                <w:sz w:val="20"/>
                <w:u w:val="single"/>
              </w:rPr>
            </w:pPr>
            <w:r w:rsidRPr="000953B4">
              <w:rPr>
                <w:bCs/>
                <w:color w:val="C00000"/>
                <w:sz w:val="20"/>
                <w:u w:val="single"/>
              </w:rPr>
              <w:lastRenderedPageBreak/>
              <w:t>Doc. No. 2012-101 “Wireless Facilities”</w:t>
            </w:r>
          </w:p>
        </w:tc>
        <w:tc>
          <w:tcPr>
            <w:tcW w:w="1728"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 xml:space="preserve">MSIP RRA </w:t>
            </w:r>
          </w:p>
        </w:tc>
      </w:tr>
      <w:tr w:rsidR="003C472A" w:rsidRPr="000953B4" w:rsidTr="00584B0E">
        <w:tc>
          <w:tcPr>
            <w:tcW w:w="2214"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lastRenderedPageBreak/>
              <w:t>United States</w:t>
            </w:r>
          </w:p>
        </w:tc>
        <w:tc>
          <w:tcPr>
            <w:tcW w:w="2214" w:type="dxa"/>
          </w:tcPr>
          <w:p w:rsidR="003C472A" w:rsidRPr="000953B4" w:rsidRDefault="003C472A" w:rsidP="00584B0E">
            <w:pPr>
              <w:autoSpaceDE w:val="0"/>
              <w:autoSpaceDN w:val="0"/>
              <w:adjustRightInd w:val="0"/>
              <w:rPr>
                <w:color w:val="C00000"/>
                <w:sz w:val="20"/>
                <w:u w:val="single"/>
              </w:rPr>
            </w:pPr>
            <w:r w:rsidRPr="000953B4">
              <w:rPr>
                <w:color w:val="C00000"/>
                <w:sz w:val="20"/>
                <w:u w:val="single"/>
              </w:rPr>
              <w:t>Federal Communications Commission (FCC)</w:t>
            </w:r>
          </w:p>
        </w:tc>
        <w:tc>
          <w:tcPr>
            <w:tcW w:w="2700"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 xml:space="preserve">FCC Part 15.205, 15.209, 15.247  </w:t>
            </w:r>
          </w:p>
          <w:p w:rsidR="003C472A" w:rsidRPr="000953B4" w:rsidRDefault="003C472A" w:rsidP="00584B0E">
            <w:pPr>
              <w:autoSpaceDE w:val="0"/>
              <w:autoSpaceDN w:val="0"/>
              <w:adjustRightInd w:val="0"/>
              <w:jc w:val="center"/>
              <w:rPr>
                <w:color w:val="C00000"/>
                <w:sz w:val="20"/>
                <w:u w:val="single"/>
              </w:rPr>
            </w:pPr>
          </w:p>
        </w:tc>
        <w:tc>
          <w:tcPr>
            <w:tcW w:w="1728"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FCC</w:t>
            </w:r>
          </w:p>
        </w:tc>
      </w:tr>
    </w:tbl>
    <w:p w:rsidR="003C472A" w:rsidRPr="000953B4" w:rsidRDefault="003C472A" w:rsidP="003C472A">
      <w:pPr>
        <w:autoSpaceDE w:val="0"/>
        <w:autoSpaceDN w:val="0"/>
        <w:adjustRightInd w:val="0"/>
        <w:jc w:val="center"/>
        <w:rPr>
          <w:color w:val="C00000"/>
          <w:u w:val="single"/>
        </w:rPr>
      </w:pPr>
    </w:p>
    <w:p w:rsidR="003C472A" w:rsidRPr="000953B4" w:rsidRDefault="003C472A" w:rsidP="003C472A">
      <w:pPr>
        <w:autoSpaceDE w:val="0"/>
        <w:autoSpaceDN w:val="0"/>
        <w:adjustRightInd w:val="0"/>
        <w:rPr>
          <w:rFonts w:ascii="Arial" w:hAnsi="Arial" w:cs="Arial"/>
          <w:b/>
          <w:bCs/>
          <w:color w:val="C00000"/>
          <w:sz w:val="24"/>
          <w:szCs w:val="24"/>
          <w:u w:val="single"/>
        </w:rPr>
      </w:pPr>
    </w:p>
    <w:p w:rsidR="003C472A" w:rsidRPr="000953B4" w:rsidRDefault="003C472A" w:rsidP="003C472A">
      <w:pPr>
        <w:autoSpaceDE w:val="0"/>
        <w:autoSpaceDN w:val="0"/>
        <w:adjustRightInd w:val="0"/>
        <w:rPr>
          <w:rFonts w:ascii="Arial" w:hAnsi="Arial" w:cs="Arial"/>
          <w:b/>
          <w:bCs/>
          <w:color w:val="C00000"/>
          <w:sz w:val="24"/>
          <w:szCs w:val="24"/>
          <w:u w:val="single"/>
        </w:rPr>
      </w:pPr>
      <w:r w:rsidRPr="000953B4">
        <w:rPr>
          <w:rFonts w:ascii="Arial" w:hAnsi="Arial" w:cs="Arial"/>
          <w:b/>
          <w:bCs/>
          <w:color w:val="C00000"/>
          <w:sz w:val="24"/>
          <w:szCs w:val="24"/>
          <w:u w:val="single"/>
        </w:rPr>
        <w:t>D.2 Radio performance specifications</w:t>
      </w:r>
    </w:p>
    <w:p w:rsidR="003C472A" w:rsidRPr="000953B4" w:rsidRDefault="003C472A" w:rsidP="003C472A">
      <w:pPr>
        <w:autoSpaceDE w:val="0"/>
        <w:autoSpaceDN w:val="0"/>
        <w:adjustRightInd w:val="0"/>
        <w:rPr>
          <w:rFonts w:ascii="Arial" w:hAnsi="Arial" w:cs="Arial"/>
          <w:b/>
          <w:bCs/>
          <w:color w:val="C00000"/>
          <w:sz w:val="24"/>
          <w:szCs w:val="24"/>
          <w:u w:val="single"/>
        </w:rPr>
      </w:pPr>
    </w:p>
    <w:p w:rsidR="003C472A" w:rsidRPr="000953B4" w:rsidRDefault="003C472A" w:rsidP="003C472A">
      <w:pPr>
        <w:autoSpaceDE w:val="0"/>
        <w:autoSpaceDN w:val="0"/>
        <w:adjustRightInd w:val="0"/>
        <w:rPr>
          <w:rFonts w:ascii="Arial" w:hAnsi="Arial" w:cs="Arial"/>
          <w:b/>
          <w:bCs/>
          <w:color w:val="C00000"/>
          <w:u w:val="single"/>
        </w:rPr>
      </w:pPr>
      <w:r w:rsidRPr="000953B4">
        <w:rPr>
          <w:rFonts w:ascii="Arial" w:hAnsi="Arial" w:cs="Arial"/>
          <w:b/>
          <w:bCs/>
          <w:color w:val="C00000"/>
          <w:u w:val="single"/>
        </w:rPr>
        <w:t>D.2.1 Transmit and receive in-band and out-of-band spurious emissions</w:t>
      </w:r>
    </w:p>
    <w:p w:rsidR="003C472A" w:rsidRPr="000953B4" w:rsidRDefault="003C472A" w:rsidP="003C472A">
      <w:pPr>
        <w:autoSpaceDE w:val="0"/>
        <w:autoSpaceDN w:val="0"/>
        <w:adjustRightInd w:val="0"/>
        <w:rPr>
          <w:rFonts w:ascii="TimesNewRoman" w:hAnsi="TimesNewRoman" w:cs="TimesNewRoman"/>
          <w:color w:val="C00000"/>
          <w:sz w:val="20"/>
          <w:u w:val="single"/>
        </w:rPr>
      </w:pPr>
      <w:r w:rsidRPr="000953B4">
        <w:rPr>
          <w:rFonts w:ascii="TimesNewRoman" w:hAnsi="TimesNewRoman" w:cs="TimesNewRoman"/>
          <w:color w:val="C00000"/>
          <w:sz w:val="20"/>
          <w:u w:val="single"/>
        </w:rPr>
        <w:t>Spurious transmissions from compliant devices shall conform to national regulations.</w:t>
      </w:r>
    </w:p>
    <w:p w:rsidR="003C472A" w:rsidRPr="000953B4" w:rsidRDefault="003C472A" w:rsidP="003C472A">
      <w:pPr>
        <w:autoSpaceDE w:val="0"/>
        <w:autoSpaceDN w:val="0"/>
        <w:adjustRightInd w:val="0"/>
        <w:rPr>
          <w:rFonts w:ascii="Arial" w:hAnsi="Arial" w:cs="Arial"/>
          <w:b/>
          <w:bCs/>
          <w:color w:val="C00000"/>
          <w:u w:val="single"/>
        </w:rPr>
      </w:pPr>
    </w:p>
    <w:p w:rsidR="003C472A" w:rsidRPr="000953B4" w:rsidRDefault="003C472A" w:rsidP="004721DB">
      <w:pPr>
        <w:tabs>
          <w:tab w:val="center" w:pos="4680"/>
        </w:tabs>
        <w:autoSpaceDE w:val="0"/>
        <w:autoSpaceDN w:val="0"/>
        <w:adjustRightInd w:val="0"/>
        <w:rPr>
          <w:rFonts w:ascii="Arial" w:hAnsi="Arial" w:cs="Arial"/>
          <w:b/>
          <w:bCs/>
          <w:color w:val="C00000"/>
          <w:u w:val="single"/>
        </w:rPr>
      </w:pPr>
      <w:r w:rsidRPr="000953B4">
        <w:rPr>
          <w:rFonts w:ascii="Arial" w:hAnsi="Arial" w:cs="Arial"/>
          <w:b/>
          <w:bCs/>
          <w:color w:val="C00000"/>
          <w:u w:val="single"/>
        </w:rPr>
        <w:t>D.2.2 Transmit power levels</w:t>
      </w:r>
    </w:p>
    <w:p w:rsidR="003C472A" w:rsidRPr="000953B4" w:rsidRDefault="003C472A" w:rsidP="003C472A">
      <w:pPr>
        <w:autoSpaceDE w:val="0"/>
        <w:autoSpaceDN w:val="0"/>
        <w:adjustRightInd w:val="0"/>
        <w:rPr>
          <w:rFonts w:ascii="TimesNewRoman" w:hAnsi="TimesNewRoman" w:cs="TimesNewRoman"/>
          <w:color w:val="C00000"/>
          <w:sz w:val="20"/>
          <w:u w:val="single"/>
        </w:rPr>
      </w:pPr>
      <w:r w:rsidRPr="000953B4">
        <w:rPr>
          <w:rFonts w:ascii="TimesNewRoman" w:hAnsi="TimesNewRoman" w:cs="TimesNewRoman"/>
          <w:color w:val="C00000"/>
          <w:sz w:val="20"/>
          <w:u w:val="single"/>
        </w:rPr>
        <w:t>The maximum allowable output power is measured in accordance with practices specified by the appropriate regulatory bodies.</w:t>
      </w:r>
    </w:p>
    <w:p w:rsidR="003C472A" w:rsidRPr="000953B4" w:rsidRDefault="003C472A" w:rsidP="003C472A">
      <w:pPr>
        <w:autoSpaceDE w:val="0"/>
        <w:autoSpaceDN w:val="0"/>
        <w:adjustRightInd w:val="0"/>
        <w:rPr>
          <w:rFonts w:ascii="TimesNewRoman" w:hAnsi="TimesNewRoman" w:cs="TimesNewRoman"/>
          <w:color w:val="C00000"/>
          <w:sz w:val="20"/>
          <w:u w:val="single"/>
        </w:rPr>
      </w:pPr>
    </w:p>
    <w:p w:rsidR="003C472A" w:rsidRPr="000953B4" w:rsidRDefault="003C472A" w:rsidP="003C472A">
      <w:pPr>
        <w:autoSpaceDE w:val="0"/>
        <w:autoSpaceDN w:val="0"/>
        <w:adjustRightInd w:val="0"/>
        <w:jc w:val="center"/>
        <w:rPr>
          <w:color w:val="C00000"/>
          <w:u w:val="single"/>
        </w:rPr>
      </w:pPr>
      <w:r w:rsidRPr="000953B4">
        <w:rPr>
          <w:rFonts w:ascii="Arial" w:hAnsi="Arial" w:cs="Arial"/>
          <w:b/>
          <w:bCs/>
          <w:color w:val="C00000"/>
          <w:sz w:val="20"/>
          <w:u w:val="single"/>
        </w:rPr>
        <w:t>Table D-2—Maximum STA transmit power and maximum BW allowed</w:t>
      </w:r>
    </w:p>
    <w:p w:rsidR="003C472A" w:rsidRPr="000953B4" w:rsidRDefault="003C472A" w:rsidP="003C472A">
      <w:pPr>
        <w:autoSpaceDE w:val="0"/>
        <w:autoSpaceDN w:val="0"/>
        <w:adjustRightInd w:val="0"/>
        <w:jc w:val="center"/>
        <w:rPr>
          <w:color w:val="C00000"/>
          <w:u w:val="single"/>
        </w:rPr>
      </w:pPr>
    </w:p>
    <w:tbl>
      <w:tblPr>
        <w:tblStyle w:val="TableGrid"/>
        <w:tblW w:w="0" w:type="auto"/>
        <w:tblLook w:val="04A0"/>
      </w:tblPr>
      <w:tblGrid>
        <w:gridCol w:w="2351"/>
        <w:gridCol w:w="2315"/>
        <w:gridCol w:w="1949"/>
        <w:gridCol w:w="2241"/>
      </w:tblGrid>
      <w:tr w:rsidR="003C472A" w:rsidRPr="000953B4" w:rsidTr="00584B0E">
        <w:tc>
          <w:tcPr>
            <w:tcW w:w="2351" w:type="dxa"/>
            <w:vAlign w:val="center"/>
          </w:tcPr>
          <w:p w:rsidR="003C472A" w:rsidRPr="000953B4" w:rsidRDefault="003C472A" w:rsidP="00584B0E">
            <w:pPr>
              <w:autoSpaceDE w:val="0"/>
              <w:autoSpaceDN w:val="0"/>
              <w:adjustRightInd w:val="0"/>
              <w:jc w:val="center"/>
              <w:rPr>
                <w:b/>
                <w:color w:val="C00000"/>
                <w:sz w:val="20"/>
                <w:u w:val="single"/>
              </w:rPr>
            </w:pPr>
            <w:r w:rsidRPr="000953B4">
              <w:rPr>
                <w:b/>
                <w:color w:val="C00000"/>
                <w:sz w:val="20"/>
                <w:u w:val="single"/>
              </w:rPr>
              <w:t>Geographic</w:t>
            </w:r>
          </w:p>
          <w:p w:rsidR="003C472A" w:rsidRPr="000953B4" w:rsidRDefault="003C472A" w:rsidP="00584B0E">
            <w:pPr>
              <w:autoSpaceDE w:val="0"/>
              <w:autoSpaceDN w:val="0"/>
              <w:adjustRightInd w:val="0"/>
              <w:jc w:val="center"/>
              <w:rPr>
                <w:color w:val="C00000"/>
                <w:sz w:val="20"/>
                <w:u w:val="single"/>
              </w:rPr>
            </w:pPr>
            <w:r w:rsidRPr="000953B4">
              <w:rPr>
                <w:b/>
                <w:color w:val="C00000"/>
                <w:sz w:val="20"/>
                <w:u w:val="single"/>
              </w:rPr>
              <w:t>area</w:t>
            </w:r>
          </w:p>
        </w:tc>
        <w:tc>
          <w:tcPr>
            <w:tcW w:w="2315" w:type="dxa"/>
            <w:vAlign w:val="center"/>
          </w:tcPr>
          <w:p w:rsidR="003C472A" w:rsidRPr="000953B4" w:rsidRDefault="003C472A" w:rsidP="00584B0E">
            <w:pPr>
              <w:autoSpaceDE w:val="0"/>
              <w:autoSpaceDN w:val="0"/>
              <w:adjustRightInd w:val="0"/>
              <w:jc w:val="center"/>
              <w:rPr>
                <w:b/>
                <w:bCs/>
                <w:color w:val="C00000"/>
                <w:sz w:val="20"/>
                <w:u w:val="single"/>
              </w:rPr>
            </w:pPr>
            <w:r w:rsidRPr="000953B4">
              <w:rPr>
                <w:b/>
                <w:bCs/>
                <w:color w:val="C00000"/>
                <w:sz w:val="20"/>
                <w:u w:val="single"/>
              </w:rPr>
              <w:t>Frequency</w:t>
            </w:r>
          </w:p>
          <w:p w:rsidR="003C472A" w:rsidRPr="000953B4" w:rsidRDefault="003C472A" w:rsidP="00584B0E">
            <w:pPr>
              <w:autoSpaceDE w:val="0"/>
              <w:autoSpaceDN w:val="0"/>
              <w:adjustRightInd w:val="0"/>
              <w:jc w:val="center"/>
              <w:rPr>
                <w:color w:val="C00000"/>
                <w:sz w:val="20"/>
                <w:u w:val="single"/>
              </w:rPr>
            </w:pPr>
            <w:r w:rsidRPr="000953B4">
              <w:rPr>
                <w:b/>
                <w:bCs/>
                <w:color w:val="C00000"/>
                <w:sz w:val="20"/>
                <w:u w:val="single"/>
              </w:rPr>
              <w:t>(MHz)</w:t>
            </w:r>
          </w:p>
        </w:tc>
        <w:tc>
          <w:tcPr>
            <w:tcW w:w="1949" w:type="dxa"/>
          </w:tcPr>
          <w:p w:rsidR="003C472A" w:rsidRPr="000953B4" w:rsidRDefault="003C472A" w:rsidP="00584B0E">
            <w:pPr>
              <w:autoSpaceDE w:val="0"/>
              <w:autoSpaceDN w:val="0"/>
              <w:adjustRightInd w:val="0"/>
              <w:jc w:val="center"/>
              <w:rPr>
                <w:b/>
                <w:bCs/>
                <w:color w:val="C00000"/>
                <w:sz w:val="20"/>
                <w:u w:val="single"/>
              </w:rPr>
            </w:pPr>
            <w:r w:rsidRPr="000953B4">
              <w:rPr>
                <w:b/>
                <w:bCs/>
                <w:color w:val="C00000"/>
                <w:sz w:val="20"/>
                <w:u w:val="single"/>
              </w:rPr>
              <w:t>MAX BW Allowed</w:t>
            </w:r>
          </w:p>
          <w:p w:rsidR="003C472A" w:rsidRPr="000953B4" w:rsidRDefault="003C472A" w:rsidP="00584B0E">
            <w:pPr>
              <w:autoSpaceDE w:val="0"/>
              <w:autoSpaceDN w:val="0"/>
              <w:adjustRightInd w:val="0"/>
              <w:jc w:val="center"/>
              <w:rPr>
                <w:b/>
                <w:bCs/>
                <w:color w:val="C00000"/>
                <w:sz w:val="20"/>
                <w:u w:val="single"/>
              </w:rPr>
            </w:pPr>
            <w:r w:rsidRPr="000953B4">
              <w:rPr>
                <w:b/>
                <w:bCs/>
                <w:color w:val="C00000"/>
                <w:sz w:val="20"/>
                <w:u w:val="single"/>
              </w:rPr>
              <w:t>(MHz)</w:t>
            </w:r>
          </w:p>
        </w:tc>
        <w:tc>
          <w:tcPr>
            <w:tcW w:w="2241" w:type="dxa"/>
            <w:vAlign w:val="center"/>
          </w:tcPr>
          <w:p w:rsidR="003C472A" w:rsidRPr="000953B4" w:rsidRDefault="003C472A" w:rsidP="00584B0E">
            <w:pPr>
              <w:autoSpaceDE w:val="0"/>
              <w:autoSpaceDN w:val="0"/>
              <w:adjustRightInd w:val="0"/>
              <w:jc w:val="center"/>
              <w:rPr>
                <w:color w:val="C00000"/>
                <w:sz w:val="20"/>
                <w:u w:val="single"/>
              </w:rPr>
            </w:pPr>
            <w:r w:rsidRPr="000953B4">
              <w:rPr>
                <w:b/>
                <w:bCs/>
                <w:color w:val="C00000"/>
                <w:sz w:val="20"/>
                <w:u w:val="single"/>
              </w:rPr>
              <w:t>Maximum STA transmit power e.r.p (mW)</w:t>
            </w:r>
          </w:p>
        </w:tc>
      </w:tr>
      <w:tr w:rsidR="003C472A" w:rsidRPr="000953B4" w:rsidTr="00584B0E">
        <w:tc>
          <w:tcPr>
            <w:tcW w:w="2351" w:type="dxa"/>
            <w:vMerge w:val="restart"/>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China</w:t>
            </w:r>
          </w:p>
        </w:tc>
        <w:tc>
          <w:tcPr>
            <w:tcW w:w="2315"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614-787</w:t>
            </w:r>
          </w:p>
        </w:tc>
        <w:tc>
          <w:tcPr>
            <w:tcW w:w="1949"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1</w:t>
            </w:r>
          </w:p>
        </w:tc>
        <w:tc>
          <w:tcPr>
            <w:tcW w:w="2241"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5</w:t>
            </w:r>
          </w:p>
        </w:tc>
      </w:tr>
      <w:tr w:rsidR="003C472A" w:rsidRPr="000953B4" w:rsidTr="00584B0E">
        <w:tc>
          <w:tcPr>
            <w:tcW w:w="2351" w:type="dxa"/>
            <w:vMerge/>
            <w:vAlign w:val="center"/>
          </w:tcPr>
          <w:p w:rsidR="003C472A" w:rsidRPr="000953B4" w:rsidRDefault="003C472A" w:rsidP="00584B0E">
            <w:pPr>
              <w:autoSpaceDE w:val="0"/>
              <w:autoSpaceDN w:val="0"/>
              <w:adjustRightInd w:val="0"/>
              <w:jc w:val="center"/>
              <w:rPr>
                <w:color w:val="C00000"/>
                <w:sz w:val="20"/>
                <w:u w:val="single"/>
              </w:rPr>
            </w:pPr>
          </w:p>
        </w:tc>
        <w:tc>
          <w:tcPr>
            <w:tcW w:w="2315"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779-787</w:t>
            </w:r>
          </w:p>
        </w:tc>
        <w:tc>
          <w:tcPr>
            <w:tcW w:w="1949"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Not Defined</w:t>
            </w:r>
          </w:p>
        </w:tc>
        <w:tc>
          <w:tcPr>
            <w:tcW w:w="2241"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10</w:t>
            </w:r>
          </w:p>
        </w:tc>
      </w:tr>
      <w:tr w:rsidR="003C472A" w:rsidRPr="000953B4" w:rsidTr="00584B0E">
        <w:tc>
          <w:tcPr>
            <w:tcW w:w="2351"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Europe</w:t>
            </w:r>
          </w:p>
        </w:tc>
        <w:tc>
          <w:tcPr>
            <w:tcW w:w="2315"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863 -868.6</w:t>
            </w:r>
          </w:p>
        </w:tc>
        <w:tc>
          <w:tcPr>
            <w:tcW w:w="1949"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Not Defined</w:t>
            </w:r>
          </w:p>
        </w:tc>
        <w:tc>
          <w:tcPr>
            <w:tcW w:w="2241"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25.12</w:t>
            </w:r>
          </w:p>
        </w:tc>
      </w:tr>
      <w:tr w:rsidR="003C472A" w:rsidRPr="000953B4" w:rsidTr="00584B0E">
        <w:tc>
          <w:tcPr>
            <w:tcW w:w="2351"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Japan</w:t>
            </w:r>
          </w:p>
        </w:tc>
        <w:tc>
          <w:tcPr>
            <w:tcW w:w="2315"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915.9-929.7</w:t>
            </w:r>
          </w:p>
        </w:tc>
        <w:tc>
          <w:tcPr>
            <w:tcW w:w="1949"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1</w:t>
            </w:r>
          </w:p>
        </w:tc>
        <w:tc>
          <w:tcPr>
            <w:tcW w:w="2241"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1, 20, 250</w:t>
            </w:r>
          </w:p>
        </w:tc>
      </w:tr>
      <w:tr w:rsidR="003C472A" w:rsidRPr="000953B4" w:rsidTr="00584B0E">
        <w:tc>
          <w:tcPr>
            <w:tcW w:w="2351"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Singapore</w:t>
            </w:r>
          </w:p>
        </w:tc>
        <w:tc>
          <w:tcPr>
            <w:tcW w:w="2315"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866 – 869, 920 – 925</w:t>
            </w:r>
          </w:p>
        </w:tc>
        <w:tc>
          <w:tcPr>
            <w:tcW w:w="1949"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Not Defined</w:t>
            </w:r>
          </w:p>
        </w:tc>
        <w:tc>
          <w:tcPr>
            <w:tcW w:w="2241"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500</w:t>
            </w:r>
          </w:p>
        </w:tc>
      </w:tr>
      <w:tr w:rsidR="003C472A" w:rsidRPr="000953B4" w:rsidTr="00584B0E">
        <w:trPr>
          <w:trHeight w:val="98"/>
        </w:trPr>
        <w:tc>
          <w:tcPr>
            <w:tcW w:w="2351"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South Korea</w:t>
            </w:r>
          </w:p>
        </w:tc>
        <w:tc>
          <w:tcPr>
            <w:tcW w:w="2315"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917 – 923.5</w:t>
            </w:r>
          </w:p>
        </w:tc>
        <w:tc>
          <w:tcPr>
            <w:tcW w:w="1949"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Not Defined</w:t>
            </w:r>
          </w:p>
        </w:tc>
        <w:tc>
          <w:tcPr>
            <w:tcW w:w="2241"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3, 10</w:t>
            </w:r>
          </w:p>
        </w:tc>
      </w:tr>
      <w:tr w:rsidR="003C472A" w:rsidRPr="000953B4" w:rsidTr="00584B0E">
        <w:tc>
          <w:tcPr>
            <w:tcW w:w="2351"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United States</w:t>
            </w:r>
          </w:p>
        </w:tc>
        <w:tc>
          <w:tcPr>
            <w:tcW w:w="2315" w:type="dxa"/>
            <w:vAlign w:val="center"/>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902 - 928</w:t>
            </w:r>
          </w:p>
        </w:tc>
        <w:tc>
          <w:tcPr>
            <w:tcW w:w="1949" w:type="dxa"/>
          </w:tcPr>
          <w:p w:rsidR="003C472A" w:rsidRPr="000953B4" w:rsidRDefault="003C472A" w:rsidP="00584B0E">
            <w:pPr>
              <w:autoSpaceDE w:val="0"/>
              <w:autoSpaceDN w:val="0"/>
              <w:adjustRightInd w:val="0"/>
              <w:jc w:val="center"/>
              <w:rPr>
                <w:color w:val="C00000"/>
                <w:sz w:val="20"/>
                <w:u w:val="single"/>
              </w:rPr>
            </w:pPr>
            <w:r w:rsidRPr="000953B4">
              <w:rPr>
                <w:color w:val="C00000"/>
                <w:sz w:val="20"/>
                <w:u w:val="single"/>
              </w:rPr>
              <w:t>Not Defined</w:t>
            </w:r>
          </w:p>
        </w:tc>
        <w:tc>
          <w:tcPr>
            <w:tcW w:w="2241" w:type="dxa"/>
            <w:vAlign w:val="center"/>
          </w:tcPr>
          <w:p w:rsidR="003C472A" w:rsidRPr="000953B4" w:rsidRDefault="003C472A" w:rsidP="00584B0E">
            <w:pPr>
              <w:autoSpaceDE w:val="0"/>
              <w:autoSpaceDN w:val="0"/>
              <w:adjustRightInd w:val="0"/>
              <w:jc w:val="center"/>
              <w:rPr>
                <w:color w:val="C00000"/>
                <w:sz w:val="20"/>
                <w:u w:val="single"/>
                <w:vertAlign w:val="superscript"/>
              </w:rPr>
            </w:pPr>
            <w:r w:rsidRPr="000953B4">
              <w:rPr>
                <w:color w:val="C00000"/>
                <w:sz w:val="20"/>
                <w:u w:val="single"/>
              </w:rPr>
              <w:t>1000</w:t>
            </w:r>
            <w:r w:rsidRPr="000953B4">
              <w:rPr>
                <w:color w:val="C00000"/>
                <w:sz w:val="20"/>
                <w:u w:val="single"/>
                <w:vertAlign w:val="superscript"/>
              </w:rPr>
              <w:t>(1)(2)</w:t>
            </w:r>
          </w:p>
        </w:tc>
      </w:tr>
    </w:tbl>
    <w:p w:rsidR="003C472A" w:rsidRPr="000953B4" w:rsidRDefault="003C472A" w:rsidP="003C472A">
      <w:pPr>
        <w:rPr>
          <w:color w:val="C00000"/>
          <w:u w:val="single"/>
        </w:rPr>
      </w:pPr>
    </w:p>
    <w:p w:rsidR="003C472A" w:rsidRPr="000953B4" w:rsidRDefault="003C472A" w:rsidP="003C472A">
      <w:pPr>
        <w:pStyle w:val="ListParagraph"/>
        <w:numPr>
          <w:ilvl w:val="0"/>
          <w:numId w:val="10"/>
        </w:numPr>
        <w:spacing w:after="200" w:line="276" w:lineRule="auto"/>
        <w:rPr>
          <w:color w:val="C00000"/>
          <w:sz w:val="20"/>
          <w:u w:val="single"/>
        </w:rPr>
      </w:pPr>
      <w:r w:rsidRPr="000953B4">
        <w:rPr>
          <w:color w:val="C00000"/>
          <w:sz w:val="20"/>
          <w:u w:val="single"/>
        </w:rPr>
        <w:t>FCC 15.247 (b)(3) maximum conducted peak power =1 watt. Maximum Conducted Output Power is defined as the total transmit power delivered to all antennas and antenna elements averaged across all symbols in the signaling alphabet when the transmitter is operating at its maximum power control level. Power must be summed across all antennas and antenna elements. The average must not include any time intervals during which the transmitter is off or is transmitting at a reduced power level. If multiple modes of operation are possible (e.g., alternative modulation methods), the maximum conducted output power is the highest total transmit power occurring in any mode.</w:t>
      </w:r>
    </w:p>
    <w:p w:rsidR="003C472A" w:rsidRPr="000953B4" w:rsidRDefault="003C472A" w:rsidP="003C472A">
      <w:pPr>
        <w:pStyle w:val="ListParagraph"/>
        <w:numPr>
          <w:ilvl w:val="0"/>
          <w:numId w:val="10"/>
        </w:numPr>
        <w:spacing w:after="200" w:line="276" w:lineRule="auto"/>
        <w:rPr>
          <w:color w:val="C00000"/>
          <w:sz w:val="20"/>
          <w:u w:val="single"/>
        </w:rPr>
      </w:pPr>
      <w:r w:rsidRPr="000953B4">
        <w:rPr>
          <w:color w:val="C00000"/>
          <w:sz w:val="20"/>
          <w:u w:val="single"/>
        </w:rPr>
        <w:t xml:space="preserve">The conducted output power limit specified in paragraph (b) of this section is based on the use of antennas with directional gains that do not exceed 6 dBi. Except as shown in paragraph (c) of this section, if transmitting antennas of directional gain greater than 6 dBi are used, the conducted output power from the intentional radiator shall be reduced below the stated values in paragraphs (b)(1), (b)(2), and (b)(3) of this section, as appropriate, by the amount in dB that the directional gain of the antenna exceeds 6 dBi. </w:t>
      </w:r>
    </w:p>
    <w:p w:rsidR="00745D69" w:rsidRPr="000953B4" w:rsidRDefault="00745D69">
      <w:pPr>
        <w:rPr>
          <w:color w:val="C00000"/>
          <w:u w:val="single"/>
        </w:rPr>
      </w:pPr>
    </w:p>
    <w:sectPr w:rsidR="00745D69" w:rsidRPr="000953B4" w:rsidSect="0036011D">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2B6" w:rsidRDefault="004072B6">
      <w:r>
        <w:separator/>
      </w:r>
    </w:p>
  </w:endnote>
  <w:endnote w:type="continuationSeparator" w:id="0">
    <w:p w:rsidR="004072B6" w:rsidRDefault="00407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D0" w:rsidRDefault="003C3A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CE" w:rsidRDefault="003A501F">
    <w:pPr>
      <w:pStyle w:val="Footer"/>
      <w:tabs>
        <w:tab w:val="clear" w:pos="6480"/>
        <w:tab w:val="center" w:pos="4680"/>
        <w:tab w:val="right" w:pos="9360"/>
      </w:tabs>
    </w:pPr>
    <w:fldSimple w:instr=" SUBJECT  \* MERGEFORMAT ">
      <w:r w:rsidR="00C736CE">
        <w:t>Submission</w:t>
      </w:r>
    </w:fldSimple>
    <w:r w:rsidR="00C736CE">
      <w:tab/>
      <w:t xml:space="preserve">page </w:t>
    </w:r>
    <w:r>
      <w:fldChar w:fldCharType="begin"/>
    </w:r>
    <w:r w:rsidR="00C736CE">
      <w:instrText xml:space="preserve">page </w:instrText>
    </w:r>
    <w:r>
      <w:fldChar w:fldCharType="separate"/>
    </w:r>
    <w:r w:rsidR="003C3AD0">
      <w:rPr>
        <w:noProof/>
      </w:rPr>
      <w:t>1</w:t>
    </w:r>
    <w:r>
      <w:fldChar w:fldCharType="end"/>
    </w:r>
    <w:r w:rsidR="00C736CE">
      <w:tab/>
    </w:r>
    <w:fldSimple w:instr=" COMMENTS  \* MERGEFORMAT ">
      <w:r w:rsidR="000D4AAB">
        <w:t>Jianhan Liu</w:t>
      </w:r>
      <w:r w:rsidR="002E7041">
        <w:t xml:space="preserve"> and James Wang</w:t>
      </w:r>
      <w:r w:rsidR="00C736CE">
        <w:t xml:space="preserve"> </w:t>
      </w:r>
      <w:r w:rsidR="000D4AAB">
        <w:t>Mediatek Inc.</w:t>
      </w:r>
    </w:fldSimple>
  </w:p>
  <w:p w:rsidR="00C736CE" w:rsidRDefault="00C736C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D0" w:rsidRDefault="003C3A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2B6" w:rsidRDefault="004072B6">
      <w:r>
        <w:separator/>
      </w:r>
    </w:p>
  </w:footnote>
  <w:footnote w:type="continuationSeparator" w:id="0">
    <w:p w:rsidR="004072B6" w:rsidRDefault="00407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D0" w:rsidRDefault="003C3A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CE" w:rsidRDefault="003A501F">
    <w:pPr>
      <w:pStyle w:val="Header"/>
      <w:tabs>
        <w:tab w:val="clear" w:pos="6480"/>
        <w:tab w:val="center" w:pos="4680"/>
        <w:tab w:val="right" w:pos="9360"/>
      </w:tabs>
    </w:pPr>
    <w:fldSimple w:instr=" KEYWORDS  \* MERGEFORMAT ">
      <w:r w:rsidR="00174A7B">
        <w:t>Sep.</w:t>
      </w:r>
      <w:r w:rsidR="00C736CE">
        <w:t xml:space="preserve"> 2013</w:t>
      </w:r>
    </w:fldSimple>
    <w:r w:rsidR="00C736CE">
      <w:tab/>
    </w:r>
    <w:r w:rsidR="00C736CE">
      <w:tab/>
    </w:r>
    <w:fldSimple w:instr=" TITLE  \* MERGEFORMAT ">
      <w:r w:rsidR="00C736CE">
        <w:t>doc.: IEEE 802.11-13/</w:t>
      </w:r>
      <w:r w:rsidR="003C3AD0">
        <w:t>1138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D0" w:rsidRDefault="003C3A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82703C"/>
    <w:lvl w:ilvl="0">
      <w:numFmt w:val="bullet"/>
      <w:lvlText w:val="*"/>
      <w:lvlJc w:val="left"/>
      <w:pPr>
        <w:ind w:left="0" w:firstLine="0"/>
      </w:pPr>
    </w:lvl>
  </w:abstractNum>
  <w:abstractNum w:abstractNumId="1">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87624"/>
    <w:multiLevelType w:val="hybridMultilevel"/>
    <w:tmpl w:val="214E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AF58AA"/>
    <w:multiLevelType w:val="hybridMultilevel"/>
    <w:tmpl w:val="02082978"/>
    <w:lvl w:ilvl="0" w:tplc="D8861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67B04"/>
    <w:multiLevelType w:val="hybridMultilevel"/>
    <w:tmpl w:val="37528DC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9B2A42"/>
    <w:multiLevelType w:val="hybridMultilevel"/>
    <w:tmpl w:val="7FAC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B65139"/>
    <w:multiLevelType w:val="hybridMultilevel"/>
    <w:tmpl w:val="7C46EA8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5"/>
  </w:num>
  <w:num w:numId="7">
    <w:abstractNumId w:val="2"/>
  </w:num>
  <w:num w:numId="8">
    <w:abstractNumId w:val="6"/>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rsids>
    <w:rsidRoot w:val="00F349EF"/>
    <w:rsid w:val="00001052"/>
    <w:rsid w:val="000072EA"/>
    <w:rsid w:val="000328CD"/>
    <w:rsid w:val="000450E6"/>
    <w:rsid w:val="00090C74"/>
    <w:rsid w:val="000953B4"/>
    <w:rsid w:val="000D1689"/>
    <w:rsid w:val="000D33F6"/>
    <w:rsid w:val="000D4AAB"/>
    <w:rsid w:val="0013152A"/>
    <w:rsid w:val="00171080"/>
    <w:rsid w:val="00173B96"/>
    <w:rsid w:val="00174A7B"/>
    <w:rsid w:val="0018603B"/>
    <w:rsid w:val="001979C4"/>
    <w:rsid w:val="001A150A"/>
    <w:rsid w:val="001B2702"/>
    <w:rsid w:val="001D723B"/>
    <w:rsid w:val="001D7B22"/>
    <w:rsid w:val="001F3BDD"/>
    <w:rsid w:val="00205684"/>
    <w:rsid w:val="00217A87"/>
    <w:rsid w:val="002753FC"/>
    <w:rsid w:val="00283AD2"/>
    <w:rsid w:val="0029020B"/>
    <w:rsid w:val="00294597"/>
    <w:rsid w:val="002A2976"/>
    <w:rsid w:val="002B00AD"/>
    <w:rsid w:val="002B361D"/>
    <w:rsid w:val="002D44BE"/>
    <w:rsid w:val="002E7041"/>
    <w:rsid w:val="003139C2"/>
    <w:rsid w:val="00320F45"/>
    <w:rsid w:val="00332569"/>
    <w:rsid w:val="0036011D"/>
    <w:rsid w:val="00362AF2"/>
    <w:rsid w:val="00367D48"/>
    <w:rsid w:val="00386140"/>
    <w:rsid w:val="003A501F"/>
    <w:rsid w:val="003A6A0C"/>
    <w:rsid w:val="003B59EC"/>
    <w:rsid w:val="003C3AD0"/>
    <w:rsid w:val="003C3EA8"/>
    <w:rsid w:val="003C472A"/>
    <w:rsid w:val="003C586E"/>
    <w:rsid w:val="003C58F7"/>
    <w:rsid w:val="004072B6"/>
    <w:rsid w:val="004156A7"/>
    <w:rsid w:val="00415A5D"/>
    <w:rsid w:val="00435E36"/>
    <w:rsid w:val="00442037"/>
    <w:rsid w:val="00452682"/>
    <w:rsid w:val="004721DB"/>
    <w:rsid w:val="004905E2"/>
    <w:rsid w:val="00496071"/>
    <w:rsid w:val="004B064B"/>
    <w:rsid w:val="004E1A19"/>
    <w:rsid w:val="004F38FE"/>
    <w:rsid w:val="00522308"/>
    <w:rsid w:val="0052433D"/>
    <w:rsid w:val="00531CD8"/>
    <w:rsid w:val="005626B3"/>
    <w:rsid w:val="00597E54"/>
    <w:rsid w:val="005C6139"/>
    <w:rsid w:val="0062440B"/>
    <w:rsid w:val="00631DED"/>
    <w:rsid w:val="00632E2C"/>
    <w:rsid w:val="006415C8"/>
    <w:rsid w:val="0066429F"/>
    <w:rsid w:val="00691F8C"/>
    <w:rsid w:val="006A3706"/>
    <w:rsid w:val="006B28A1"/>
    <w:rsid w:val="006C0727"/>
    <w:rsid w:val="006E145F"/>
    <w:rsid w:val="006E6323"/>
    <w:rsid w:val="00715F67"/>
    <w:rsid w:val="007349B0"/>
    <w:rsid w:val="00743E43"/>
    <w:rsid w:val="00745D69"/>
    <w:rsid w:val="0075707D"/>
    <w:rsid w:val="00770572"/>
    <w:rsid w:val="00772B75"/>
    <w:rsid w:val="00772D7D"/>
    <w:rsid w:val="0079710C"/>
    <w:rsid w:val="007B6A35"/>
    <w:rsid w:val="0080540B"/>
    <w:rsid w:val="00840DF8"/>
    <w:rsid w:val="0086211B"/>
    <w:rsid w:val="008A1696"/>
    <w:rsid w:val="008B2FE8"/>
    <w:rsid w:val="008B79E6"/>
    <w:rsid w:val="008E740B"/>
    <w:rsid w:val="00903CC5"/>
    <w:rsid w:val="00917D00"/>
    <w:rsid w:val="009217B2"/>
    <w:rsid w:val="009308A3"/>
    <w:rsid w:val="00945C3F"/>
    <w:rsid w:val="00961D55"/>
    <w:rsid w:val="00972529"/>
    <w:rsid w:val="009743CA"/>
    <w:rsid w:val="00980FB7"/>
    <w:rsid w:val="009A2A8A"/>
    <w:rsid w:val="009F2FBC"/>
    <w:rsid w:val="00A005A4"/>
    <w:rsid w:val="00A011A6"/>
    <w:rsid w:val="00A0234F"/>
    <w:rsid w:val="00A04600"/>
    <w:rsid w:val="00A141F6"/>
    <w:rsid w:val="00A17806"/>
    <w:rsid w:val="00A43309"/>
    <w:rsid w:val="00A65D29"/>
    <w:rsid w:val="00A73339"/>
    <w:rsid w:val="00AA26E5"/>
    <w:rsid w:val="00AA427C"/>
    <w:rsid w:val="00AC2493"/>
    <w:rsid w:val="00B241F0"/>
    <w:rsid w:val="00B366FF"/>
    <w:rsid w:val="00B60F90"/>
    <w:rsid w:val="00B746DF"/>
    <w:rsid w:val="00B91587"/>
    <w:rsid w:val="00B91955"/>
    <w:rsid w:val="00B9501F"/>
    <w:rsid w:val="00BC019B"/>
    <w:rsid w:val="00BD4BF1"/>
    <w:rsid w:val="00BD68A8"/>
    <w:rsid w:val="00BE68C2"/>
    <w:rsid w:val="00BF0885"/>
    <w:rsid w:val="00C202E4"/>
    <w:rsid w:val="00C736CE"/>
    <w:rsid w:val="00C833E6"/>
    <w:rsid w:val="00CA09B2"/>
    <w:rsid w:val="00CA6BD3"/>
    <w:rsid w:val="00CA7B1A"/>
    <w:rsid w:val="00CB55EC"/>
    <w:rsid w:val="00D03F3D"/>
    <w:rsid w:val="00D13B35"/>
    <w:rsid w:val="00D201DF"/>
    <w:rsid w:val="00D26EF1"/>
    <w:rsid w:val="00D4496F"/>
    <w:rsid w:val="00D505FB"/>
    <w:rsid w:val="00D741A4"/>
    <w:rsid w:val="00D97FEF"/>
    <w:rsid w:val="00DB2474"/>
    <w:rsid w:val="00DC5A7B"/>
    <w:rsid w:val="00DF466D"/>
    <w:rsid w:val="00E01F07"/>
    <w:rsid w:val="00E0359B"/>
    <w:rsid w:val="00E22753"/>
    <w:rsid w:val="00E2763D"/>
    <w:rsid w:val="00E31F91"/>
    <w:rsid w:val="00E51D2A"/>
    <w:rsid w:val="00E57C1F"/>
    <w:rsid w:val="00E72132"/>
    <w:rsid w:val="00E83A88"/>
    <w:rsid w:val="00E867E3"/>
    <w:rsid w:val="00EC526E"/>
    <w:rsid w:val="00EC544C"/>
    <w:rsid w:val="00ED32D0"/>
    <w:rsid w:val="00F06FE5"/>
    <w:rsid w:val="00F23989"/>
    <w:rsid w:val="00F349EF"/>
    <w:rsid w:val="00F4362E"/>
    <w:rsid w:val="00F456FB"/>
    <w:rsid w:val="00F45DF5"/>
    <w:rsid w:val="00F54638"/>
    <w:rsid w:val="00F73490"/>
    <w:rsid w:val="00F9558B"/>
    <w:rsid w:val="00FB7F1E"/>
    <w:rsid w:val="00FC73B8"/>
    <w:rsid w:val="00FD067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rsid w:val="0036011D"/>
    <w:pPr>
      <w:keepNext/>
      <w:keepLines/>
      <w:spacing w:before="320"/>
      <w:outlineLvl w:val="0"/>
    </w:pPr>
    <w:rPr>
      <w:rFonts w:ascii="Arial" w:hAnsi="Arial"/>
      <w:b/>
      <w:sz w:val="32"/>
      <w:u w:val="single"/>
    </w:rPr>
  </w:style>
  <w:style w:type="paragraph" w:styleId="Heading2">
    <w:name w:val="heading 2"/>
    <w:basedOn w:val="Normal"/>
    <w:next w:val="Normal"/>
    <w:qFormat/>
    <w:rsid w:val="0036011D"/>
    <w:pPr>
      <w:keepNext/>
      <w:keepLines/>
      <w:spacing w:before="280"/>
      <w:outlineLvl w:val="1"/>
    </w:pPr>
    <w:rPr>
      <w:rFonts w:ascii="Arial" w:hAnsi="Arial"/>
      <w:b/>
      <w:sz w:val="28"/>
      <w:u w:val="single"/>
    </w:rPr>
  </w:style>
  <w:style w:type="paragraph" w:styleId="Heading3">
    <w:name w:val="heading 3"/>
    <w:basedOn w:val="Normal"/>
    <w:next w:val="Normal"/>
    <w:qFormat/>
    <w:rsid w:val="0036011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011D"/>
    <w:pPr>
      <w:pBdr>
        <w:top w:val="single" w:sz="6" w:space="1" w:color="auto"/>
      </w:pBdr>
      <w:tabs>
        <w:tab w:val="center" w:pos="6480"/>
        <w:tab w:val="right" w:pos="12960"/>
      </w:tabs>
    </w:pPr>
    <w:rPr>
      <w:sz w:val="24"/>
    </w:rPr>
  </w:style>
  <w:style w:type="paragraph" w:styleId="Header">
    <w:name w:val="header"/>
    <w:basedOn w:val="Normal"/>
    <w:rsid w:val="0036011D"/>
    <w:pPr>
      <w:pBdr>
        <w:bottom w:val="single" w:sz="6" w:space="2" w:color="auto"/>
      </w:pBdr>
      <w:tabs>
        <w:tab w:val="center" w:pos="6480"/>
        <w:tab w:val="right" w:pos="12960"/>
      </w:tabs>
    </w:pPr>
    <w:rPr>
      <w:b/>
      <w:sz w:val="28"/>
    </w:rPr>
  </w:style>
  <w:style w:type="paragraph" w:customStyle="1" w:styleId="T1">
    <w:name w:val="T1"/>
    <w:basedOn w:val="Normal"/>
    <w:rsid w:val="0036011D"/>
    <w:pPr>
      <w:jc w:val="center"/>
    </w:pPr>
    <w:rPr>
      <w:b/>
      <w:sz w:val="28"/>
    </w:rPr>
  </w:style>
  <w:style w:type="paragraph" w:customStyle="1" w:styleId="T2">
    <w:name w:val="T2"/>
    <w:basedOn w:val="T1"/>
    <w:rsid w:val="0036011D"/>
    <w:pPr>
      <w:spacing w:after="240"/>
      <w:ind w:left="720" w:right="720"/>
    </w:pPr>
  </w:style>
  <w:style w:type="paragraph" w:customStyle="1" w:styleId="T3">
    <w:name w:val="T3"/>
    <w:basedOn w:val="T1"/>
    <w:rsid w:val="0036011D"/>
    <w:pPr>
      <w:pBdr>
        <w:bottom w:val="single" w:sz="6" w:space="1" w:color="auto"/>
      </w:pBdr>
      <w:tabs>
        <w:tab w:val="center" w:pos="4680"/>
      </w:tabs>
      <w:spacing w:after="240"/>
      <w:jc w:val="left"/>
    </w:pPr>
    <w:rPr>
      <w:b w:val="0"/>
      <w:sz w:val="24"/>
    </w:rPr>
  </w:style>
  <w:style w:type="paragraph" w:styleId="BodyTextIndent">
    <w:name w:val="Body Text Indent"/>
    <w:basedOn w:val="Normal"/>
    <w:rsid w:val="0036011D"/>
    <w:pPr>
      <w:ind w:left="720" w:hanging="720"/>
    </w:pPr>
  </w:style>
  <w:style w:type="character" w:styleId="Hyperlink">
    <w:name w:val="Hyperlink"/>
    <w:rsid w:val="0036011D"/>
    <w:rPr>
      <w:color w:val="0000FF"/>
      <w:u w:val="single"/>
    </w:rPr>
  </w:style>
  <w:style w:type="table" w:styleId="TableGrid">
    <w:name w:val="Table Grid"/>
    <w:basedOn w:val="TableNormal"/>
    <w:uiPriority w:val="59"/>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s>
</file>

<file path=word/webSettings.xml><?xml version="1.0" encoding="utf-8"?>
<w:webSettings xmlns:r="http://schemas.openxmlformats.org/officeDocument/2006/relationships" xmlns:w="http://schemas.openxmlformats.org/wordprocessingml/2006/main">
  <w:divs>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958295544">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089471673">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725717267">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a.gov.sg/Policies%20and%20Regulation/20060424155810.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1E7B5-2F5D-4841-BEFB-E5C92603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60</TotalTime>
  <Pages>3</Pages>
  <Words>648</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Some Company</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802.11-13/xxxxr0</dc:title>
  <dc:subject>Submission</dc:subject>
  <dc:creator>mpark1</dc:creator>
  <cp:keywords>July 2013</cp:keywords>
  <dc:description>Minyoung Park, Intel Corporation</dc:description>
  <cp:lastModifiedBy>mtk30143</cp:lastModifiedBy>
  <cp:revision>17</cp:revision>
  <cp:lastPrinted>2013-07-02T22:14:00Z</cp:lastPrinted>
  <dcterms:created xsi:type="dcterms:W3CDTF">2013-08-20T22:56:00Z</dcterms:created>
  <dcterms:modified xsi:type="dcterms:W3CDTF">2013-09-16T03:15:00Z</dcterms:modified>
</cp:coreProperties>
</file>