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47267B" w:rsidP="009D6CD3">
            <w:pPr>
              <w:pStyle w:val="T2"/>
            </w:pPr>
            <w:r>
              <w:rPr>
                <w:rFonts w:hint="eastAsia"/>
                <w:lang w:eastAsia="ko-KR"/>
              </w:rPr>
              <w:t>CC9</w:t>
            </w:r>
            <w:r w:rsidR="00D36C35">
              <w:rPr>
                <w:rFonts w:hint="eastAsia"/>
                <w:lang w:eastAsia="ko-KR"/>
              </w:rPr>
              <w:t xml:space="preserve"> </w:t>
            </w:r>
            <w:r w:rsidR="009D6CD3">
              <w:rPr>
                <w:rFonts w:hint="eastAsia"/>
                <w:lang w:eastAsia="ko-KR"/>
              </w:rPr>
              <w:t>CID</w:t>
            </w:r>
            <w:r w:rsidR="00D36C35">
              <w:rPr>
                <w:rFonts w:hint="eastAsia"/>
                <w:lang w:eastAsia="ko-KR"/>
              </w:rPr>
              <w:t xml:space="preserve"> </w:t>
            </w:r>
            <w:r w:rsidR="009D6CD3" w:rsidRPr="009D6CD3">
              <w:rPr>
                <w:lang w:eastAsia="ko-KR"/>
              </w:rPr>
              <w:t>813, 816, 825, 826, 886</w:t>
            </w:r>
            <w:r w:rsidR="009D6CD3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234C1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C80D03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596413" w:rsidRPr="00183F4C">
              <w:rPr>
                <w:b w:val="0"/>
                <w:sz w:val="20"/>
              </w:rPr>
              <w:t>-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234C13">
              <w:rPr>
                <w:rFonts w:hint="eastAsia"/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-1</w:t>
            </w:r>
            <w:r w:rsidR="0047267B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4C0F0A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+82-31-450-1947</w:t>
            </w:r>
          </w:p>
        </w:tc>
        <w:tc>
          <w:tcPr>
            <w:tcW w:w="2178" w:type="dxa"/>
            <w:vAlign w:val="center"/>
          </w:tcPr>
          <w:p w:rsidR="00B54BCB" w:rsidRPr="00183F4C" w:rsidRDefault="000E661A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54BCB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E768D" w:rsidRPr="004D2D75" w:rsidRDefault="000E661A">
      <w:pPr>
        <w:pStyle w:val="T1"/>
        <w:spacing w:after="120"/>
        <w:rPr>
          <w:sz w:val="22"/>
        </w:rPr>
      </w:pPr>
      <w:r w:rsidRPr="000E661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0A48A3" w:rsidRDefault="000A48A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48A3" w:rsidRDefault="000A48A3" w:rsidP="00210DDD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following CIDs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0.1 Comment Collection 9.</w:t>
                  </w:r>
                </w:p>
                <w:p w:rsidR="000A48A3" w:rsidRDefault="000A48A3" w:rsidP="00F85369">
                  <w:pPr>
                    <w:numPr>
                      <w:ilvl w:val="0"/>
                      <w:numId w:val="7"/>
                    </w:numPr>
                    <w:jc w:val="both"/>
                  </w:pPr>
                  <w:r w:rsidRPr="009D6CD3">
                    <w:rPr>
                      <w:lang w:eastAsia="ko-KR"/>
                    </w:rPr>
                    <w:t>813, 816, 825, 826, 886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D6CD3" w:rsidRPr="009D6CD3" w:rsidRDefault="009D6CD3" w:rsidP="00F2637D">
      <w:pPr>
        <w:rPr>
          <w:b/>
          <w:bCs/>
          <w:i/>
          <w:iCs/>
          <w:lang w:val="en-US"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539"/>
        <w:gridCol w:w="716"/>
        <w:gridCol w:w="2749"/>
        <w:gridCol w:w="1301"/>
        <w:gridCol w:w="3695"/>
      </w:tblGrid>
      <w:tr w:rsidR="00FA35EA" w:rsidRPr="009D6CD3" w:rsidTr="00FA35E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A35EA" w:rsidRPr="009D6CD3" w:rsidRDefault="00FA35EA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FA35EA" w:rsidRPr="009D6CD3" w:rsidTr="00FA35E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A35EA" w:rsidRPr="009D6CD3" w:rsidRDefault="00FA35EA" w:rsidP="009D6CD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A35EA" w:rsidRPr="009D6CD3" w:rsidRDefault="00FA35EA" w:rsidP="009D6CD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A35EA" w:rsidRPr="009D6CD3" w:rsidRDefault="00FA35EA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A35EA" w:rsidRPr="009D6CD3" w:rsidRDefault="00FA35EA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8.3.1.19 What is the format of the HT Control field for 11ah?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A35EA" w:rsidRPr="009D6CD3" w:rsidRDefault="00FA35EA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clarify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Default="00915426" w:rsidP="0091542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FA35EA" w:rsidRPr="009D6CD3" w:rsidRDefault="00915426" w:rsidP="00915426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proofErr w:type="spellStart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>TGa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h</w:t>
            </w:r>
            <w:proofErr w:type="spellEnd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1A555A">
              <w:rPr>
                <w:rFonts w:ascii="Arial" w:eastAsia="Gulim" w:hAnsi="Arial" w:cs="Arial" w:hint="eastAsia"/>
                <w:sz w:val="20"/>
                <w:lang w:val="en-US" w:eastAsia="ko-KR"/>
              </w:rPr>
              <w:t>1086r0</w:t>
            </w:r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 </w:t>
            </w:r>
            <w:r w:rsidRPr="001D328B">
              <w:rPr>
                <w:rFonts w:ascii="Arial" w:eastAsia="Gulim" w:hAnsi="Arial" w:cs="Arial"/>
                <w:sz w:val="20"/>
                <w:lang w:val="en-US" w:eastAsia="ko-KR"/>
              </w:rPr>
              <w:t>82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6</w:t>
            </w:r>
          </w:p>
        </w:tc>
      </w:tr>
    </w:tbl>
    <w:p w:rsidR="00FA35EA" w:rsidRDefault="00FA35EA" w:rsidP="00FA35EA">
      <w:pPr>
        <w:rPr>
          <w:b/>
          <w:lang w:eastAsia="ko-KR"/>
        </w:rPr>
      </w:pPr>
    </w:p>
    <w:p w:rsidR="00915426" w:rsidRDefault="00915426" w:rsidP="00915426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F05AE3" w:rsidRDefault="00F05AE3" w:rsidP="00915426">
      <w:pPr>
        <w:rPr>
          <w:lang w:eastAsia="ko-KR"/>
        </w:rPr>
      </w:pPr>
      <w:r>
        <w:rPr>
          <w:rFonts w:hint="eastAsia"/>
          <w:lang w:eastAsia="ko-KR"/>
        </w:rPr>
        <w:t xml:space="preserve">The format of the HT Control field for 11ah is not clear. The </w:t>
      </w:r>
      <w:r w:rsidRPr="00F05AE3">
        <w:rPr>
          <w:lang w:eastAsia="ko-KR"/>
        </w:rPr>
        <w:t>VHT variant HT Control field</w:t>
      </w:r>
      <w:r>
        <w:rPr>
          <w:rFonts w:hint="eastAsia"/>
          <w:lang w:eastAsia="ko-KR"/>
        </w:rPr>
        <w:t xml:space="preserve"> can be reused for 11ah but the MFB subfields are needed to be changed. </w:t>
      </w:r>
    </w:p>
    <w:p w:rsidR="00915426" w:rsidRPr="00F05AE3" w:rsidRDefault="00915426" w:rsidP="00915426">
      <w:pPr>
        <w:rPr>
          <w:szCs w:val="22"/>
          <w:lang w:eastAsia="ko-KR"/>
        </w:rPr>
      </w:pPr>
    </w:p>
    <w:p w:rsidR="00915426" w:rsidRPr="00F0664C" w:rsidRDefault="00915426" w:rsidP="00915426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915426" w:rsidRDefault="00915426" w:rsidP="00915426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Pr="00EA6DCB">
        <w:rPr>
          <w:lang w:eastAsia="ko-KR"/>
        </w:rPr>
        <w:t>82</w:t>
      </w:r>
      <w:r>
        <w:rPr>
          <w:rFonts w:hint="eastAsia"/>
          <w:lang w:eastAsia="ko-KR"/>
        </w:rPr>
        <w:t xml:space="preserve">6,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11-13/</w:t>
      </w:r>
      <w:r w:rsidR="001A555A">
        <w:rPr>
          <w:rFonts w:hint="eastAsia"/>
          <w:lang w:eastAsia="ko-KR"/>
        </w:rPr>
        <w:t>1086r0</w:t>
      </w:r>
      <w:r>
        <w:rPr>
          <w:rFonts w:hint="eastAsia"/>
          <w:lang w:eastAsia="ko-KR"/>
        </w:rPr>
        <w:t>.</w:t>
      </w:r>
    </w:p>
    <w:p w:rsidR="00DB25E0" w:rsidRDefault="00DB25E0" w:rsidP="008D0EA6">
      <w:pPr>
        <w:rPr>
          <w:b/>
          <w:i/>
          <w:lang w:eastAsia="ko-KR"/>
        </w:rPr>
      </w:pPr>
    </w:p>
    <w:p w:rsidR="00210F15" w:rsidRDefault="008D0EA6" w:rsidP="008D0EA6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proofErr w:type="gramStart"/>
      <w:r w:rsidR="00210F15">
        <w:rPr>
          <w:b/>
          <w:i/>
          <w:lang w:eastAsia="ko-KR"/>
        </w:rPr>
        <w:t>Within</w:t>
      </w:r>
      <w:proofErr w:type="gramEnd"/>
      <w:r w:rsidR="00210F15">
        <w:rPr>
          <w:b/>
          <w:i/>
          <w:lang w:eastAsia="ko-KR"/>
        </w:rPr>
        <w:t xml:space="preserve"> </w:t>
      </w:r>
      <w:proofErr w:type="spellStart"/>
      <w:r w:rsidR="00210F15">
        <w:rPr>
          <w:b/>
          <w:i/>
          <w:lang w:eastAsia="ko-KR"/>
        </w:rPr>
        <w:t>subclause</w:t>
      </w:r>
      <w:proofErr w:type="spellEnd"/>
      <w:r w:rsidR="00210F15">
        <w:rPr>
          <w:b/>
          <w:i/>
          <w:lang w:eastAsia="ko-KR"/>
        </w:rPr>
        <w:t xml:space="preserve"> 9.9 HT Control field operation, modify the paragraphs indicated and add a new paragraph as show:</w:t>
      </w:r>
    </w:p>
    <w:p w:rsidR="008D0EA6" w:rsidRDefault="008D0EA6" w:rsidP="00FA35EA">
      <w:pPr>
        <w:widowControl w:val="0"/>
        <w:autoSpaceDE w:val="0"/>
        <w:autoSpaceDN w:val="0"/>
        <w:adjustRightInd w:val="0"/>
        <w:jc w:val="both"/>
        <w:rPr>
          <w:szCs w:val="22"/>
          <w:lang w:val="en-US" w:eastAsia="ko-KR"/>
        </w:rPr>
      </w:pPr>
    </w:p>
    <w:p w:rsidR="000A48A3" w:rsidRDefault="000A48A3" w:rsidP="00FA35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n-US" w:eastAsia="ko-KR"/>
        </w:rPr>
      </w:pPr>
      <w:r w:rsidRPr="00DB25E0">
        <w:rPr>
          <w:rFonts w:ascii="Arial" w:hAnsi="Arial" w:cs="Arial"/>
          <w:b/>
          <w:bCs/>
          <w:sz w:val="20"/>
          <w:lang w:val="en-US" w:eastAsia="ko-KR"/>
        </w:rPr>
        <w:t>9.9 HT Control field operation</w:t>
      </w:r>
    </w:p>
    <w:p w:rsidR="00210F15" w:rsidRDefault="00210F15" w:rsidP="00210F15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:rsidR="00210F15" w:rsidRPr="00210F15" w:rsidRDefault="00210F15" w:rsidP="00210F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ko-KR"/>
        </w:rPr>
      </w:pPr>
      <w:r w:rsidRPr="002768AC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VHT variant HT Control field shall not be present in a frame addressed to a STA unless that STA declares support for +HTC-VHT in the VHT Capabilities Info field of its VHT Capabilities element or in the </w:t>
      </w:r>
      <w:r w:rsidRPr="002768AC">
        <w:rPr>
          <w:sz w:val="20"/>
          <w:u w:val="single"/>
          <w:lang w:val="en-US" w:eastAsia="ko-KR"/>
        </w:rPr>
        <w:t>S1G Capabilities Info field of S1G Capabilities elements that it transmits</w:t>
      </w:r>
      <w:r w:rsidRPr="002768AC">
        <w:rPr>
          <w:rFonts w:ascii="TimesNewRomanPSMT" w:hAnsi="TimesNewRomanPSMT" w:cs="TimesNewRomanPSMT"/>
          <w:sz w:val="20"/>
          <w:u w:val="single"/>
          <w:lang w:val="en-US" w:eastAsia="ko-KR"/>
        </w:rPr>
        <w:t>.</w:t>
      </w:r>
    </w:p>
    <w:p w:rsidR="00210F15" w:rsidRDefault="00210F15" w:rsidP="00210F15">
      <w:pPr>
        <w:widowControl w:val="0"/>
        <w:autoSpaceDE w:val="0"/>
        <w:autoSpaceDN w:val="0"/>
        <w:adjustRightInd w:val="0"/>
        <w:jc w:val="both"/>
        <w:rPr>
          <w:szCs w:val="22"/>
          <w:lang w:val="en-US" w:eastAsia="ko-KR"/>
        </w:rPr>
      </w:pPr>
    </w:p>
    <w:p w:rsidR="00210F15" w:rsidRDefault="00210F15" w:rsidP="00210F15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b/>
          <w:i/>
          <w:lang w:eastAsia="ko-KR"/>
        </w:rPr>
        <w:t>This is the new paragraph:</w:t>
      </w:r>
    </w:p>
    <w:p w:rsidR="00210F15" w:rsidRDefault="00210F15" w:rsidP="00DB25E0">
      <w:pPr>
        <w:widowControl w:val="0"/>
        <w:autoSpaceDE w:val="0"/>
        <w:autoSpaceDN w:val="0"/>
        <w:adjustRightInd w:val="0"/>
        <w:rPr>
          <w:sz w:val="20"/>
          <w:u w:val="single"/>
          <w:lang w:val="en-US" w:eastAsia="ko-KR"/>
        </w:rPr>
      </w:pPr>
    </w:p>
    <w:p w:rsidR="008D0EA6" w:rsidRPr="00DB25E0" w:rsidRDefault="00DB25E0" w:rsidP="00DB25E0">
      <w:pPr>
        <w:widowControl w:val="0"/>
        <w:autoSpaceDE w:val="0"/>
        <w:autoSpaceDN w:val="0"/>
        <w:adjustRightInd w:val="0"/>
        <w:rPr>
          <w:sz w:val="20"/>
          <w:u w:val="single"/>
          <w:lang w:val="en-US" w:eastAsia="ko-KR"/>
        </w:rPr>
      </w:pPr>
      <w:r w:rsidRPr="002768AC">
        <w:rPr>
          <w:sz w:val="20"/>
          <w:u w:val="single"/>
          <w:lang w:val="en-US" w:eastAsia="ko-KR"/>
        </w:rPr>
        <w:t xml:space="preserve">For a </w:t>
      </w:r>
      <w:r w:rsidR="00BF3E3A" w:rsidRPr="002768AC">
        <w:rPr>
          <w:sz w:val="20"/>
          <w:u w:val="single"/>
          <w:lang w:val="en-US" w:eastAsia="ko-KR"/>
        </w:rPr>
        <w:t xml:space="preserve">STA operating in the </w:t>
      </w:r>
      <w:r w:rsidRPr="002768AC">
        <w:rPr>
          <w:sz w:val="20"/>
          <w:u w:val="single"/>
          <w:lang w:val="en-US" w:eastAsia="ko-KR"/>
        </w:rPr>
        <w:t>S1G band, if the value of dot11VHTControlFieldOptionImplemented is true, a S1G STA shall set the +HTC-VHT Support subfield of the S1G Capabilities Info field of the S1G Capabilities element to 1 in S1G Capabilities elements that it transmits.</w:t>
      </w:r>
    </w:p>
    <w:p w:rsidR="008D0EA6" w:rsidRDefault="008D0EA6" w:rsidP="00FA35EA">
      <w:pPr>
        <w:widowControl w:val="0"/>
        <w:autoSpaceDE w:val="0"/>
        <w:autoSpaceDN w:val="0"/>
        <w:adjustRightInd w:val="0"/>
        <w:jc w:val="both"/>
        <w:rPr>
          <w:szCs w:val="22"/>
          <w:lang w:val="en-US" w:eastAsia="ko-KR"/>
        </w:rPr>
      </w:pPr>
    </w:p>
    <w:p w:rsidR="008B5D21" w:rsidRPr="00C83044" w:rsidRDefault="008B5D21" w:rsidP="008B5D2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</w:t>
      </w:r>
      <w:r w:rsidR="004B12C1">
        <w:rPr>
          <w:rFonts w:hint="eastAsia"/>
          <w:b/>
          <w:i/>
          <w:lang w:eastAsia="ko-KR"/>
        </w:rPr>
        <w:t xml:space="preserve">the </w:t>
      </w:r>
      <w:r>
        <w:rPr>
          <w:rFonts w:hint="eastAsia"/>
          <w:b/>
          <w:i/>
          <w:lang w:eastAsia="ko-KR"/>
        </w:rPr>
        <w:t>sub-clause 8.2.4.6.3</w:t>
      </w:r>
      <w:r w:rsidR="004B12C1">
        <w:rPr>
          <w:rFonts w:hint="eastAsia"/>
          <w:b/>
          <w:i/>
          <w:lang w:eastAsia="ko-KR"/>
        </w:rPr>
        <w:t xml:space="preserve"> as the following</w:t>
      </w:r>
      <w:r>
        <w:rPr>
          <w:rFonts w:hint="eastAsia"/>
          <w:b/>
          <w:i/>
          <w:lang w:eastAsia="ko-KR"/>
        </w:rPr>
        <w:t xml:space="preserve">: </w:t>
      </w:r>
    </w:p>
    <w:p w:rsidR="008B5D21" w:rsidRPr="008B5D21" w:rsidRDefault="008B5D21" w:rsidP="008B5D21">
      <w:pPr>
        <w:widowControl w:val="0"/>
        <w:autoSpaceDE w:val="0"/>
        <w:autoSpaceDN w:val="0"/>
        <w:adjustRightInd w:val="0"/>
        <w:jc w:val="both"/>
        <w:rPr>
          <w:szCs w:val="22"/>
          <w:lang w:eastAsia="ko-KR"/>
        </w:rPr>
      </w:pPr>
    </w:p>
    <w:p w:rsidR="008B5D21" w:rsidRDefault="008B5D21" w:rsidP="008B5D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8.2.4.6.3 VHT variant</w:t>
      </w:r>
    </w:p>
    <w:p w:rsidR="008B5D21" w:rsidRDefault="008B5D21" w:rsidP="008B5D21">
      <w:pPr>
        <w:widowControl w:val="0"/>
        <w:autoSpaceDE w:val="0"/>
        <w:autoSpaceDN w:val="0"/>
        <w:adjustRightInd w:val="0"/>
        <w:jc w:val="both"/>
        <w:rPr>
          <w:lang w:eastAsia="ko-KR"/>
        </w:rPr>
      </w:pPr>
    </w:p>
    <w:p w:rsidR="008B5D21" w:rsidRDefault="00BF3E3A" w:rsidP="008B5D21">
      <w:pPr>
        <w:widowControl w:val="0"/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lang w:val="en-US" w:eastAsia="ko-KR"/>
        </w:rPr>
        <w:t>For a non-S1G STA, t</w:t>
      </w:r>
      <w:r w:rsidR="008B5D21" w:rsidRPr="00B74EB6">
        <w:rPr>
          <w:sz w:val="20"/>
          <w:lang w:val="en-US" w:eastAsia="ko-KR"/>
        </w:rPr>
        <w:t>he format of the MFB subfield in the VHT variant HT Control field is shown in Figure 8-8c.</w:t>
      </w:r>
    </w:p>
    <w:p w:rsidR="008B5D21" w:rsidRPr="008B5D21" w:rsidRDefault="008B5D21" w:rsidP="008B5D21">
      <w:pPr>
        <w:widowControl w:val="0"/>
        <w:autoSpaceDE w:val="0"/>
        <w:autoSpaceDN w:val="0"/>
        <w:adjustRightInd w:val="0"/>
        <w:jc w:val="both"/>
        <w:rPr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80"/>
        <w:gridCol w:w="1160"/>
        <w:gridCol w:w="1000"/>
        <w:gridCol w:w="900"/>
        <w:gridCol w:w="1140"/>
      </w:tblGrid>
      <w:tr w:rsidR="008B5D21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B9         B11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8B5D21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B12 </w:t>
            </w:r>
            <w:r>
              <w:rPr>
                <w:rFonts w:ascii="Arial" w:hAnsi="Arial" w:cs="Arial" w:hint="eastAsia"/>
                <w:w w:val="100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 B15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B16  B17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6A5C82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B18</w:t>
            </w:r>
            <w:r w:rsidR="006A5C82">
              <w:rPr>
                <w:rFonts w:ascii="Arial" w:hAnsi="Arial" w:cs="Arial" w:hint="eastAsia"/>
                <w:w w:val="100"/>
                <w:sz w:val="16"/>
                <w:szCs w:val="16"/>
                <w:lang w:eastAsia="ko-KR"/>
              </w:rPr>
              <w:t xml:space="preserve">      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B23</w:t>
            </w:r>
          </w:p>
        </w:tc>
      </w:tr>
      <w:tr w:rsidR="008B5D21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NUM_STS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VHT-MCS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BW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SNR</w:t>
            </w:r>
          </w:p>
        </w:tc>
      </w:tr>
      <w:tr w:rsidR="008B5D21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11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6</w:t>
            </w:r>
          </w:p>
        </w:tc>
      </w:tr>
      <w:tr w:rsidR="008B5D21" w:rsidTr="006A5C82">
        <w:trPr>
          <w:jc w:val="center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6A5C82" w:rsidP="006A5C82">
            <w:pPr>
              <w:pStyle w:val="FigTitlea"/>
              <w:spacing w:before="240"/>
            </w:pPr>
            <w:bookmarkStart w:id="0" w:name="RTF37303330393a204669675469"/>
            <w:r>
              <w:rPr>
                <w:rFonts w:hint="eastAsia"/>
                <w:w w:val="100"/>
              </w:rPr>
              <w:lastRenderedPageBreak/>
              <w:t>Figure 8-8c</w:t>
            </w:r>
            <w:r w:rsidRPr="006A5C82">
              <w:rPr>
                <w:rFonts w:ascii="Arial-BoldMT" w:hAnsi="Arial-BoldMT" w:cs="Arial-BoldMT"/>
                <w:bCs w:val="0"/>
              </w:rPr>
              <w:t>—</w:t>
            </w:r>
            <w:r w:rsidR="008B5D21">
              <w:rPr>
                <w:w w:val="100"/>
              </w:rPr>
              <w:t>MFB subfield in the VHT variant HT Control field</w:t>
            </w:r>
            <w:bookmarkEnd w:id="0"/>
          </w:p>
        </w:tc>
      </w:tr>
    </w:tbl>
    <w:p w:rsidR="006A5C82" w:rsidRDefault="006A5C82" w:rsidP="008B5D21">
      <w:pPr>
        <w:pStyle w:val="Body"/>
        <w:rPr>
          <w:w w:val="100"/>
        </w:rPr>
      </w:pPr>
    </w:p>
    <w:p w:rsidR="006A5C82" w:rsidRPr="00B74EB6" w:rsidRDefault="006A5C82" w:rsidP="006A5C82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val="en-US" w:eastAsia="ko-KR"/>
        </w:rPr>
      </w:pPr>
      <w:r w:rsidRPr="002768AC">
        <w:rPr>
          <w:rFonts w:hint="eastAsia"/>
          <w:sz w:val="20"/>
          <w:u w:val="single"/>
          <w:lang w:val="en-US" w:eastAsia="ko-KR"/>
        </w:rPr>
        <w:t>For a</w:t>
      </w:r>
      <w:r w:rsidR="00BF3E3A" w:rsidRPr="002768AC">
        <w:rPr>
          <w:sz w:val="20"/>
          <w:u w:val="single"/>
          <w:lang w:val="en-US" w:eastAsia="ko-KR"/>
        </w:rPr>
        <w:t>n S1G STA operating in the</w:t>
      </w:r>
      <w:r w:rsidRPr="002768AC">
        <w:rPr>
          <w:rFonts w:hint="eastAsia"/>
          <w:sz w:val="20"/>
          <w:u w:val="single"/>
          <w:lang w:val="en-US" w:eastAsia="ko-KR"/>
        </w:rPr>
        <w:t xml:space="preserve"> S1G band, t</w:t>
      </w:r>
      <w:r w:rsidRPr="002768AC">
        <w:rPr>
          <w:sz w:val="20"/>
          <w:u w:val="single"/>
          <w:lang w:val="en-US" w:eastAsia="ko-KR"/>
        </w:rPr>
        <w:t>he format of the MFB subfield in the VHT variant HT Control field is shown in Figure 8</w:t>
      </w:r>
      <w:r w:rsidRPr="002768AC">
        <w:rPr>
          <w:rFonts w:hint="eastAsia"/>
          <w:sz w:val="20"/>
          <w:u w:val="single"/>
          <w:lang w:val="en-US" w:eastAsia="ko-KR"/>
        </w:rPr>
        <w:t>-2-4-6-3-1.</w:t>
      </w:r>
    </w:p>
    <w:p w:rsidR="006A5C82" w:rsidRPr="006A5C82" w:rsidRDefault="006A5C82" w:rsidP="006A5C82">
      <w:pPr>
        <w:widowControl w:val="0"/>
        <w:autoSpaceDE w:val="0"/>
        <w:autoSpaceDN w:val="0"/>
        <w:adjustRightInd w:val="0"/>
        <w:jc w:val="both"/>
        <w:rPr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680"/>
        <w:gridCol w:w="1160"/>
        <w:gridCol w:w="1000"/>
        <w:gridCol w:w="900"/>
        <w:gridCol w:w="1140"/>
      </w:tblGrid>
      <w:tr w:rsidR="006A5C82" w:rsidRPr="006A5C82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350B94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B9         B1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  <w:lang w:eastAsia="ko-KR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B1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1</w:t>
            </w: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 xml:space="preserve"> 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 xml:space="preserve"> </w:t>
            </w: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 xml:space="preserve">  B1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B1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5</w:t>
            </w: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 xml:space="preserve">  B17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tabs>
                <w:tab w:val="left" w:pos="660"/>
              </w:tabs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 xml:space="preserve">B18 </w:t>
            </w: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 xml:space="preserve">     </w:t>
            </w: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 xml:space="preserve"> B23</w:t>
            </w:r>
          </w:p>
        </w:tc>
      </w:tr>
      <w:tr w:rsidR="006A5C82" w:rsidRPr="006A5C82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NUM_STS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VHT-MCS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BW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SNR</w:t>
            </w:r>
          </w:p>
        </w:tc>
      </w:tr>
      <w:tr w:rsidR="006A5C82" w:rsidRPr="006A5C82" w:rsidTr="006A5C82">
        <w:trPr>
          <w:trHeight w:val="3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Bits:</w:t>
            </w:r>
          </w:p>
        </w:tc>
        <w:tc>
          <w:tcPr>
            <w:tcW w:w="11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2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6A5C82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 w:hint="eastAsia"/>
                <w:w w:val="100"/>
                <w:sz w:val="16"/>
                <w:szCs w:val="16"/>
                <w:u w:val="single"/>
                <w:lang w:eastAsia="ko-KR"/>
              </w:rPr>
              <w:t>3</w:t>
            </w:r>
          </w:p>
        </w:tc>
        <w:tc>
          <w:tcPr>
            <w:tcW w:w="11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A5C82" w:rsidRPr="006A5C82" w:rsidRDefault="006A5C82" w:rsidP="00350B94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5C82">
              <w:rPr>
                <w:rFonts w:ascii="Arial" w:hAnsi="Arial" w:cs="Arial"/>
                <w:w w:val="100"/>
                <w:sz w:val="16"/>
                <w:szCs w:val="16"/>
                <w:u w:val="single"/>
              </w:rPr>
              <w:t>6</w:t>
            </w:r>
          </w:p>
        </w:tc>
      </w:tr>
      <w:tr w:rsidR="006A5C82" w:rsidRPr="006A5C82" w:rsidTr="006A5C82">
        <w:trPr>
          <w:jc w:val="center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A5C82" w:rsidRPr="006A5C82" w:rsidRDefault="006A5C82" w:rsidP="006A5C82">
            <w:pPr>
              <w:pStyle w:val="FigTitlea"/>
              <w:spacing w:before="240"/>
              <w:rPr>
                <w:u w:val="single"/>
              </w:rPr>
            </w:pPr>
            <w:r w:rsidRPr="006A5C82">
              <w:rPr>
                <w:rFonts w:hint="eastAsia"/>
                <w:w w:val="100"/>
                <w:u w:val="single"/>
              </w:rPr>
              <w:t>Figure 8-2-4-6-3-1</w:t>
            </w:r>
            <w:r w:rsidRPr="006A5C82">
              <w:rPr>
                <w:rFonts w:ascii="Arial-BoldMT" w:hAnsi="Arial-BoldMT" w:cs="Arial-BoldMT"/>
                <w:bCs w:val="0"/>
                <w:u w:val="single"/>
              </w:rPr>
              <w:t>—</w:t>
            </w:r>
            <w:r w:rsidRPr="006A5C82">
              <w:rPr>
                <w:w w:val="100"/>
                <w:u w:val="single"/>
              </w:rPr>
              <w:t>MFB subfield in the VHT variant HT Control field</w:t>
            </w:r>
            <w:r w:rsidRPr="006A5C82">
              <w:rPr>
                <w:rFonts w:hint="eastAsia"/>
                <w:w w:val="100"/>
                <w:u w:val="single"/>
              </w:rPr>
              <w:t xml:space="preserve"> </w:t>
            </w:r>
            <w:r w:rsidRPr="006A5C82">
              <w:rPr>
                <w:w w:val="100"/>
                <w:u w:val="single"/>
              </w:rPr>
              <w:t>when used in S1G band</w:t>
            </w:r>
          </w:p>
        </w:tc>
      </w:tr>
    </w:tbl>
    <w:p w:rsidR="006A5C82" w:rsidRDefault="006A5C82" w:rsidP="008B5D21">
      <w:pPr>
        <w:pStyle w:val="Body"/>
        <w:rPr>
          <w:w w:val="100"/>
        </w:rPr>
      </w:pPr>
    </w:p>
    <w:p w:rsidR="008B5D21" w:rsidRDefault="008B5D21" w:rsidP="008B5D21">
      <w:pPr>
        <w:pStyle w:val="Body"/>
        <w:rPr>
          <w:w w:val="100"/>
        </w:rPr>
      </w:pPr>
      <w:r>
        <w:rPr>
          <w:w w:val="100"/>
        </w:rPr>
        <w:t xml:space="preserve">The MFB subfields in the VHT variant HT Control field are defined in </w:t>
      </w:r>
      <w:r w:rsidR="000E661A">
        <w:rPr>
          <w:w w:val="100"/>
        </w:rPr>
        <w:fldChar w:fldCharType="begin"/>
      </w:r>
      <w:r>
        <w:rPr>
          <w:w w:val="100"/>
        </w:rPr>
        <w:instrText xml:space="preserve"> REF  RTF35303233363a205461626c65 \h</w:instrText>
      </w:r>
      <w:r w:rsidR="000E661A">
        <w:rPr>
          <w:w w:val="100"/>
        </w:rPr>
      </w:r>
      <w:r w:rsidR="000E661A">
        <w:rPr>
          <w:w w:val="100"/>
        </w:rPr>
        <w:fldChar w:fldCharType="separate"/>
      </w:r>
      <w:r w:rsidR="006A5C82">
        <w:rPr>
          <w:w w:val="100"/>
        </w:rPr>
        <w:t>Table</w:t>
      </w:r>
      <w:r w:rsidR="006A5C82">
        <w:rPr>
          <w:rFonts w:hint="eastAsia"/>
          <w:w w:val="100"/>
        </w:rPr>
        <w:t xml:space="preserve"> </w:t>
      </w:r>
      <w:r>
        <w:rPr>
          <w:w w:val="100"/>
        </w:rPr>
        <w:t>8-13b (MFB subfield in the VHT variant HT Control field)</w:t>
      </w:r>
      <w:r w:rsidR="000E661A"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680"/>
        <w:gridCol w:w="1420"/>
        <w:gridCol w:w="4680"/>
      </w:tblGrid>
      <w:tr w:rsidR="008B5D21" w:rsidTr="00350B94">
        <w:trPr>
          <w:jc w:val="center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B5D21" w:rsidRDefault="008B5D21" w:rsidP="008B5D21">
            <w:pPr>
              <w:pStyle w:val="TableTitlea"/>
              <w:numPr>
                <w:ilvl w:val="0"/>
                <w:numId w:val="3"/>
              </w:numPr>
            </w:pPr>
            <w:r>
              <w:rPr>
                <w:w w:val="100"/>
              </w:rPr>
              <w:t>MFB subfield in the VHT variant HT Control field</w:t>
            </w:r>
          </w:p>
        </w:tc>
      </w:tr>
      <w:tr w:rsidR="008B5D21" w:rsidTr="00350B94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4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B5D21" w:rsidRDefault="008B5D21" w:rsidP="00350B94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</w:tr>
      <w:tr w:rsidR="008B5D21" w:rsidTr="00350B94">
        <w:trPr>
          <w:trHeight w:val="11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NUM_STS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Recommended NUM_STS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recommended NUM_STS as defined in 9.28.3 (Link adaptation using the VHT variant HT Control field).</w:t>
            </w:r>
          </w:p>
          <w:p w:rsidR="008B5D21" w:rsidRDefault="008B5D21" w:rsidP="00350B94">
            <w:pPr>
              <w:pStyle w:val="CellBody"/>
              <w:spacing w:before="200"/>
            </w:pPr>
            <w:r>
              <w:rPr>
                <w:w w:val="100"/>
              </w:rPr>
              <w:t>The NUM_STS subfield contains an unsigned integer representing the number of space time streams minus 1.</w:t>
            </w:r>
          </w:p>
        </w:tc>
      </w:tr>
      <w:tr w:rsidR="008B5D21" w:rsidTr="00350B94">
        <w:trPr>
          <w:trHeight w:val="13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VHT-MCS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Recommended VHT-MCS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recommended VHT-MCS as defined in 9.28.3 (Link adaptation using the VHT variant HT Control field).</w:t>
            </w:r>
          </w:p>
          <w:p w:rsidR="008B5D21" w:rsidRDefault="008B5D21" w:rsidP="00350B94">
            <w:pPr>
              <w:pStyle w:val="CellBody"/>
              <w:spacing w:before="200"/>
            </w:pPr>
            <w:r>
              <w:rPr>
                <w:w w:val="100"/>
              </w:rPr>
              <w:t>The VHT-MCS subfield contains an unsigned integer in the range 0 to 9 representing a VHT-MCS Index value (defined in 22.5 (Parameters for VHT-MCSs)).</w:t>
            </w:r>
          </w:p>
        </w:tc>
      </w:tr>
      <w:tr w:rsidR="008B5D21" w:rsidTr="002768AC">
        <w:trPr>
          <w:trHeight w:val="731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BW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Bandwidth of the recommended VHT-MCS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rPr>
                <w:w w:val="100"/>
                <w:lang w:eastAsia="ko-KR"/>
              </w:rPr>
            </w:pPr>
            <w:r>
              <w:rPr>
                <w:w w:val="100"/>
              </w:rPr>
              <w:t>If the Unsolicited MFB subfield is 1, the BW subfield indicates the bandwidth for which the recommended VHT-MCS is intended, as defined in 9.28.3 (Link adaptation using the VHT variant HT Control field):</w:t>
            </w:r>
          </w:p>
          <w:p w:rsidR="006A5C82" w:rsidRDefault="006A5C82" w:rsidP="00350B94">
            <w:pPr>
              <w:pStyle w:val="CellBody"/>
              <w:rPr>
                <w:w w:val="100"/>
                <w:lang w:eastAsia="ko-KR"/>
              </w:rPr>
            </w:pPr>
            <w:r>
              <w:rPr>
                <w:rFonts w:hint="eastAsia"/>
                <w:w w:val="100"/>
                <w:lang w:eastAsia="ko-KR"/>
              </w:rPr>
              <w:t xml:space="preserve">For a VHT STA: </w:t>
            </w:r>
          </w:p>
          <w:p w:rsidR="008B5D21" w:rsidRDefault="008B5D21" w:rsidP="00350B94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8B5D21" w:rsidRDefault="008B5D21" w:rsidP="00350B94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8B5D21" w:rsidRDefault="008B5D21" w:rsidP="00350B94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8B5D21" w:rsidRDefault="008B5D21" w:rsidP="00350B94">
            <w:pPr>
              <w:pStyle w:val="CellBody"/>
              <w:ind w:left="200"/>
              <w:rPr>
                <w:w w:val="100"/>
                <w:lang w:eastAsia="ko-KR"/>
              </w:rPr>
            </w:pPr>
            <w:r>
              <w:rPr>
                <w:w w:val="100"/>
              </w:rPr>
              <w:t xml:space="preserve">Set to 3 for 160 MHz and 80+80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:rsidR="006A5C82" w:rsidRDefault="006A5C82" w:rsidP="006A5C82">
            <w:pPr>
              <w:pStyle w:val="CellBody"/>
              <w:rPr>
                <w:w w:val="100"/>
                <w:lang w:eastAsia="ko-KR"/>
              </w:rPr>
            </w:pPr>
            <w:r>
              <w:rPr>
                <w:rFonts w:hint="eastAsia"/>
                <w:w w:val="100"/>
                <w:lang w:eastAsia="ko-KR"/>
              </w:rPr>
              <w:t>For a TVHT STA:</w:t>
            </w:r>
          </w:p>
          <w:p w:rsidR="006A5C82" w:rsidRPr="006A5C82" w:rsidRDefault="006A5C82" w:rsidP="006A5C82">
            <w:pPr>
              <w:pStyle w:val="CellBody"/>
              <w:ind w:leftChars="100" w:left="220"/>
              <w:rPr>
                <w:w w:val="100"/>
                <w:lang w:val="en-GB" w:eastAsia="ko-KR"/>
              </w:rPr>
            </w:pPr>
            <w:r w:rsidRPr="006A5C82">
              <w:rPr>
                <w:w w:val="100"/>
                <w:lang w:val="en-GB" w:eastAsia="ko-KR"/>
              </w:rPr>
              <w:t>Set to 0 for TVHT_W</w:t>
            </w:r>
          </w:p>
          <w:p w:rsidR="006A5C82" w:rsidRPr="006A5C82" w:rsidRDefault="006A5C82" w:rsidP="006A5C82">
            <w:pPr>
              <w:pStyle w:val="CellBody"/>
              <w:ind w:leftChars="100" w:left="220"/>
              <w:rPr>
                <w:w w:val="100"/>
                <w:lang w:val="en-GB" w:eastAsia="ko-KR"/>
              </w:rPr>
            </w:pPr>
            <w:r w:rsidRPr="006A5C82">
              <w:rPr>
                <w:w w:val="100"/>
                <w:lang w:val="en-GB" w:eastAsia="ko-KR"/>
              </w:rPr>
              <w:t>Set to 1 for TVHT_2W and TVHT_W+W</w:t>
            </w:r>
          </w:p>
          <w:p w:rsidR="006A5C82" w:rsidRPr="006A5C82" w:rsidRDefault="006A5C82" w:rsidP="006A5C82">
            <w:pPr>
              <w:pStyle w:val="CellBody"/>
              <w:ind w:leftChars="100" w:left="220"/>
              <w:rPr>
                <w:w w:val="100"/>
                <w:lang w:val="en-GB" w:eastAsia="ko-KR"/>
              </w:rPr>
            </w:pPr>
            <w:r w:rsidRPr="006A5C82">
              <w:rPr>
                <w:w w:val="100"/>
                <w:lang w:val="en-GB" w:eastAsia="ko-KR"/>
              </w:rPr>
              <w:t>Set to 2 for TVHT_4W and TVHT_2W+2W</w:t>
            </w:r>
          </w:p>
          <w:p w:rsidR="006A5C82" w:rsidRPr="006A5C82" w:rsidRDefault="006A5C82" w:rsidP="006A5C82">
            <w:pPr>
              <w:pStyle w:val="CellBody"/>
              <w:ind w:leftChars="100" w:left="220"/>
              <w:rPr>
                <w:w w:val="100"/>
                <w:lang w:val="en-GB" w:eastAsia="ko-KR"/>
              </w:rPr>
            </w:pPr>
            <w:r w:rsidRPr="006A5C82">
              <w:rPr>
                <w:w w:val="100"/>
                <w:lang w:val="en-GB" w:eastAsia="ko-KR"/>
              </w:rPr>
              <w:t>The value 3 is reserved.</w:t>
            </w:r>
          </w:p>
          <w:p w:rsidR="006A5C82" w:rsidRPr="004B12C1" w:rsidRDefault="006A5C82" w:rsidP="006A5C82">
            <w:pPr>
              <w:pStyle w:val="CellBody"/>
              <w:rPr>
                <w:w w:val="100"/>
                <w:u w:val="single"/>
                <w:lang w:eastAsia="ko-KR"/>
              </w:rPr>
            </w:pPr>
            <w:r w:rsidRPr="004B12C1">
              <w:rPr>
                <w:rFonts w:hint="eastAsia"/>
                <w:w w:val="100"/>
                <w:u w:val="single"/>
                <w:lang w:eastAsia="ko-KR"/>
              </w:rPr>
              <w:t xml:space="preserve">For a S1G STA: </w:t>
            </w:r>
          </w:p>
          <w:p w:rsidR="006A5C82" w:rsidRPr="004B12C1" w:rsidRDefault="006A5C82" w:rsidP="006A5C82">
            <w:pPr>
              <w:pStyle w:val="CellBody"/>
              <w:ind w:left="200"/>
              <w:rPr>
                <w:w w:val="100"/>
                <w:u w:val="single"/>
              </w:rPr>
            </w:pPr>
            <w:r w:rsidRPr="004B12C1">
              <w:rPr>
                <w:w w:val="100"/>
                <w:u w:val="single"/>
              </w:rPr>
              <w:t xml:space="preserve">Set to 0 for </w:t>
            </w:r>
            <w:r w:rsidRPr="004B12C1">
              <w:rPr>
                <w:rFonts w:hint="eastAsia"/>
                <w:w w:val="100"/>
                <w:u w:val="single"/>
                <w:lang w:eastAsia="ko-KR"/>
              </w:rPr>
              <w:t>1</w:t>
            </w:r>
            <w:r w:rsidRPr="004B12C1">
              <w:rPr>
                <w:w w:val="100"/>
                <w:u w:val="single"/>
              </w:rPr>
              <w:t xml:space="preserve"> MHz</w:t>
            </w:r>
          </w:p>
          <w:p w:rsidR="006A5C82" w:rsidRPr="004B12C1" w:rsidRDefault="006A5C82" w:rsidP="006A5C82">
            <w:pPr>
              <w:pStyle w:val="CellBody"/>
              <w:ind w:left="200"/>
              <w:rPr>
                <w:w w:val="100"/>
                <w:u w:val="single"/>
              </w:rPr>
            </w:pPr>
            <w:r w:rsidRPr="004B12C1">
              <w:rPr>
                <w:w w:val="100"/>
                <w:u w:val="single"/>
              </w:rPr>
              <w:t xml:space="preserve">Set to 1 for </w:t>
            </w:r>
            <w:r w:rsidRPr="004B12C1">
              <w:rPr>
                <w:rFonts w:hint="eastAsia"/>
                <w:w w:val="100"/>
                <w:u w:val="single"/>
                <w:lang w:eastAsia="ko-KR"/>
              </w:rPr>
              <w:t>2</w:t>
            </w:r>
            <w:r w:rsidRPr="004B12C1">
              <w:rPr>
                <w:w w:val="100"/>
                <w:u w:val="single"/>
              </w:rPr>
              <w:t xml:space="preserve"> MHz</w:t>
            </w:r>
          </w:p>
          <w:p w:rsidR="006A5C82" w:rsidRPr="004B12C1" w:rsidRDefault="006A5C82" w:rsidP="006A5C82">
            <w:pPr>
              <w:pStyle w:val="CellBody"/>
              <w:ind w:left="200"/>
              <w:rPr>
                <w:w w:val="100"/>
                <w:u w:val="single"/>
              </w:rPr>
            </w:pPr>
            <w:r w:rsidRPr="004B12C1">
              <w:rPr>
                <w:w w:val="100"/>
                <w:u w:val="single"/>
              </w:rPr>
              <w:t xml:space="preserve">Set to 2 for </w:t>
            </w:r>
            <w:r w:rsidRPr="004B12C1">
              <w:rPr>
                <w:rFonts w:hint="eastAsia"/>
                <w:w w:val="100"/>
                <w:u w:val="single"/>
                <w:lang w:eastAsia="ko-KR"/>
              </w:rPr>
              <w:t>4</w:t>
            </w:r>
            <w:r w:rsidRPr="004B12C1">
              <w:rPr>
                <w:w w:val="100"/>
                <w:u w:val="single"/>
              </w:rPr>
              <w:t xml:space="preserve"> MHz</w:t>
            </w:r>
          </w:p>
          <w:p w:rsidR="006A5C82" w:rsidRPr="004B12C1" w:rsidRDefault="006A5C82" w:rsidP="006A5C82">
            <w:pPr>
              <w:pStyle w:val="CellBody"/>
              <w:ind w:left="200"/>
              <w:rPr>
                <w:w w:val="100"/>
                <w:u w:val="single"/>
                <w:lang w:eastAsia="ko-KR"/>
              </w:rPr>
            </w:pPr>
            <w:r w:rsidRPr="004B12C1">
              <w:rPr>
                <w:w w:val="100"/>
                <w:u w:val="single"/>
              </w:rPr>
              <w:lastRenderedPageBreak/>
              <w:t xml:space="preserve">Set to 3 for </w:t>
            </w:r>
            <w:r w:rsidRPr="004B12C1">
              <w:rPr>
                <w:rFonts w:hint="eastAsia"/>
                <w:w w:val="100"/>
                <w:u w:val="single"/>
                <w:lang w:eastAsia="ko-KR"/>
              </w:rPr>
              <w:t>8</w:t>
            </w:r>
            <w:r w:rsidRPr="004B12C1">
              <w:rPr>
                <w:w w:val="100"/>
                <w:u w:val="single"/>
              </w:rPr>
              <w:t xml:space="preserve"> </w:t>
            </w:r>
            <w:proofErr w:type="spellStart"/>
            <w:r w:rsidRPr="004B12C1">
              <w:rPr>
                <w:w w:val="100"/>
                <w:u w:val="single"/>
              </w:rPr>
              <w:t>MHz.</w:t>
            </w:r>
            <w:proofErr w:type="spellEnd"/>
          </w:p>
          <w:p w:rsidR="006A5C82" w:rsidRDefault="006A5C82" w:rsidP="006A5C82">
            <w:pPr>
              <w:pStyle w:val="CellBody"/>
              <w:ind w:left="200"/>
              <w:rPr>
                <w:w w:val="100"/>
                <w:u w:val="single"/>
                <w:lang w:eastAsia="ko-KR"/>
              </w:rPr>
            </w:pPr>
            <w:r w:rsidRPr="004B12C1">
              <w:rPr>
                <w:w w:val="100"/>
                <w:u w:val="single"/>
              </w:rPr>
              <w:t xml:space="preserve">Set to </w:t>
            </w:r>
            <w:r w:rsidR="004B12C1" w:rsidRPr="004B12C1">
              <w:rPr>
                <w:rFonts w:hint="eastAsia"/>
                <w:w w:val="100"/>
                <w:u w:val="single"/>
                <w:lang w:eastAsia="ko-KR"/>
              </w:rPr>
              <w:t>4</w:t>
            </w:r>
            <w:r w:rsidRPr="004B12C1">
              <w:rPr>
                <w:w w:val="100"/>
                <w:u w:val="single"/>
              </w:rPr>
              <w:t xml:space="preserve"> for </w:t>
            </w:r>
            <w:r w:rsidR="004B12C1" w:rsidRPr="004B12C1">
              <w:rPr>
                <w:rFonts w:hint="eastAsia"/>
                <w:w w:val="100"/>
                <w:u w:val="single"/>
                <w:lang w:eastAsia="ko-KR"/>
              </w:rPr>
              <w:t>16</w:t>
            </w:r>
            <w:r w:rsidRPr="004B12C1">
              <w:rPr>
                <w:w w:val="100"/>
                <w:u w:val="single"/>
              </w:rPr>
              <w:t xml:space="preserve"> </w:t>
            </w:r>
            <w:proofErr w:type="spellStart"/>
            <w:r w:rsidRPr="004B12C1">
              <w:rPr>
                <w:w w:val="100"/>
                <w:u w:val="single"/>
              </w:rPr>
              <w:t>MHz.</w:t>
            </w:r>
            <w:proofErr w:type="spellEnd"/>
          </w:p>
          <w:p w:rsidR="004B12C1" w:rsidRPr="004B12C1" w:rsidRDefault="004B12C1" w:rsidP="006A5C82">
            <w:pPr>
              <w:pStyle w:val="CellBody"/>
              <w:ind w:left="200"/>
              <w:rPr>
                <w:w w:val="100"/>
                <w:u w:val="single"/>
                <w:lang w:eastAsia="ko-KR"/>
              </w:rPr>
            </w:pPr>
            <w:r>
              <w:rPr>
                <w:rFonts w:hint="eastAsia"/>
                <w:w w:val="100"/>
                <w:u w:val="single"/>
                <w:lang w:eastAsia="ko-KR"/>
              </w:rPr>
              <w:t xml:space="preserve">The values 5 to 7 are reserved. </w:t>
            </w:r>
          </w:p>
          <w:p w:rsidR="006A5C82" w:rsidRDefault="008B5D21" w:rsidP="004B12C1">
            <w:pPr>
              <w:pStyle w:val="CellBody"/>
              <w:rPr>
                <w:lang w:eastAsia="ko-KR"/>
              </w:rPr>
            </w:pPr>
            <w:r>
              <w:rPr>
                <w:w w:val="100"/>
              </w:rPr>
              <w:t>If the Unsolicited MFB subfield is 0, the BW subfield is reserved.</w:t>
            </w:r>
          </w:p>
        </w:tc>
      </w:tr>
      <w:tr w:rsidR="008B5D21" w:rsidTr="00350B94">
        <w:trPr>
          <w:trHeight w:val="2560"/>
          <w:jc w:val="center"/>
        </w:trPr>
        <w:tc>
          <w:tcPr>
            <w:tcW w:w="16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lastRenderedPageBreak/>
              <w:t>SNR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</w:pPr>
            <w:r>
              <w:rPr>
                <w:w w:val="100"/>
              </w:rPr>
              <w:t>Average SNR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B5D21" w:rsidRDefault="008B5D21" w:rsidP="00350B9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average SNR, which is an SNR averaged over data subcarriers and space-time streams.</w:t>
            </w:r>
          </w:p>
          <w:p w:rsidR="008B5D21" w:rsidRDefault="008B5D21" w:rsidP="004B12C1">
            <w:pPr>
              <w:pStyle w:val="CellBody"/>
              <w:spacing w:before="200"/>
            </w:pPr>
            <w:r>
              <w:rPr>
                <w:w w:val="100"/>
              </w:rPr>
              <w:t xml:space="preserve">The SNR is averaged over all the space-time streams and data subcarriers, and is encoded as a 6-bit two's complement number of </w:t>
            </w:r>
            <w:proofErr w:type="spellStart"/>
            <w:r>
              <w:rPr>
                <w:w w:val="100"/>
              </w:rPr>
              <w:t>SNR_average</w:t>
            </w:r>
            <w:proofErr w:type="spellEnd"/>
            <w:r w:rsidR="004B12C1"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  <w:sz w:val="16"/>
                <w:szCs w:val="16"/>
              </w:rPr>
              <w:t>–</w:t>
            </w:r>
            <w:r w:rsidR="004B12C1">
              <w:rPr>
                <w:rFonts w:hint="eastAsia"/>
                <w:w w:val="100"/>
                <w:sz w:val="16"/>
                <w:szCs w:val="16"/>
                <w:lang w:eastAsia="ko-KR"/>
              </w:rPr>
              <w:t xml:space="preserve"> </w:t>
            </w:r>
            <w:r>
              <w:rPr>
                <w:w w:val="100"/>
              </w:rPr>
              <w:t xml:space="preserve">22, where </w:t>
            </w:r>
            <w:proofErr w:type="spellStart"/>
            <w:r>
              <w:rPr>
                <w:w w:val="100"/>
              </w:rPr>
              <w:t>SNR_average</w:t>
            </w:r>
            <w:proofErr w:type="spellEnd"/>
            <w:r>
              <w:rPr>
                <w:w w:val="100"/>
              </w:rPr>
              <w:t xml:space="preserve"> is the sum of the values of SNR per frequency tone (in decibels) per space-time stream divided by the product of the number of space-time streams, as indicated in the NUM_STS subfield, and the number of frequency tones represented in the bandwidth in which the MFB was estimated. This encoding covers the SNR range from </w:t>
            </w:r>
            <w:r>
              <w:rPr>
                <w:w w:val="100"/>
                <w:sz w:val="16"/>
                <w:szCs w:val="16"/>
              </w:rPr>
              <w:t>–</w:t>
            </w:r>
            <w:r>
              <w:rPr>
                <w:w w:val="100"/>
              </w:rPr>
              <w:t>10</w:t>
            </w:r>
            <w:r w:rsidR="004B12C1"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dB to 53</w:t>
            </w:r>
            <w:r w:rsidR="004B12C1"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dB in 1</w:t>
            </w:r>
            <w:r w:rsidR="004B12C1">
              <w:rPr>
                <w:rFonts w:hint="eastAsia"/>
                <w:w w:val="100"/>
                <w:lang w:eastAsia="ko-KR"/>
              </w:rPr>
              <w:t xml:space="preserve"> </w:t>
            </w:r>
            <w:r>
              <w:rPr>
                <w:w w:val="100"/>
              </w:rPr>
              <w:t>dB steps.</w:t>
            </w:r>
          </w:p>
        </w:tc>
      </w:tr>
    </w:tbl>
    <w:p w:rsidR="000A48A3" w:rsidRDefault="000A48A3" w:rsidP="00F2637D">
      <w:pPr>
        <w:rPr>
          <w:b/>
          <w:bCs/>
          <w:i/>
          <w:iCs/>
          <w:lang w:val="en-US" w:eastAsia="ko-KR"/>
        </w:rPr>
      </w:pPr>
    </w:p>
    <w:p w:rsidR="000A48A3" w:rsidRDefault="000A48A3" w:rsidP="00F2637D">
      <w:pPr>
        <w:rPr>
          <w:b/>
          <w:bCs/>
          <w:i/>
          <w:iCs/>
          <w:lang w:val="en-US"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539"/>
        <w:gridCol w:w="716"/>
        <w:gridCol w:w="2721"/>
        <w:gridCol w:w="1852"/>
        <w:gridCol w:w="3172"/>
      </w:tblGrid>
      <w:tr w:rsidR="004B12C1" w:rsidRPr="009D6CD3" w:rsidTr="000A48A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0A48A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B12C1" w:rsidRPr="009D6CD3" w:rsidTr="000A48A3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0A48A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0A48A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0A48A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0A48A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8.3.1.19 VHT NDP Announcement frame format. AID is just 12 bits, need 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0A48A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Adapt NDP Announcement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fro</w:t>
            </w:r>
            <w:proofErr w:type="spell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11ah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B12C1" w:rsidRDefault="004B12C1" w:rsidP="004B12C1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15426" w:rsidRPr="009D6CD3" w:rsidRDefault="004B12C1" w:rsidP="004B12C1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4B12C1">
              <w:rPr>
                <w:rFonts w:ascii="Arial" w:eastAsia="Gulim" w:hAnsi="Arial" w:cs="Arial"/>
                <w:sz w:val="20"/>
                <w:lang w:val="en-US" w:eastAsia="ko-KR"/>
              </w:rPr>
              <w:t xml:space="preserve">Agree with the comment. But, </w:t>
            </w:r>
            <w:proofErr w:type="spellStart"/>
            <w:r w:rsidRPr="004B12C1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4B12C1">
              <w:rPr>
                <w:rFonts w:ascii="Arial" w:eastAsia="Gulim" w:hAnsi="Arial" w:cs="Arial"/>
                <w:sz w:val="20"/>
                <w:lang w:val="en-US" w:eastAsia="ko-KR"/>
              </w:rPr>
              <w:t xml:space="preserve"> Draft 0.2 already fixed this comment. Any spec changes are not needed.</w:t>
            </w:r>
          </w:p>
        </w:tc>
      </w:tr>
    </w:tbl>
    <w:p w:rsidR="00915426" w:rsidRDefault="00915426" w:rsidP="00F2637D">
      <w:pPr>
        <w:rPr>
          <w:b/>
          <w:bCs/>
          <w:i/>
          <w:iCs/>
          <w:lang w:val="en-US" w:eastAsia="ko-KR"/>
        </w:rPr>
      </w:pPr>
    </w:p>
    <w:p w:rsidR="00915426" w:rsidRDefault="00915426" w:rsidP="00F2637D">
      <w:pPr>
        <w:rPr>
          <w:b/>
          <w:bCs/>
          <w:i/>
          <w:iCs/>
          <w:lang w:val="en-US"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672"/>
        <w:gridCol w:w="716"/>
        <w:gridCol w:w="4331"/>
        <w:gridCol w:w="1678"/>
        <w:gridCol w:w="1603"/>
      </w:tblGrid>
      <w:tr w:rsidR="00915426" w:rsidRPr="009D6CD3" w:rsidTr="009154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15426" w:rsidRPr="009D6CD3" w:rsidRDefault="00915426" w:rsidP="009D6CD3">
            <w:pPr>
              <w:jc w:val="center"/>
              <w:rPr>
                <w:rFonts w:ascii="Gulim" w:eastAsia="Gulim" w:hAnsi="Gulim" w:cs="Gulim"/>
                <w:b/>
                <w:bCs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915426" w:rsidRPr="009D6CD3" w:rsidTr="009154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9D6CD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886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9D6CD3">
            <w:pPr>
              <w:jc w:val="right"/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174.00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9.31.6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For S1G band, the NDP transmission protocol should be defined. Simply, we can replace VHT of section 9.31.6 with S1G.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D6CD3" w:rsidRDefault="00915426" w:rsidP="009D6CD3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Define a S1G NDP transmission protocol.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1253E" w:rsidRDefault="00D1253E" w:rsidP="00D1253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15426" w:rsidRPr="009D6CD3" w:rsidRDefault="00D1253E" w:rsidP="00D1253E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proofErr w:type="spellStart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>TGa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h</w:t>
            </w:r>
            <w:proofErr w:type="spellEnd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1A555A">
              <w:rPr>
                <w:rFonts w:ascii="Arial" w:eastAsia="Gulim" w:hAnsi="Arial" w:cs="Arial" w:hint="eastAsia"/>
                <w:sz w:val="20"/>
                <w:lang w:val="en-US" w:eastAsia="ko-KR"/>
              </w:rPr>
              <w:t>1086r0</w:t>
            </w:r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 </w:t>
            </w:r>
            <w:r w:rsidRPr="001D328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13, 816, 886</w:t>
            </w:r>
          </w:p>
        </w:tc>
      </w:tr>
      <w:tr w:rsidR="00915426" w:rsidRPr="009D6CD3" w:rsidTr="009154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138.00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9.31.5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proofErr w:type="gram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the</w:t>
            </w:r>
            <w:proofErr w:type="gram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folowing</w:t>
            </w:r>
            <w:proofErr w:type="spell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sentence "For S1G band, the same sounding protocol is applied, with "VHT" replaced by "S1G"" is too simplistic and if applied generates several inconsistencies; e.g. this would indicate also an "S1G NDP Announcement", which does not exist. Is the VHT NDP announcements used? Similarly for the VHT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CompressedBeamforming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Have a thorough revision of the section and make sure the desired behavior is clearly defined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1253E" w:rsidRDefault="00D1253E" w:rsidP="00D1253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15426" w:rsidRPr="009D6CD3" w:rsidRDefault="00D1253E" w:rsidP="00D1253E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proofErr w:type="spellStart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>TGa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h</w:t>
            </w:r>
            <w:proofErr w:type="spellEnd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1A555A">
              <w:rPr>
                <w:rFonts w:ascii="Arial" w:eastAsia="Gulim" w:hAnsi="Arial" w:cs="Arial" w:hint="eastAsia"/>
                <w:sz w:val="20"/>
                <w:lang w:val="en-US" w:eastAsia="ko-KR"/>
              </w:rPr>
              <w:t>1086r0</w:t>
            </w:r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 </w:t>
            </w:r>
            <w:r w:rsidRPr="001D328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13, 816, 886</w:t>
            </w:r>
          </w:p>
        </w:tc>
      </w:tr>
      <w:tr w:rsidR="00915426" w:rsidRPr="009D6CD3" w:rsidTr="009154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121.00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"9.31.5.2 Rules for VHT sounding protocol sequences" A VHT beamformer shall not transmit either a VHT NDP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Announcement+HTC</w:t>
            </w:r>
            <w:proofErr w:type="spell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frame or a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Beamforming</w:t>
            </w:r>
            <w:proofErr w:type="spell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</w:t>
            </w:r>
            <w:proofErr w:type="spell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ReportPoll+HTC</w:t>
            </w:r>
            <w:proofErr w:type="spell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frame that contains an HT variant HT Control field. Does S1G </w:t>
            </w:r>
            <w:proofErr w:type="gramStart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supports</w:t>
            </w:r>
            <w:proofErr w:type="gramEnd"/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HTC or VHTC?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915426" w:rsidRPr="00915426" w:rsidRDefault="00915426" w:rsidP="000A48A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9D6CD3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Clarify Rules for S1G Sounding Protocol.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1253E" w:rsidRDefault="00D1253E" w:rsidP="00D1253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15426" w:rsidRPr="009D6CD3" w:rsidRDefault="00D1253E" w:rsidP="00D1253E">
            <w:pPr>
              <w:rPr>
                <w:rFonts w:ascii="Gulim" w:eastAsia="Gulim" w:hAnsi="Gulim" w:cs="Gulim"/>
                <w:sz w:val="24"/>
                <w:szCs w:val="24"/>
                <w:lang w:val="en-US" w:eastAsia="ko-KR"/>
              </w:rPr>
            </w:pPr>
            <w:proofErr w:type="spellStart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>TGa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h</w:t>
            </w:r>
            <w:proofErr w:type="spellEnd"/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11-13-</w:t>
            </w:r>
            <w:r w:rsidR="001A555A">
              <w:rPr>
                <w:rFonts w:ascii="Arial" w:eastAsia="Gulim" w:hAnsi="Arial" w:cs="Arial" w:hint="eastAsia"/>
                <w:sz w:val="20"/>
                <w:lang w:val="en-US" w:eastAsia="ko-KR"/>
              </w:rPr>
              <w:t>1086r0</w:t>
            </w:r>
            <w:r w:rsidRPr="00F0664C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 </w:t>
            </w:r>
            <w:r w:rsidRPr="001D328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13, 816, 886</w:t>
            </w:r>
          </w:p>
        </w:tc>
      </w:tr>
    </w:tbl>
    <w:p w:rsidR="009D6CD3" w:rsidRPr="009D6CD3" w:rsidRDefault="009D6CD3" w:rsidP="00F2637D">
      <w:pPr>
        <w:rPr>
          <w:b/>
          <w:bCs/>
          <w:i/>
          <w:iCs/>
          <w:lang w:val="en-US" w:eastAsia="ko-KR"/>
        </w:rPr>
      </w:pPr>
    </w:p>
    <w:p w:rsidR="00234C13" w:rsidRPr="00F0664C" w:rsidRDefault="00234C13" w:rsidP="00234C13">
      <w:pPr>
        <w:rPr>
          <w:b/>
          <w:szCs w:val="22"/>
          <w:u w:val="single"/>
        </w:rPr>
      </w:pPr>
      <w:r w:rsidRPr="00F0664C">
        <w:rPr>
          <w:b/>
          <w:szCs w:val="22"/>
          <w:u w:val="single"/>
        </w:rPr>
        <w:t xml:space="preserve">CID </w:t>
      </w:r>
      <w:r w:rsidR="00EA6DCB" w:rsidRPr="00EA6DCB">
        <w:rPr>
          <w:b/>
          <w:szCs w:val="22"/>
          <w:u w:val="single"/>
          <w:lang w:eastAsia="ko-KR"/>
        </w:rPr>
        <w:t>8</w:t>
      </w:r>
      <w:r w:rsidR="00D1253E">
        <w:rPr>
          <w:rFonts w:hint="eastAsia"/>
          <w:b/>
          <w:szCs w:val="22"/>
          <w:u w:val="single"/>
          <w:lang w:eastAsia="ko-KR"/>
        </w:rPr>
        <w:t>13</w:t>
      </w:r>
      <w:r w:rsidR="00EA6DCB" w:rsidRPr="00EA6DCB">
        <w:rPr>
          <w:b/>
          <w:szCs w:val="22"/>
          <w:u w:val="single"/>
          <w:lang w:eastAsia="ko-KR"/>
        </w:rPr>
        <w:t>, 81</w:t>
      </w:r>
      <w:r w:rsidR="00D1253E">
        <w:rPr>
          <w:rFonts w:hint="eastAsia"/>
          <w:b/>
          <w:szCs w:val="22"/>
          <w:u w:val="single"/>
          <w:lang w:eastAsia="ko-KR"/>
        </w:rPr>
        <w:t>6</w:t>
      </w:r>
      <w:r w:rsidR="00EA6DCB" w:rsidRPr="00EA6DCB">
        <w:rPr>
          <w:b/>
          <w:szCs w:val="22"/>
          <w:u w:val="single"/>
          <w:lang w:eastAsia="ko-KR"/>
        </w:rPr>
        <w:t xml:space="preserve">, </w:t>
      </w:r>
      <w:r w:rsidR="00D1253E">
        <w:rPr>
          <w:rFonts w:hint="eastAsia"/>
          <w:b/>
          <w:szCs w:val="22"/>
          <w:u w:val="single"/>
          <w:lang w:eastAsia="ko-KR"/>
        </w:rPr>
        <w:t>886</w:t>
      </w:r>
    </w:p>
    <w:p w:rsidR="00234C13" w:rsidRPr="00EE11B8" w:rsidRDefault="00234C13" w:rsidP="00234C13">
      <w:pPr>
        <w:rPr>
          <w:szCs w:val="22"/>
          <w:lang w:eastAsia="ko-KR"/>
        </w:rPr>
      </w:pPr>
    </w:p>
    <w:p w:rsidR="00234C13" w:rsidRDefault="00234C13" w:rsidP="00234C13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2F2D67" w:rsidRDefault="00FF376C" w:rsidP="00234C13">
      <w:p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For S1G </w:t>
      </w:r>
      <w:r w:rsidR="00E82BC1">
        <w:rPr>
          <w:rFonts w:hint="eastAsia"/>
          <w:lang w:eastAsia="ko-KR"/>
        </w:rPr>
        <w:t xml:space="preserve">band, the </w:t>
      </w:r>
      <w:r>
        <w:rPr>
          <w:rFonts w:hint="eastAsia"/>
          <w:lang w:eastAsia="ko-KR"/>
        </w:rPr>
        <w:t xml:space="preserve">same VHT </w:t>
      </w:r>
      <w:r w:rsidR="00E82BC1">
        <w:rPr>
          <w:rFonts w:hint="eastAsia"/>
          <w:lang w:eastAsia="ko-KR"/>
        </w:rPr>
        <w:t>sounding pro</w:t>
      </w:r>
      <w:r>
        <w:rPr>
          <w:rFonts w:hint="eastAsia"/>
          <w:lang w:eastAsia="ko-KR"/>
        </w:rPr>
        <w:t>tocol is applied</w:t>
      </w:r>
      <w:r w:rsidR="002F2D67">
        <w:rPr>
          <w:rFonts w:hint="eastAsia"/>
          <w:lang w:eastAsia="ko-KR"/>
        </w:rPr>
        <w:t xml:space="preserve"> to a S1G STA</w:t>
      </w:r>
      <w:r>
        <w:rPr>
          <w:rFonts w:hint="eastAsia"/>
          <w:lang w:eastAsia="ko-KR"/>
        </w:rPr>
        <w:t xml:space="preserve">. </w:t>
      </w:r>
    </w:p>
    <w:p w:rsidR="00FF376C" w:rsidRDefault="00FF376C" w:rsidP="00234C13">
      <w:pPr>
        <w:rPr>
          <w:lang w:eastAsia="ko-KR"/>
        </w:rPr>
      </w:pPr>
      <w:r>
        <w:rPr>
          <w:rFonts w:hint="eastAsia"/>
          <w:lang w:eastAsia="ko-KR"/>
        </w:rPr>
        <w:t xml:space="preserve">But, the S1G NDP Announcement frame and S1G NDP frame are used on the behalf of the VHT NDP Announcement frame and VHT NDP frame, respectively. </w:t>
      </w:r>
    </w:p>
    <w:p w:rsidR="00E82BC1" w:rsidRDefault="00FF376C" w:rsidP="00234C13">
      <w:pPr>
        <w:rPr>
          <w:lang w:eastAsia="ko-KR"/>
        </w:rPr>
      </w:pPr>
      <w:r>
        <w:rPr>
          <w:rFonts w:hint="eastAsia"/>
          <w:lang w:eastAsia="ko-KR"/>
        </w:rPr>
        <w:t xml:space="preserve">However, the VHT NPD frame </w:t>
      </w:r>
      <w:proofErr w:type="spellStart"/>
      <w:r>
        <w:rPr>
          <w:rFonts w:hint="eastAsia"/>
          <w:lang w:eastAsia="ko-KR"/>
        </w:rPr>
        <w:t>can not</w:t>
      </w:r>
      <w:proofErr w:type="spellEnd"/>
      <w:r>
        <w:rPr>
          <w:rFonts w:hint="eastAsia"/>
          <w:lang w:eastAsia="ko-KR"/>
        </w:rPr>
        <w:t xml:space="preserve"> be simply reused from the VHT NDP frame</w:t>
      </w:r>
      <w:r w:rsidR="002F2D67">
        <w:rPr>
          <w:rFonts w:hint="eastAsia"/>
          <w:lang w:eastAsia="ko-KR"/>
        </w:rPr>
        <w:t xml:space="preserve"> b</w:t>
      </w:r>
      <w:r>
        <w:rPr>
          <w:lang w:eastAsia="ko-KR"/>
        </w:rPr>
        <w:t>ecause</w:t>
      </w:r>
      <w:r>
        <w:rPr>
          <w:rFonts w:hint="eastAsia"/>
          <w:lang w:eastAsia="ko-KR"/>
        </w:rPr>
        <w:t xml:space="preserve"> the PPDU format is </w:t>
      </w:r>
      <w:r w:rsidR="002F2D67">
        <w:rPr>
          <w:rFonts w:hint="eastAsia"/>
          <w:lang w:eastAsia="ko-KR"/>
        </w:rPr>
        <w:t xml:space="preserve">very </w:t>
      </w:r>
      <w:r>
        <w:rPr>
          <w:rFonts w:hint="eastAsia"/>
          <w:lang w:eastAsia="ko-KR"/>
        </w:rPr>
        <w:t>different</w:t>
      </w:r>
      <w:r w:rsidR="002F2D67">
        <w:rPr>
          <w:rFonts w:hint="eastAsia"/>
          <w:lang w:eastAsia="ko-KR"/>
        </w:rPr>
        <w:t xml:space="preserve">. </w:t>
      </w:r>
      <w:r w:rsidR="002F2D67" w:rsidRPr="002F2D67">
        <w:rPr>
          <w:lang w:eastAsia="ko-KR"/>
        </w:rPr>
        <w:t xml:space="preserve">So, a transmission </w:t>
      </w:r>
      <w:proofErr w:type="spellStart"/>
      <w:r w:rsidR="002F2D67" w:rsidRPr="002F2D67">
        <w:rPr>
          <w:lang w:eastAsia="ko-KR"/>
        </w:rPr>
        <w:t>behavior</w:t>
      </w:r>
      <w:proofErr w:type="spellEnd"/>
      <w:r w:rsidR="002F2D67" w:rsidRPr="002F2D67">
        <w:rPr>
          <w:lang w:eastAsia="ko-KR"/>
        </w:rPr>
        <w:t xml:space="preserve"> of S1G NDP should be defined.</w:t>
      </w:r>
    </w:p>
    <w:p w:rsidR="005243B4" w:rsidRDefault="005243B4" w:rsidP="00234C13">
      <w:pPr>
        <w:rPr>
          <w:szCs w:val="22"/>
          <w:lang w:eastAsia="ko-KR"/>
        </w:rPr>
      </w:pPr>
    </w:p>
    <w:p w:rsidR="00234C13" w:rsidRPr="00F0664C" w:rsidRDefault="00234C13" w:rsidP="00234C13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4C13" w:rsidRDefault="00234C13" w:rsidP="00234C13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="00EA6DCB" w:rsidRPr="00EA6DCB">
        <w:rPr>
          <w:lang w:eastAsia="ko-KR"/>
        </w:rPr>
        <w:t>8</w:t>
      </w:r>
      <w:r w:rsidR="00B74EB6">
        <w:rPr>
          <w:rFonts w:hint="eastAsia"/>
          <w:lang w:eastAsia="ko-KR"/>
        </w:rPr>
        <w:t>13</w:t>
      </w:r>
      <w:r w:rsidR="00EA6DCB" w:rsidRPr="00EA6DCB">
        <w:rPr>
          <w:lang w:eastAsia="ko-KR"/>
        </w:rPr>
        <w:t>, 81</w:t>
      </w:r>
      <w:r w:rsidR="00B74EB6">
        <w:rPr>
          <w:rFonts w:hint="eastAsia"/>
          <w:lang w:eastAsia="ko-KR"/>
        </w:rPr>
        <w:t>6</w:t>
      </w:r>
      <w:r w:rsidR="00EA6DCB" w:rsidRPr="00EA6DCB">
        <w:rPr>
          <w:lang w:eastAsia="ko-KR"/>
        </w:rPr>
        <w:t xml:space="preserve">, </w:t>
      </w:r>
      <w:r w:rsidR="00B74EB6">
        <w:rPr>
          <w:rFonts w:hint="eastAsia"/>
          <w:lang w:eastAsia="ko-KR"/>
        </w:rPr>
        <w:t>886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11-13/</w:t>
      </w:r>
      <w:r w:rsidR="001A555A">
        <w:rPr>
          <w:rFonts w:hint="eastAsia"/>
          <w:lang w:eastAsia="ko-KR"/>
        </w:rPr>
        <w:t>1086r0</w:t>
      </w:r>
      <w:r>
        <w:rPr>
          <w:rFonts w:hint="eastAsia"/>
          <w:lang w:eastAsia="ko-KR"/>
        </w:rPr>
        <w:t>.</w:t>
      </w:r>
    </w:p>
    <w:p w:rsidR="00B74EB6" w:rsidRDefault="00B74EB6" w:rsidP="00CD0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:rsidR="00B74EB6" w:rsidRDefault="00B74EB6" w:rsidP="00B74EB6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Insert the following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>after the sub-clause 9.31.6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B74EB6" w:rsidRPr="00135607" w:rsidRDefault="00B74EB6" w:rsidP="00B74EB6">
      <w:pPr>
        <w:pStyle w:val="H3"/>
        <w:rPr>
          <w:w w:val="100"/>
          <w:u w:val="single"/>
        </w:rPr>
      </w:pPr>
      <w:bookmarkStart w:id="1" w:name="RTF33383531383a2048332c312e"/>
      <w:r w:rsidRPr="00135607">
        <w:rPr>
          <w:rFonts w:hint="eastAsia"/>
          <w:w w:val="100"/>
          <w:u w:val="single"/>
          <w:lang w:eastAsia="ko-KR"/>
        </w:rPr>
        <w:t xml:space="preserve">9.31.6a </w:t>
      </w:r>
      <w:r w:rsidRPr="00135607">
        <w:rPr>
          <w:w w:val="100"/>
          <w:u w:val="single"/>
        </w:rPr>
        <w:t xml:space="preserve">Transmission of a </w:t>
      </w:r>
      <w:r w:rsidRPr="00135607">
        <w:rPr>
          <w:rFonts w:hint="eastAsia"/>
          <w:w w:val="100"/>
          <w:u w:val="single"/>
          <w:lang w:eastAsia="ko-KR"/>
        </w:rPr>
        <w:t xml:space="preserve">S1G </w:t>
      </w:r>
      <w:r w:rsidRPr="00135607">
        <w:rPr>
          <w:w w:val="100"/>
          <w:u w:val="single"/>
        </w:rPr>
        <w:t>NDP</w:t>
      </w:r>
      <w:bookmarkEnd w:id="1"/>
    </w:p>
    <w:p w:rsidR="00CB19B0" w:rsidRPr="00135607" w:rsidRDefault="00B74EB6" w:rsidP="00B74EB6">
      <w:pPr>
        <w:pStyle w:val="Body"/>
        <w:rPr>
          <w:w w:val="100"/>
          <w:u w:val="single"/>
        </w:rPr>
      </w:pPr>
      <w:r w:rsidRPr="00135607">
        <w:rPr>
          <w:w w:val="100"/>
          <w:u w:val="single"/>
        </w:rPr>
        <w:t xml:space="preserve">A </w:t>
      </w:r>
      <w:r w:rsidRPr="00135607">
        <w:rPr>
          <w:rFonts w:hint="eastAsia"/>
          <w:w w:val="100"/>
          <w:u w:val="single"/>
        </w:rPr>
        <w:t xml:space="preserve">S1G </w:t>
      </w:r>
      <w:r w:rsidRPr="00135607">
        <w:rPr>
          <w:w w:val="100"/>
          <w:u w:val="single"/>
        </w:rPr>
        <w:t xml:space="preserve">NDP shall use the </w:t>
      </w:r>
      <w:r w:rsidRPr="00135607">
        <w:rPr>
          <w:rFonts w:hint="eastAsia"/>
          <w:w w:val="100"/>
          <w:u w:val="single"/>
        </w:rPr>
        <w:t xml:space="preserve">2MHz short </w:t>
      </w:r>
      <w:r w:rsidRPr="00135607">
        <w:rPr>
          <w:w w:val="100"/>
          <w:u w:val="single"/>
        </w:rPr>
        <w:t>format as described in 2</w:t>
      </w:r>
      <w:r w:rsidR="00CB19B0" w:rsidRPr="00135607">
        <w:rPr>
          <w:rFonts w:hint="eastAsia"/>
          <w:w w:val="100"/>
          <w:u w:val="single"/>
        </w:rPr>
        <w:t>4</w:t>
      </w:r>
      <w:r w:rsidRPr="00135607">
        <w:rPr>
          <w:w w:val="100"/>
          <w:u w:val="single"/>
        </w:rPr>
        <w:t xml:space="preserve">.1.4 (PPDU formats). A </w:t>
      </w:r>
      <w:r w:rsidR="00CB19B0" w:rsidRPr="00135607">
        <w:rPr>
          <w:rFonts w:hint="eastAsia"/>
          <w:w w:val="100"/>
          <w:u w:val="single"/>
        </w:rPr>
        <w:t xml:space="preserve">S1G </w:t>
      </w:r>
      <w:r w:rsidRPr="00135607">
        <w:rPr>
          <w:w w:val="100"/>
          <w:u w:val="single"/>
        </w:rPr>
        <w:t xml:space="preserve">STA shall transmit a </w:t>
      </w:r>
      <w:r w:rsidR="00CB19B0" w:rsidRPr="00135607">
        <w:rPr>
          <w:rFonts w:hint="eastAsia"/>
          <w:w w:val="100"/>
          <w:u w:val="single"/>
        </w:rPr>
        <w:t>S1G</w:t>
      </w:r>
      <w:r w:rsidRPr="00135607">
        <w:rPr>
          <w:w w:val="100"/>
          <w:u w:val="single"/>
        </w:rPr>
        <w:t xml:space="preserve"> NDP using the following TXVECTOR parameters:</w:t>
      </w:r>
    </w:p>
    <w:p w:rsidR="00CB19B0" w:rsidRPr="00135607" w:rsidRDefault="00CB19B0" w:rsidP="00CB19B0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w w:val="100"/>
          <w:u w:val="single"/>
        </w:rPr>
        <w:t>APEP_LENGTH set to 0</w:t>
      </w:r>
    </w:p>
    <w:p w:rsidR="00CB19B0" w:rsidRPr="00135607" w:rsidRDefault="00CB19B0" w:rsidP="00CB19B0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w w:val="100"/>
          <w:u w:val="single"/>
        </w:rPr>
        <w:t>NUM_USERS set to 1</w:t>
      </w:r>
    </w:p>
    <w:p w:rsidR="00CB19B0" w:rsidRPr="00135607" w:rsidRDefault="00CB19B0" w:rsidP="00CB19B0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w w:val="100"/>
          <w:u w:val="single"/>
        </w:rPr>
        <w:t xml:space="preserve">CH_BANDWIDTH set to the same value as the TXVECTOR parameter CH_BANDWIDTH in the preceding </w:t>
      </w:r>
      <w:r w:rsidRPr="00135607">
        <w:rPr>
          <w:rFonts w:hint="eastAsia"/>
          <w:w w:val="100"/>
          <w:u w:val="single"/>
          <w:lang w:eastAsia="ko-KR"/>
        </w:rPr>
        <w:t>S1G</w:t>
      </w:r>
      <w:r w:rsidRPr="00135607">
        <w:rPr>
          <w:w w:val="100"/>
          <w:u w:val="single"/>
        </w:rPr>
        <w:t xml:space="preserve"> NDP Announcement frame</w:t>
      </w:r>
    </w:p>
    <w:p w:rsidR="00D07DA7" w:rsidRPr="00135607" w:rsidRDefault="00D07DA7" w:rsidP="00B74EB6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w w:val="100"/>
          <w:u w:val="single"/>
        </w:rPr>
        <w:t>NUM_STS indicates two or more space-time streams</w:t>
      </w:r>
    </w:p>
    <w:p w:rsidR="00B74EB6" w:rsidRPr="00135607" w:rsidRDefault="00CB19B0" w:rsidP="00B74EB6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w w:val="100"/>
          <w:u w:val="single"/>
        </w:rPr>
        <w:t>PARTIAL_AID are set as described in</w:t>
      </w:r>
      <w:r w:rsidRPr="00135607">
        <w:rPr>
          <w:rFonts w:hint="eastAsia"/>
          <w:w w:val="100"/>
          <w:u w:val="single"/>
          <w:lang w:eastAsia="ko-KR"/>
        </w:rPr>
        <w:t xml:space="preserve"> 9.17b (Group ID and partial AID in S1G PPDUs) </w:t>
      </w:r>
    </w:p>
    <w:p w:rsidR="00D07DA7" w:rsidRPr="00135607" w:rsidRDefault="00D07DA7" w:rsidP="00B74EB6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rFonts w:hint="eastAsia"/>
          <w:w w:val="100"/>
          <w:u w:val="single"/>
          <w:lang w:eastAsia="ko-KR"/>
        </w:rPr>
        <w:t xml:space="preserve">NDP_INDICATION set to 0 </w:t>
      </w:r>
    </w:p>
    <w:p w:rsidR="00D07DA7" w:rsidRPr="00135607" w:rsidRDefault="00D07DA7" w:rsidP="00B74EB6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  <w:u w:val="single"/>
        </w:rPr>
      </w:pPr>
      <w:r w:rsidRPr="00135607">
        <w:rPr>
          <w:rFonts w:hint="eastAsia"/>
          <w:w w:val="100"/>
          <w:u w:val="single"/>
          <w:lang w:eastAsia="ko-KR"/>
        </w:rPr>
        <w:t xml:space="preserve">RESPONSE_INDICATION set to </w:t>
      </w:r>
      <w:proofErr w:type="spellStart"/>
      <w:r w:rsidRPr="00135607">
        <w:rPr>
          <w:rFonts w:hint="eastAsia"/>
          <w:w w:val="100"/>
          <w:u w:val="single"/>
          <w:lang w:eastAsia="ko-KR"/>
        </w:rPr>
        <w:t>Long_Response</w:t>
      </w:r>
      <w:proofErr w:type="spellEnd"/>
    </w:p>
    <w:p w:rsidR="00B74EB6" w:rsidRPr="00135607" w:rsidRDefault="00B74EB6" w:rsidP="00B74EB6">
      <w:pPr>
        <w:pStyle w:val="Body"/>
        <w:rPr>
          <w:w w:val="100"/>
          <w:u w:val="single"/>
        </w:rPr>
      </w:pPr>
      <w:r w:rsidRPr="002768AC">
        <w:rPr>
          <w:w w:val="100"/>
          <w:u w:val="single"/>
        </w:rPr>
        <w:t>The number of space-time streams sounded and</w:t>
      </w:r>
      <w:bookmarkStart w:id="2" w:name="_GoBack"/>
      <w:bookmarkEnd w:id="2"/>
      <w:r w:rsidRPr="002768AC">
        <w:rPr>
          <w:w w:val="100"/>
          <w:u w:val="single"/>
        </w:rPr>
        <w:t xml:space="preserve"> as indicated by the NUM_STS parameter shall not exceed the value indicated in the Beamformee STS Capability field in the VHT Capabilities element of any intended recipient of the </w:t>
      </w:r>
      <w:r w:rsidR="00135607" w:rsidRPr="002768AC">
        <w:rPr>
          <w:rFonts w:hint="eastAsia"/>
          <w:w w:val="100"/>
          <w:u w:val="single"/>
        </w:rPr>
        <w:t>S1G</w:t>
      </w:r>
      <w:r w:rsidRPr="002768AC">
        <w:rPr>
          <w:w w:val="100"/>
          <w:u w:val="single"/>
        </w:rPr>
        <w:t xml:space="preserve"> NDP. The NUM_STS parameter may be set to any value, subject to the constraint of the previous sentence, regardless of the value of the Supported </w:t>
      </w:r>
      <w:r w:rsidR="00135607" w:rsidRPr="002768AC">
        <w:rPr>
          <w:rFonts w:hint="eastAsia"/>
          <w:w w:val="100"/>
          <w:u w:val="single"/>
        </w:rPr>
        <w:t>S1G</w:t>
      </w:r>
      <w:r w:rsidRPr="002768AC">
        <w:rPr>
          <w:w w:val="100"/>
          <w:u w:val="single"/>
        </w:rPr>
        <w:t xml:space="preserve">-MCS and NSS Set field of the </w:t>
      </w:r>
      <w:r w:rsidR="00135607" w:rsidRPr="002768AC">
        <w:rPr>
          <w:rFonts w:hint="eastAsia"/>
          <w:w w:val="100"/>
          <w:u w:val="single"/>
        </w:rPr>
        <w:t>S1G</w:t>
      </w:r>
      <w:r w:rsidRPr="002768AC">
        <w:rPr>
          <w:w w:val="100"/>
          <w:u w:val="single"/>
        </w:rPr>
        <w:t xml:space="preserve"> Capabilities element </w:t>
      </w:r>
      <w:r w:rsidR="00BF3E3A" w:rsidRPr="002768AC">
        <w:rPr>
          <w:w w:val="100"/>
          <w:u w:val="single"/>
        </w:rPr>
        <w:t xml:space="preserve">transmitted by </w:t>
      </w:r>
      <w:r w:rsidRPr="002768AC">
        <w:rPr>
          <w:w w:val="100"/>
          <w:u w:val="single"/>
        </w:rPr>
        <w:t xml:space="preserve">either the transmitter or recipient of the </w:t>
      </w:r>
      <w:r w:rsidR="00135607" w:rsidRPr="002768AC">
        <w:rPr>
          <w:rFonts w:hint="eastAsia"/>
          <w:w w:val="100"/>
          <w:u w:val="single"/>
        </w:rPr>
        <w:t xml:space="preserve">S1G </w:t>
      </w:r>
      <w:r w:rsidRPr="002768AC">
        <w:rPr>
          <w:w w:val="100"/>
          <w:u w:val="single"/>
        </w:rPr>
        <w:t>NDP.</w:t>
      </w:r>
    </w:p>
    <w:p w:rsidR="00B74EB6" w:rsidRPr="00135607" w:rsidRDefault="00B74EB6" w:rsidP="00B74EB6">
      <w:pPr>
        <w:pStyle w:val="Body"/>
        <w:rPr>
          <w:w w:val="100"/>
          <w:u w:val="single"/>
        </w:rPr>
      </w:pPr>
      <w:r w:rsidRPr="00135607">
        <w:rPr>
          <w:w w:val="100"/>
          <w:u w:val="single"/>
        </w:rPr>
        <w:t xml:space="preserve">The destination of a </w:t>
      </w:r>
      <w:r w:rsidR="00135607" w:rsidRPr="00135607">
        <w:rPr>
          <w:rFonts w:hint="eastAsia"/>
          <w:w w:val="100"/>
          <w:u w:val="single"/>
        </w:rPr>
        <w:t>S1G</w:t>
      </w:r>
      <w:r w:rsidRPr="00135607">
        <w:rPr>
          <w:w w:val="100"/>
          <w:u w:val="single"/>
        </w:rPr>
        <w:t xml:space="preserve"> NDP is equal to the RA of the immediately preceding </w:t>
      </w:r>
      <w:r w:rsidR="00135607" w:rsidRPr="00135607">
        <w:rPr>
          <w:rFonts w:hint="eastAsia"/>
          <w:w w:val="100"/>
          <w:u w:val="single"/>
        </w:rPr>
        <w:t>S1G</w:t>
      </w:r>
      <w:r w:rsidRPr="00135607">
        <w:rPr>
          <w:w w:val="100"/>
          <w:u w:val="single"/>
        </w:rPr>
        <w:t xml:space="preserve"> NDP Announcement frame.</w:t>
      </w:r>
    </w:p>
    <w:p w:rsidR="00B74EB6" w:rsidRPr="00135607" w:rsidRDefault="00B74EB6" w:rsidP="00B74EB6">
      <w:pPr>
        <w:pStyle w:val="Body"/>
        <w:rPr>
          <w:w w:val="100"/>
          <w:u w:val="single"/>
        </w:rPr>
      </w:pPr>
      <w:r w:rsidRPr="00135607">
        <w:rPr>
          <w:w w:val="100"/>
          <w:u w:val="single"/>
        </w:rPr>
        <w:t xml:space="preserve">The source of a </w:t>
      </w:r>
      <w:r w:rsidR="00135607" w:rsidRPr="00135607">
        <w:rPr>
          <w:rFonts w:hint="eastAsia"/>
          <w:w w:val="100"/>
          <w:u w:val="single"/>
        </w:rPr>
        <w:t>S1G</w:t>
      </w:r>
      <w:r w:rsidRPr="00135607">
        <w:rPr>
          <w:w w:val="100"/>
          <w:u w:val="single"/>
        </w:rPr>
        <w:t xml:space="preserve"> NDP is equal to the TA of the immediately preceding </w:t>
      </w:r>
      <w:r w:rsidR="00135607" w:rsidRPr="00135607">
        <w:rPr>
          <w:rFonts w:hint="eastAsia"/>
          <w:w w:val="100"/>
          <w:u w:val="single"/>
        </w:rPr>
        <w:t>S1G</w:t>
      </w:r>
      <w:r w:rsidRPr="00135607">
        <w:rPr>
          <w:w w:val="100"/>
          <w:u w:val="single"/>
        </w:rPr>
        <w:t xml:space="preserve"> NDP Announcement frame.</w:t>
      </w:r>
    </w:p>
    <w:p w:rsidR="00656882" w:rsidRPr="00366AF0" w:rsidRDefault="00656882" w:rsidP="00CD0A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</w:p>
    <w:sectPr w:rsidR="00656882" w:rsidRPr="00366AF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06" w:rsidRDefault="003A6E06">
      <w:r>
        <w:separator/>
      </w:r>
    </w:p>
  </w:endnote>
  <w:endnote w:type="continuationSeparator" w:id="0">
    <w:p w:rsidR="003A6E06" w:rsidRDefault="003A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A3" w:rsidRDefault="000E661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A48A3">
        <w:t>Submission</w:t>
      </w:r>
    </w:fldSimple>
    <w:r w:rsidR="000A48A3">
      <w:tab/>
      <w:t xml:space="preserve">page </w:t>
    </w:r>
    <w:r>
      <w:fldChar w:fldCharType="begin"/>
    </w:r>
    <w:r w:rsidR="00ED3E18">
      <w:instrText xml:space="preserve">page </w:instrText>
    </w:r>
    <w:r>
      <w:fldChar w:fldCharType="separate"/>
    </w:r>
    <w:r w:rsidR="001A555A">
      <w:rPr>
        <w:noProof/>
      </w:rPr>
      <w:t>5</w:t>
    </w:r>
    <w:r>
      <w:rPr>
        <w:noProof/>
      </w:rPr>
      <w:fldChar w:fldCharType="end"/>
    </w:r>
    <w:r w:rsidR="000A48A3">
      <w:tab/>
    </w:r>
    <w:r w:rsidR="000A48A3">
      <w:rPr>
        <w:rFonts w:hint="eastAsia"/>
        <w:lang w:eastAsia="ko-KR"/>
      </w:rPr>
      <w:t>Yongho Seok</w:t>
    </w:r>
    <w:r w:rsidR="000A48A3">
      <w:t xml:space="preserve">, </w:t>
    </w:r>
    <w:r w:rsidR="000A48A3">
      <w:rPr>
        <w:rFonts w:hint="eastAsia"/>
        <w:lang w:eastAsia="ko-KR"/>
      </w:rPr>
      <w:t>LG Electronics</w:t>
    </w:r>
  </w:p>
  <w:p w:rsidR="000A48A3" w:rsidRDefault="000A48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06" w:rsidRDefault="003A6E06">
      <w:r>
        <w:separator/>
      </w:r>
    </w:p>
  </w:footnote>
  <w:footnote w:type="continuationSeparator" w:id="0">
    <w:p w:rsidR="003A6E06" w:rsidRDefault="003A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A3" w:rsidRDefault="000A48A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September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1A555A">
        <w:rPr>
          <w:rFonts w:hint="eastAsia"/>
          <w:lang w:eastAsia="ko-KR"/>
        </w:rPr>
        <w:t>1086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893ECE"/>
    <w:multiLevelType w:val="multilevel"/>
    <w:tmpl w:val="6B06445A"/>
    <w:lvl w:ilvl="0">
      <w:start w:val="9"/>
      <w:numFmt w:val="decimal"/>
      <w:lvlText w:val="%1"/>
      <w:lvlJc w:val="left"/>
      <w:pPr>
        <w:ind w:left="540" w:hanging="540"/>
      </w:pPr>
      <w:rPr>
        <w:rFonts w:ascii="Arial-BoldMT" w:hAnsi="Arial-BoldMT" w:cs="Arial-BoldMT" w:hint="default"/>
        <w:b/>
      </w:rPr>
    </w:lvl>
    <w:lvl w:ilvl="1">
      <w:start w:val="31"/>
      <w:numFmt w:val="decimal"/>
      <w:lvlText w:val="%1.%2"/>
      <w:lvlJc w:val="left"/>
      <w:pPr>
        <w:ind w:left="540" w:hanging="540"/>
      </w:pPr>
      <w:rPr>
        <w:rFonts w:ascii="Arial-BoldMT" w:hAnsi="Arial-BoldMT" w:cs="Arial-BoldMT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Arial-BoldMT" w:hAnsi="Arial-BoldMT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-BoldMT" w:hAnsi="Arial-BoldMT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-BoldMT" w:hAnsi="Arial-BoldMT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-BoldMT" w:hAnsi="Arial-BoldMT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-BoldMT" w:hAnsi="Arial-BoldMT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-BoldMT" w:hAnsi="Arial-BoldMT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-BoldMT" w:hAnsi="Arial-BoldMT" w:cs="Arial-BoldMT" w:hint="default"/>
        <w:b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90640"/>
    <w:rsid w:val="00094FFA"/>
    <w:rsid w:val="000A48A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661A"/>
    <w:rsid w:val="000E720C"/>
    <w:rsid w:val="000F4937"/>
    <w:rsid w:val="000F5088"/>
    <w:rsid w:val="000F685B"/>
    <w:rsid w:val="001015F8"/>
    <w:rsid w:val="00105918"/>
    <w:rsid w:val="001109AA"/>
    <w:rsid w:val="00112C6A"/>
    <w:rsid w:val="00115A75"/>
    <w:rsid w:val="00120298"/>
    <w:rsid w:val="001215C0"/>
    <w:rsid w:val="00122D51"/>
    <w:rsid w:val="001275D7"/>
    <w:rsid w:val="00134114"/>
    <w:rsid w:val="00135607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43F7"/>
    <w:rsid w:val="001A2240"/>
    <w:rsid w:val="001A555A"/>
    <w:rsid w:val="001B252D"/>
    <w:rsid w:val="001B2904"/>
    <w:rsid w:val="001B63BC"/>
    <w:rsid w:val="001C7CCE"/>
    <w:rsid w:val="001D15ED"/>
    <w:rsid w:val="001D328B"/>
    <w:rsid w:val="001D4A93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0F15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70AC"/>
    <w:rsid w:val="00252D47"/>
    <w:rsid w:val="00255A8B"/>
    <w:rsid w:val="002662A5"/>
    <w:rsid w:val="00273257"/>
    <w:rsid w:val="002768AC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2D67"/>
    <w:rsid w:val="002F376B"/>
    <w:rsid w:val="002F5C8C"/>
    <w:rsid w:val="002F7199"/>
    <w:rsid w:val="002F7D11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787F"/>
    <w:rsid w:val="003A161F"/>
    <w:rsid w:val="003A1693"/>
    <w:rsid w:val="003A1CC7"/>
    <w:rsid w:val="003A3196"/>
    <w:rsid w:val="003A478D"/>
    <w:rsid w:val="003A5BFF"/>
    <w:rsid w:val="003A6E06"/>
    <w:rsid w:val="003B4DAD"/>
    <w:rsid w:val="003B52F2"/>
    <w:rsid w:val="003B76BD"/>
    <w:rsid w:val="003C47D1"/>
    <w:rsid w:val="003C74FF"/>
    <w:rsid w:val="003D1D90"/>
    <w:rsid w:val="003D26A5"/>
    <w:rsid w:val="003D3623"/>
    <w:rsid w:val="003D4CDC"/>
    <w:rsid w:val="003D5013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40FF1"/>
    <w:rsid w:val="004417F2"/>
    <w:rsid w:val="00442799"/>
    <w:rsid w:val="004452DF"/>
    <w:rsid w:val="004507E7"/>
    <w:rsid w:val="00450CC0"/>
    <w:rsid w:val="00457028"/>
    <w:rsid w:val="00457FA3"/>
    <w:rsid w:val="0047267B"/>
    <w:rsid w:val="00475A71"/>
    <w:rsid w:val="0049468A"/>
    <w:rsid w:val="004A0AF4"/>
    <w:rsid w:val="004B12C1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972"/>
    <w:rsid w:val="004F0CB7"/>
    <w:rsid w:val="004F4564"/>
    <w:rsid w:val="0050128F"/>
    <w:rsid w:val="00501E52"/>
    <w:rsid w:val="00504958"/>
    <w:rsid w:val="00504AA2"/>
    <w:rsid w:val="005065EB"/>
    <w:rsid w:val="00515F36"/>
    <w:rsid w:val="00517ED6"/>
    <w:rsid w:val="00520B8C"/>
    <w:rsid w:val="0052151C"/>
    <w:rsid w:val="005243B4"/>
    <w:rsid w:val="00527489"/>
    <w:rsid w:val="00527BB3"/>
    <w:rsid w:val="00531734"/>
    <w:rsid w:val="0054235E"/>
    <w:rsid w:val="0054425D"/>
    <w:rsid w:val="0055459B"/>
    <w:rsid w:val="00554995"/>
    <w:rsid w:val="00554EEF"/>
    <w:rsid w:val="00567934"/>
    <w:rsid w:val="005702B6"/>
    <w:rsid w:val="005703A1"/>
    <w:rsid w:val="00571583"/>
    <w:rsid w:val="00572E7A"/>
    <w:rsid w:val="00585D8F"/>
    <w:rsid w:val="00586072"/>
    <w:rsid w:val="0058644C"/>
    <w:rsid w:val="00591351"/>
    <w:rsid w:val="00596413"/>
    <w:rsid w:val="00596B6A"/>
    <w:rsid w:val="005A16CF"/>
    <w:rsid w:val="005A2ECA"/>
    <w:rsid w:val="005B151D"/>
    <w:rsid w:val="005B34A6"/>
    <w:rsid w:val="005B6C67"/>
    <w:rsid w:val="005C0CBC"/>
    <w:rsid w:val="005C4204"/>
    <w:rsid w:val="005C6823"/>
    <w:rsid w:val="005D33B5"/>
    <w:rsid w:val="005D5C6E"/>
    <w:rsid w:val="005E768D"/>
    <w:rsid w:val="005F19DD"/>
    <w:rsid w:val="005F5ADA"/>
    <w:rsid w:val="005F695C"/>
    <w:rsid w:val="00600A10"/>
    <w:rsid w:val="00615E8C"/>
    <w:rsid w:val="00621286"/>
    <w:rsid w:val="0062254C"/>
    <w:rsid w:val="0062298E"/>
    <w:rsid w:val="0062440B"/>
    <w:rsid w:val="006254B0"/>
    <w:rsid w:val="006302F7"/>
    <w:rsid w:val="00631EB7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5C82"/>
    <w:rsid w:val="006A7F86"/>
    <w:rsid w:val="006B5DAD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513CD"/>
    <w:rsid w:val="0076196C"/>
    <w:rsid w:val="00766B1A"/>
    <w:rsid w:val="00766DFE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4D44"/>
    <w:rsid w:val="007D50FF"/>
    <w:rsid w:val="007D6B5D"/>
    <w:rsid w:val="007E21DF"/>
    <w:rsid w:val="007E5479"/>
    <w:rsid w:val="007F2366"/>
    <w:rsid w:val="007F4C4E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30ACB"/>
    <w:rsid w:val="00831EDC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76B0"/>
    <w:rsid w:val="0088012D"/>
    <w:rsid w:val="00881C47"/>
    <w:rsid w:val="00887583"/>
    <w:rsid w:val="00891445"/>
    <w:rsid w:val="00897183"/>
    <w:rsid w:val="008A5AFD"/>
    <w:rsid w:val="008B47B4"/>
    <w:rsid w:val="008B5396"/>
    <w:rsid w:val="008B5D21"/>
    <w:rsid w:val="008C4913"/>
    <w:rsid w:val="008C5478"/>
    <w:rsid w:val="008C57E5"/>
    <w:rsid w:val="008C5AD6"/>
    <w:rsid w:val="008C5D4E"/>
    <w:rsid w:val="008C7A4B"/>
    <w:rsid w:val="008D0C05"/>
    <w:rsid w:val="008D0EA6"/>
    <w:rsid w:val="008D71CE"/>
    <w:rsid w:val="008E0E94"/>
    <w:rsid w:val="008E444B"/>
    <w:rsid w:val="008F039B"/>
    <w:rsid w:val="008F1C67"/>
    <w:rsid w:val="008F238D"/>
    <w:rsid w:val="008F6B90"/>
    <w:rsid w:val="00905A7F"/>
    <w:rsid w:val="00910F8F"/>
    <w:rsid w:val="0091118D"/>
    <w:rsid w:val="00915426"/>
    <w:rsid w:val="009225A7"/>
    <w:rsid w:val="00927FEB"/>
    <w:rsid w:val="00936D66"/>
    <w:rsid w:val="0094091B"/>
    <w:rsid w:val="00944591"/>
    <w:rsid w:val="00944CAA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A93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6CD3"/>
    <w:rsid w:val="009E08D2"/>
    <w:rsid w:val="009E2785"/>
    <w:rsid w:val="009F3F07"/>
    <w:rsid w:val="00A00EE5"/>
    <w:rsid w:val="00A049E2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844CE"/>
    <w:rsid w:val="00A90385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6723"/>
    <w:rsid w:val="00AD6AE6"/>
    <w:rsid w:val="00B0051A"/>
    <w:rsid w:val="00B03DB7"/>
    <w:rsid w:val="00B04957"/>
    <w:rsid w:val="00B04CB8"/>
    <w:rsid w:val="00B11981"/>
    <w:rsid w:val="00B16515"/>
    <w:rsid w:val="00B24CD7"/>
    <w:rsid w:val="00B447D8"/>
    <w:rsid w:val="00B45A5E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4EB6"/>
    <w:rsid w:val="00B753D1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3E62"/>
    <w:rsid w:val="00BF321B"/>
    <w:rsid w:val="00BF3773"/>
    <w:rsid w:val="00BF3E14"/>
    <w:rsid w:val="00BF3E3A"/>
    <w:rsid w:val="00BF4644"/>
    <w:rsid w:val="00BF59F4"/>
    <w:rsid w:val="00C03B8D"/>
    <w:rsid w:val="00C04532"/>
    <w:rsid w:val="00C06D1A"/>
    <w:rsid w:val="00C078F3"/>
    <w:rsid w:val="00C1356B"/>
    <w:rsid w:val="00C237F5"/>
    <w:rsid w:val="00C24241"/>
    <w:rsid w:val="00C24A70"/>
    <w:rsid w:val="00C317AA"/>
    <w:rsid w:val="00C325C5"/>
    <w:rsid w:val="00C36247"/>
    <w:rsid w:val="00C45A69"/>
    <w:rsid w:val="00C46AA2"/>
    <w:rsid w:val="00C542F0"/>
    <w:rsid w:val="00C55F0E"/>
    <w:rsid w:val="00C57CDB"/>
    <w:rsid w:val="00C60A9B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19B0"/>
    <w:rsid w:val="00CB7A46"/>
    <w:rsid w:val="00CC3806"/>
    <w:rsid w:val="00CD0ABD"/>
    <w:rsid w:val="00CD259C"/>
    <w:rsid w:val="00CE3DDC"/>
    <w:rsid w:val="00CF16FB"/>
    <w:rsid w:val="00CF2295"/>
    <w:rsid w:val="00CF3BDE"/>
    <w:rsid w:val="00D03FF4"/>
    <w:rsid w:val="00D07ABE"/>
    <w:rsid w:val="00D07DA7"/>
    <w:rsid w:val="00D1253E"/>
    <w:rsid w:val="00D307A6"/>
    <w:rsid w:val="00D36C35"/>
    <w:rsid w:val="00D42073"/>
    <w:rsid w:val="00D43410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B25E0"/>
    <w:rsid w:val="00DB6B0C"/>
    <w:rsid w:val="00DB7D1B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3689"/>
    <w:rsid w:val="00E0769B"/>
    <w:rsid w:val="00E07E4A"/>
    <w:rsid w:val="00E23AA5"/>
    <w:rsid w:val="00E33BC3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2BC1"/>
    <w:rsid w:val="00E873C2"/>
    <w:rsid w:val="00E9535F"/>
    <w:rsid w:val="00EA48D0"/>
    <w:rsid w:val="00EA6DCB"/>
    <w:rsid w:val="00ED3E18"/>
    <w:rsid w:val="00ED6FC5"/>
    <w:rsid w:val="00EE2AF3"/>
    <w:rsid w:val="00EE55B2"/>
    <w:rsid w:val="00EE7DA9"/>
    <w:rsid w:val="00EF34D3"/>
    <w:rsid w:val="00EF6B9E"/>
    <w:rsid w:val="00F04FF6"/>
    <w:rsid w:val="00F05AE3"/>
    <w:rsid w:val="00F109FC"/>
    <w:rsid w:val="00F2561F"/>
    <w:rsid w:val="00F2637D"/>
    <w:rsid w:val="00F342FD"/>
    <w:rsid w:val="00F34E9E"/>
    <w:rsid w:val="00F41684"/>
    <w:rsid w:val="00F455E0"/>
    <w:rsid w:val="00F45E7C"/>
    <w:rsid w:val="00F5458D"/>
    <w:rsid w:val="00F659E1"/>
    <w:rsid w:val="00F808C5"/>
    <w:rsid w:val="00F832E1"/>
    <w:rsid w:val="00F85369"/>
    <w:rsid w:val="00F93DC9"/>
    <w:rsid w:val="00F94872"/>
    <w:rsid w:val="00F967E0"/>
    <w:rsid w:val="00F96A6A"/>
    <w:rsid w:val="00FA35EA"/>
    <w:rsid w:val="00FA5D88"/>
    <w:rsid w:val="00FA6D0A"/>
    <w:rsid w:val="00FA751A"/>
    <w:rsid w:val="00FB015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376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B74EB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B74EB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DE0C-43A5-49A3-834F-85490FB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8389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7</cp:revision>
  <cp:lastPrinted>2010-05-04T03:47:00Z</cp:lastPrinted>
  <dcterms:created xsi:type="dcterms:W3CDTF">2013-09-11T08:19:00Z</dcterms:created>
  <dcterms:modified xsi:type="dcterms:W3CDTF">2013-09-14T02:08:00Z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-1785014604</vt:i4>
  </property>
  <property fmtid="{D5CDD505-2E9C-101B-9397-08002B2CF9AE}" pid="3" name="_NewReviewCycle">
    <vt:lpwstr/>
  </property>
  <property fmtid="{D5CDD505-2E9C-101B-9397-08002B2CF9AE}" pid="4" name="_EmailSubject">
    <vt:lpwstr>CID for CID 813+816+825+826+886 - Deadline 07:00pm 13/09/12 (Thursday) PDT - Opportunity to Object to Resolution</vt:lpwstr>
  </property>
  <property fmtid="{D5CDD505-2E9C-101B-9397-08002B2CF9AE}" pid="5" name="_AuthorEmail">
    <vt:lpwstr>mfischer@broadcom.com</vt:lpwstr>
  </property>
  <property fmtid="{D5CDD505-2E9C-101B-9397-08002B2CF9AE}" pid="6" name="_AuthorEmailDisplayName">
    <vt:lpwstr>Matthew Fischer</vt:lpwstr>
  </property>
  <property fmtid="{D5CDD505-2E9C-101B-9397-08002B2CF9AE}" pid="7" name="_ReviewingToolsShownOnce">
    <vt:lpwstr/>
  </property>
</Properties>
</file>