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06"/>
        <w:gridCol w:w="1530"/>
        <w:gridCol w:w="2375"/>
      </w:tblGrid>
      <w:tr w:rsidR="00CA09B2" w:rsidTr="00A0234F">
        <w:trPr>
          <w:trHeight w:val="485"/>
          <w:jc w:val="center"/>
        </w:trPr>
        <w:tc>
          <w:tcPr>
            <w:tcW w:w="8711" w:type="dxa"/>
            <w:gridSpan w:val="5"/>
            <w:vAlign w:val="center"/>
          </w:tcPr>
          <w:p w:rsidR="00CA09B2" w:rsidRDefault="00A0234F">
            <w:pPr>
              <w:pStyle w:val="T2"/>
            </w:pPr>
            <w:r>
              <w:t>Comment Collection 09 MAC CIDs (Comment Resolutions for CC09)</w:t>
            </w:r>
          </w:p>
        </w:tc>
      </w:tr>
      <w:tr w:rsidR="00CA09B2" w:rsidTr="00A0234F">
        <w:trPr>
          <w:trHeight w:val="359"/>
          <w:jc w:val="center"/>
        </w:trPr>
        <w:tc>
          <w:tcPr>
            <w:tcW w:w="8711" w:type="dxa"/>
            <w:gridSpan w:val="5"/>
            <w:vAlign w:val="center"/>
          </w:tcPr>
          <w:p w:rsidR="00CA09B2" w:rsidRDefault="00CA09B2" w:rsidP="0041701F">
            <w:pPr>
              <w:pStyle w:val="T2"/>
              <w:ind w:left="0"/>
              <w:rPr>
                <w:sz w:val="20"/>
              </w:rPr>
            </w:pPr>
            <w:r>
              <w:rPr>
                <w:sz w:val="20"/>
              </w:rPr>
              <w:t>Date:</w:t>
            </w:r>
            <w:r>
              <w:rPr>
                <w:b w:val="0"/>
                <w:sz w:val="20"/>
              </w:rPr>
              <w:t xml:space="preserve">  </w:t>
            </w:r>
            <w:r w:rsidR="00A0234F">
              <w:rPr>
                <w:b w:val="0"/>
                <w:sz w:val="20"/>
              </w:rPr>
              <w:t>2013</w:t>
            </w:r>
            <w:r>
              <w:rPr>
                <w:b w:val="0"/>
                <w:sz w:val="20"/>
              </w:rPr>
              <w:t>-</w:t>
            </w:r>
            <w:r w:rsidR="0041701F">
              <w:rPr>
                <w:rFonts w:hint="eastAsia"/>
                <w:b w:val="0"/>
                <w:sz w:val="20"/>
                <w:lang w:eastAsia="zh-CN"/>
              </w:rPr>
              <w:t>09</w:t>
            </w:r>
            <w:r>
              <w:rPr>
                <w:b w:val="0"/>
                <w:sz w:val="20"/>
              </w:rPr>
              <w:t>-DD</w:t>
            </w:r>
          </w:p>
        </w:tc>
      </w:tr>
      <w:tr w:rsidR="00CA09B2" w:rsidTr="00A0234F">
        <w:trPr>
          <w:cantSplit/>
          <w:jc w:val="center"/>
        </w:trPr>
        <w:tc>
          <w:tcPr>
            <w:tcW w:w="8711" w:type="dxa"/>
            <w:gridSpan w:val="5"/>
            <w:vAlign w:val="center"/>
          </w:tcPr>
          <w:p w:rsidR="00CA09B2" w:rsidRDefault="00CA09B2">
            <w:pPr>
              <w:pStyle w:val="T2"/>
              <w:spacing w:after="0"/>
              <w:ind w:left="0" w:right="0"/>
              <w:jc w:val="left"/>
              <w:rPr>
                <w:sz w:val="20"/>
              </w:rPr>
            </w:pPr>
            <w:r>
              <w:rPr>
                <w:sz w:val="20"/>
              </w:rPr>
              <w:t>Author(s):</w:t>
            </w:r>
          </w:p>
        </w:tc>
      </w:tr>
      <w:tr w:rsidR="00CA09B2" w:rsidTr="00A0234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1406"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375" w:type="dxa"/>
            <w:vAlign w:val="center"/>
          </w:tcPr>
          <w:p w:rsidR="00CA09B2" w:rsidRDefault="00CA09B2">
            <w:pPr>
              <w:pStyle w:val="T2"/>
              <w:spacing w:after="0"/>
              <w:ind w:left="0" w:right="0"/>
              <w:jc w:val="left"/>
              <w:rPr>
                <w:sz w:val="20"/>
              </w:rPr>
            </w:pPr>
            <w:r>
              <w:rPr>
                <w:sz w:val="20"/>
              </w:rPr>
              <w:t>email</w:t>
            </w:r>
          </w:p>
        </w:tc>
      </w:tr>
      <w:tr w:rsidR="00CA09B2" w:rsidTr="00A0234F">
        <w:trPr>
          <w:jc w:val="center"/>
        </w:trPr>
        <w:tc>
          <w:tcPr>
            <w:tcW w:w="1336" w:type="dxa"/>
            <w:vAlign w:val="center"/>
          </w:tcPr>
          <w:p w:rsidR="00CA09B2" w:rsidRPr="00A4491B" w:rsidRDefault="00A4491B">
            <w:pPr>
              <w:pStyle w:val="T2"/>
              <w:spacing w:after="0"/>
              <w:ind w:left="0" w:right="0"/>
              <w:rPr>
                <w:b w:val="0"/>
                <w:sz w:val="20"/>
                <w:lang w:eastAsia="zh-CN"/>
              </w:rPr>
            </w:pPr>
            <w:r>
              <w:rPr>
                <w:rFonts w:hint="eastAsia"/>
                <w:b w:val="0"/>
                <w:sz w:val="20"/>
                <w:lang w:eastAsia="zh-CN"/>
              </w:rPr>
              <w:t>Betty Zhao</w:t>
            </w:r>
          </w:p>
        </w:tc>
        <w:tc>
          <w:tcPr>
            <w:tcW w:w="2064" w:type="dxa"/>
            <w:vAlign w:val="center"/>
          </w:tcPr>
          <w:p w:rsidR="00CA09B2" w:rsidRDefault="00A4491B">
            <w:pPr>
              <w:pStyle w:val="T2"/>
              <w:spacing w:after="0"/>
              <w:ind w:left="0" w:right="0"/>
              <w:rPr>
                <w:b w:val="0"/>
                <w:sz w:val="20"/>
                <w:lang w:eastAsia="zh-CN"/>
              </w:rPr>
            </w:pPr>
            <w:r>
              <w:rPr>
                <w:rFonts w:hint="eastAsia"/>
                <w:b w:val="0"/>
                <w:sz w:val="20"/>
                <w:lang w:eastAsia="zh-CN"/>
              </w:rPr>
              <w:t>Huawei</w:t>
            </w:r>
          </w:p>
        </w:tc>
        <w:tc>
          <w:tcPr>
            <w:tcW w:w="1406" w:type="dxa"/>
            <w:vAlign w:val="center"/>
          </w:tcPr>
          <w:p w:rsidR="00CA09B2" w:rsidRDefault="00CA09B2">
            <w:pPr>
              <w:pStyle w:val="T2"/>
              <w:spacing w:after="0"/>
              <w:ind w:left="0" w:right="0"/>
              <w:rPr>
                <w:b w:val="0"/>
                <w:sz w:val="20"/>
              </w:rPr>
            </w:pPr>
          </w:p>
        </w:tc>
        <w:tc>
          <w:tcPr>
            <w:tcW w:w="1530" w:type="dxa"/>
            <w:vAlign w:val="center"/>
          </w:tcPr>
          <w:p w:rsidR="00CA09B2" w:rsidRDefault="00CA09B2">
            <w:pPr>
              <w:pStyle w:val="T2"/>
              <w:spacing w:after="0"/>
              <w:ind w:left="0" w:right="0"/>
              <w:rPr>
                <w:b w:val="0"/>
                <w:sz w:val="20"/>
              </w:rPr>
            </w:pPr>
          </w:p>
        </w:tc>
        <w:tc>
          <w:tcPr>
            <w:tcW w:w="2375" w:type="dxa"/>
            <w:vAlign w:val="center"/>
          </w:tcPr>
          <w:p w:rsidR="00CA09B2" w:rsidRPr="00A4491B" w:rsidRDefault="00A4491B">
            <w:pPr>
              <w:pStyle w:val="T2"/>
              <w:spacing w:after="0"/>
              <w:ind w:left="0" w:right="0"/>
              <w:rPr>
                <w:b w:val="0"/>
                <w:sz w:val="20"/>
                <w:lang w:eastAsia="zh-CN"/>
              </w:rPr>
            </w:pPr>
            <w:r w:rsidRPr="00A4491B">
              <w:rPr>
                <w:rFonts w:hint="eastAsia"/>
                <w:b w:val="0"/>
                <w:sz w:val="20"/>
                <w:lang w:eastAsia="zh-CN"/>
              </w:rPr>
              <w:t>betty.zhao@huawei.com</w:t>
            </w:r>
          </w:p>
        </w:tc>
      </w:tr>
    </w:tbl>
    <w:p w:rsidR="009B5FFF" w:rsidRPr="009B5FFF" w:rsidRDefault="009B5FFF" w:rsidP="009B5FFF">
      <w:pPr>
        <w:jc w:val="both"/>
        <w:rPr>
          <w:sz w:val="20"/>
        </w:rPr>
      </w:pPr>
    </w:p>
    <w:p w:rsidR="009B5FFF" w:rsidRPr="00C93DC0" w:rsidRDefault="009B5FFF" w:rsidP="009B5FFF">
      <w:pPr>
        <w:pStyle w:val="T1"/>
        <w:spacing w:after="120"/>
        <w:rPr>
          <w:sz w:val="32"/>
          <w:szCs w:val="32"/>
        </w:rPr>
      </w:pPr>
      <w:r w:rsidRPr="00C93DC0">
        <w:rPr>
          <w:sz w:val="32"/>
          <w:szCs w:val="32"/>
        </w:rPr>
        <w:t>Abstract</w:t>
      </w:r>
    </w:p>
    <w:p w:rsidR="009B5FFF" w:rsidRPr="009B5FFF" w:rsidRDefault="009B5FFF" w:rsidP="009B5FFF">
      <w:pPr>
        <w:jc w:val="both"/>
        <w:rPr>
          <w:sz w:val="20"/>
          <w:lang w:eastAsia="zh-CN"/>
        </w:rPr>
      </w:pPr>
      <w:r w:rsidRPr="009B5FFF">
        <w:rPr>
          <w:sz w:val="20"/>
        </w:rPr>
        <w:t xml:space="preserve">This document provides resolution for CID: </w:t>
      </w:r>
      <w:r w:rsidR="00652870">
        <w:rPr>
          <w:rFonts w:hint="eastAsia"/>
          <w:sz w:val="20"/>
          <w:lang w:eastAsia="zh-CN"/>
        </w:rPr>
        <w:t>265, 534, 535, 716 and 834</w:t>
      </w:r>
    </w:p>
    <w:p w:rsidR="00CA09B2" w:rsidRPr="009B5FFF" w:rsidRDefault="00CA09B2" w:rsidP="009B5FFF">
      <w:pPr>
        <w:jc w:val="both"/>
        <w:rPr>
          <w:sz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tblPr>
      <w:tblGrid>
        <w:gridCol w:w="588"/>
        <w:gridCol w:w="758"/>
        <w:gridCol w:w="602"/>
        <w:gridCol w:w="636"/>
        <w:gridCol w:w="2992"/>
        <w:gridCol w:w="2225"/>
        <w:gridCol w:w="1717"/>
      </w:tblGrid>
      <w:tr w:rsidR="00652870" w:rsidRPr="00D51874" w:rsidTr="0069242A">
        <w:trPr>
          <w:trHeight w:val="386"/>
        </w:trPr>
        <w:tc>
          <w:tcPr>
            <w:tcW w:w="309" w:type="pct"/>
            <w:shd w:val="clear" w:color="000000" w:fill="auto"/>
            <w:tcMar>
              <w:left w:w="86" w:type="dxa"/>
              <w:right w:w="72" w:type="dxa"/>
            </w:tcMar>
            <w:vAlign w:val="center"/>
            <w:hideMark/>
          </w:tcPr>
          <w:p w:rsidR="00652870" w:rsidRPr="00D51874" w:rsidRDefault="00652870" w:rsidP="0069242A">
            <w:pPr>
              <w:jc w:val="center"/>
              <w:rPr>
                <w:b/>
                <w:bCs/>
                <w:sz w:val="20"/>
              </w:rPr>
            </w:pPr>
            <w:r w:rsidRPr="00D51874">
              <w:rPr>
                <w:b/>
                <w:bCs/>
                <w:sz w:val="20"/>
              </w:rPr>
              <w:t>CID</w:t>
            </w:r>
          </w:p>
        </w:tc>
        <w:tc>
          <w:tcPr>
            <w:tcW w:w="398" w:type="pct"/>
            <w:shd w:val="clear" w:color="000000" w:fill="auto"/>
            <w:tcMar>
              <w:left w:w="86" w:type="dxa"/>
              <w:right w:w="72" w:type="dxa"/>
            </w:tcMar>
            <w:vAlign w:val="center"/>
            <w:hideMark/>
          </w:tcPr>
          <w:p w:rsidR="00652870" w:rsidRPr="00D51874" w:rsidRDefault="00652870" w:rsidP="0069242A">
            <w:pPr>
              <w:jc w:val="center"/>
              <w:rPr>
                <w:b/>
                <w:bCs/>
                <w:sz w:val="20"/>
              </w:rPr>
            </w:pPr>
            <w:r w:rsidRPr="00D51874">
              <w:rPr>
                <w:b/>
                <w:bCs/>
                <w:sz w:val="20"/>
              </w:rPr>
              <w:t>Clause</w:t>
            </w:r>
          </w:p>
        </w:tc>
        <w:tc>
          <w:tcPr>
            <w:tcW w:w="316" w:type="pct"/>
            <w:shd w:val="clear" w:color="000000" w:fill="auto"/>
            <w:tcMar>
              <w:left w:w="86" w:type="dxa"/>
              <w:right w:w="72" w:type="dxa"/>
            </w:tcMar>
            <w:vAlign w:val="center"/>
            <w:hideMark/>
          </w:tcPr>
          <w:p w:rsidR="00652870" w:rsidRPr="00D51874" w:rsidRDefault="00652870" w:rsidP="0069242A">
            <w:pPr>
              <w:jc w:val="center"/>
              <w:rPr>
                <w:b/>
                <w:bCs/>
                <w:sz w:val="20"/>
              </w:rPr>
            </w:pPr>
            <w:r w:rsidRPr="00D51874">
              <w:rPr>
                <w:b/>
                <w:bCs/>
                <w:sz w:val="20"/>
              </w:rPr>
              <w:t>Page</w:t>
            </w:r>
          </w:p>
        </w:tc>
        <w:tc>
          <w:tcPr>
            <w:tcW w:w="334" w:type="pct"/>
            <w:shd w:val="clear" w:color="000000" w:fill="auto"/>
            <w:tcMar>
              <w:left w:w="86" w:type="dxa"/>
              <w:right w:w="72" w:type="dxa"/>
            </w:tcMar>
            <w:vAlign w:val="center"/>
            <w:hideMark/>
          </w:tcPr>
          <w:p w:rsidR="00652870" w:rsidRPr="00D51874" w:rsidRDefault="00652870" w:rsidP="0069242A">
            <w:pPr>
              <w:jc w:val="center"/>
              <w:rPr>
                <w:b/>
                <w:bCs/>
                <w:sz w:val="20"/>
              </w:rPr>
            </w:pPr>
            <w:r w:rsidRPr="00D51874">
              <w:rPr>
                <w:b/>
                <w:bCs/>
                <w:sz w:val="20"/>
              </w:rPr>
              <w:t>Line</w:t>
            </w:r>
          </w:p>
        </w:tc>
        <w:tc>
          <w:tcPr>
            <w:tcW w:w="1572" w:type="pct"/>
            <w:shd w:val="clear" w:color="000000" w:fill="auto"/>
            <w:tcMar>
              <w:left w:w="86" w:type="dxa"/>
              <w:right w:w="72" w:type="dxa"/>
            </w:tcMar>
            <w:vAlign w:val="center"/>
            <w:hideMark/>
          </w:tcPr>
          <w:p w:rsidR="00652870" w:rsidRPr="00D51874" w:rsidRDefault="00652870" w:rsidP="0069242A">
            <w:pPr>
              <w:jc w:val="center"/>
              <w:rPr>
                <w:b/>
                <w:bCs/>
                <w:sz w:val="20"/>
              </w:rPr>
            </w:pPr>
            <w:r w:rsidRPr="00D51874">
              <w:rPr>
                <w:b/>
                <w:bCs/>
                <w:sz w:val="20"/>
              </w:rPr>
              <w:t>Comment</w:t>
            </w:r>
          </w:p>
        </w:tc>
        <w:tc>
          <w:tcPr>
            <w:tcW w:w="1169" w:type="pct"/>
            <w:shd w:val="clear" w:color="000000" w:fill="auto"/>
            <w:tcMar>
              <w:left w:w="86" w:type="dxa"/>
              <w:right w:w="72" w:type="dxa"/>
            </w:tcMar>
            <w:vAlign w:val="center"/>
            <w:hideMark/>
          </w:tcPr>
          <w:p w:rsidR="00652870" w:rsidRPr="00D51874" w:rsidRDefault="00652870" w:rsidP="0069242A">
            <w:pPr>
              <w:jc w:val="center"/>
              <w:rPr>
                <w:b/>
                <w:bCs/>
                <w:sz w:val="20"/>
              </w:rPr>
            </w:pPr>
            <w:r w:rsidRPr="00D51874">
              <w:rPr>
                <w:b/>
                <w:bCs/>
                <w:sz w:val="20"/>
              </w:rPr>
              <w:t>Proposed Change</w:t>
            </w:r>
          </w:p>
        </w:tc>
        <w:tc>
          <w:tcPr>
            <w:tcW w:w="902" w:type="pct"/>
            <w:shd w:val="clear" w:color="000000" w:fill="auto"/>
            <w:tcMar>
              <w:left w:w="86" w:type="dxa"/>
              <w:right w:w="72" w:type="dxa"/>
            </w:tcMar>
            <w:vAlign w:val="center"/>
            <w:hideMark/>
          </w:tcPr>
          <w:p w:rsidR="00652870" w:rsidRPr="00D51874" w:rsidRDefault="00652870" w:rsidP="0069242A">
            <w:pPr>
              <w:jc w:val="center"/>
              <w:rPr>
                <w:b/>
                <w:bCs/>
                <w:sz w:val="20"/>
              </w:rPr>
            </w:pPr>
            <w:r w:rsidRPr="00D51874">
              <w:rPr>
                <w:b/>
                <w:bCs/>
                <w:sz w:val="20"/>
              </w:rPr>
              <w:t>Resolution</w:t>
            </w:r>
          </w:p>
        </w:tc>
      </w:tr>
      <w:tr w:rsidR="00652870" w:rsidRPr="00D51874" w:rsidTr="0069242A">
        <w:trPr>
          <w:trHeight w:val="702"/>
        </w:trPr>
        <w:tc>
          <w:tcPr>
            <w:tcW w:w="309"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264</w:t>
            </w:r>
          </w:p>
        </w:tc>
        <w:tc>
          <w:tcPr>
            <w:tcW w:w="398"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9.32q</w:t>
            </w:r>
          </w:p>
        </w:tc>
        <w:tc>
          <w:tcPr>
            <w:tcW w:w="316"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163</w:t>
            </w:r>
          </w:p>
        </w:tc>
        <w:tc>
          <w:tcPr>
            <w:tcW w:w="334"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64</w:t>
            </w:r>
          </w:p>
        </w:tc>
        <w:tc>
          <w:tcPr>
            <w:tcW w:w="1572"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The last sentence "If  S1G AP has multicast data to deliver for the group of S1G STAs, the group of S1G STAs will receive the multicast data at the assigned time slots" is over general. This statement is only correct when MID is used.</w:t>
            </w:r>
          </w:p>
        </w:tc>
        <w:tc>
          <w:tcPr>
            <w:tcW w:w="1169"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Change to "If  S1G AP has multicast data to deliver for the group of S1G STAs using MID, the group of S1G STAs will receive the multicast data at the assigned time slots"</w:t>
            </w:r>
          </w:p>
        </w:tc>
        <w:tc>
          <w:tcPr>
            <w:tcW w:w="902" w:type="pct"/>
            <w:shd w:val="clear" w:color="000000" w:fill="auto"/>
            <w:tcMar>
              <w:left w:w="86" w:type="dxa"/>
              <w:right w:w="72" w:type="dxa"/>
            </w:tcMar>
            <w:vAlign w:val="center"/>
            <w:hideMark/>
          </w:tcPr>
          <w:p w:rsidR="006A06C0" w:rsidRPr="006A06C0" w:rsidRDefault="006A06C0" w:rsidP="0069242A">
            <w:pPr>
              <w:rPr>
                <w:rFonts w:eastAsiaTheme="minorEastAsia" w:hint="eastAsia"/>
                <w:b/>
                <w:sz w:val="20"/>
                <w:lang w:eastAsia="zh-CN"/>
              </w:rPr>
            </w:pPr>
            <w:r w:rsidRPr="006A06C0">
              <w:rPr>
                <w:rFonts w:eastAsiaTheme="minorEastAsia" w:hint="eastAsia"/>
                <w:b/>
                <w:sz w:val="20"/>
                <w:lang w:eastAsia="zh-CN"/>
              </w:rPr>
              <w:t>Revised</w:t>
            </w:r>
          </w:p>
          <w:p w:rsidR="00652870" w:rsidRPr="00536E34" w:rsidRDefault="00347B26" w:rsidP="0069242A">
            <w:pPr>
              <w:rPr>
                <w:rFonts w:eastAsia="Times New Roman"/>
                <w:sz w:val="20"/>
              </w:rPr>
            </w:pPr>
            <w:r>
              <w:rPr>
                <w:rFonts w:eastAsia="Times New Roman"/>
                <w:sz w:val="20"/>
              </w:rPr>
              <w:t xml:space="preserve">Change page 163 line 58 </w:t>
            </w:r>
            <w:r>
              <w:rPr>
                <w:rFonts w:eastAsiaTheme="minorEastAsia" w:hint="eastAsia"/>
                <w:sz w:val="20"/>
                <w:lang w:eastAsia="zh-CN"/>
              </w:rPr>
              <w:t>as</w:t>
            </w:r>
            <w:r w:rsidR="00652870" w:rsidRPr="00536E34">
              <w:rPr>
                <w:rFonts w:eastAsia="Times New Roman"/>
                <w:sz w:val="20"/>
              </w:rPr>
              <w:t xml:space="preserve"> "For example, if S1G AP has multicast data buffered for a group of SIG STAs</w:t>
            </w:r>
            <w:r w:rsidR="00652870" w:rsidRPr="004F5F15">
              <w:rPr>
                <w:rFonts w:eastAsia="Times New Roman"/>
                <w:color w:val="FF0000"/>
                <w:sz w:val="20"/>
                <w:u w:val="single"/>
              </w:rPr>
              <w:t xml:space="preserve"> using MID</w:t>
            </w:r>
            <w:r w:rsidR="00652870" w:rsidRPr="00536E34">
              <w:rPr>
                <w:rFonts w:eastAsia="Times New Roman"/>
                <w:sz w:val="20"/>
              </w:rPr>
              <w:t>,"</w:t>
            </w:r>
          </w:p>
        </w:tc>
      </w:tr>
      <w:tr w:rsidR="00652870" w:rsidRPr="00D51874" w:rsidTr="0069242A">
        <w:trPr>
          <w:trHeight w:val="702"/>
        </w:trPr>
        <w:tc>
          <w:tcPr>
            <w:tcW w:w="309"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534</w:t>
            </w:r>
          </w:p>
        </w:tc>
        <w:tc>
          <w:tcPr>
            <w:tcW w:w="398"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9.32l</w:t>
            </w:r>
          </w:p>
        </w:tc>
        <w:tc>
          <w:tcPr>
            <w:tcW w:w="316"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150</w:t>
            </w:r>
          </w:p>
        </w:tc>
        <w:tc>
          <w:tcPr>
            <w:tcW w:w="334"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1</w:t>
            </w:r>
          </w:p>
        </w:tc>
        <w:tc>
          <w:tcPr>
            <w:tcW w:w="1572"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"Sensor STA" and "Sensor type STA" are used to specify same thing.</w:t>
            </w:r>
          </w:p>
        </w:tc>
        <w:tc>
          <w:tcPr>
            <w:tcW w:w="1169"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Replace "Sensor STA" by "Sensor type STA" throughout the document.</w:t>
            </w:r>
          </w:p>
        </w:tc>
        <w:tc>
          <w:tcPr>
            <w:tcW w:w="902" w:type="pct"/>
            <w:shd w:val="clear" w:color="000000" w:fill="auto"/>
            <w:noWrap/>
            <w:tcMar>
              <w:left w:w="86" w:type="dxa"/>
              <w:right w:w="72" w:type="dxa"/>
            </w:tcMar>
            <w:vAlign w:val="center"/>
            <w:hideMark/>
          </w:tcPr>
          <w:p w:rsidR="00652870" w:rsidRPr="006A06C0" w:rsidRDefault="006A06C0" w:rsidP="0069242A">
            <w:pPr>
              <w:rPr>
                <w:rFonts w:eastAsiaTheme="minorEastAsia" w:hint="eastAsia"/>
                <w:b/>
                <w:sz w:val="20"/>
                <w:lang w:eastAsia="zh-CN"/>
              </w:rPr>
            </w:pPr>
            <w:r w:rsidRPr="006A06C0">
              <w:rPr>
                <w:rFonts w:eastAsiaTheme="minorEastAsia" w:hint="eastAsia"/>
                <w:b/>
                <w:sz w:val="20"/>
                <w:lang w:eastAsia="zh-CN"/>
              </w:rPr>
              <w:t>Accepted</w:t>
            </w:r>
          </w:p>
        </w:tc>
      </w:tr>
      <w:tr w:rsidR="00652870" w:rsidRPr="00D51874" w:rsidTr="0069242A">
        <w:trPr>
          <w:trHeight w:val="702"/>
        </w:trPr>
        <w:tc>
          <w:tcPr>
            <w:tcW w:w="309"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535</w:t>
            </w:r>
          </w:p>
        </w:tc>
        <w:tc>
          <w:tcPr>
            <w:tcW w:w="398"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9.32l</w:t>
            </w:r>
          </w:p>
        </w:tc>
        <w:tc>
          <w:tcPr>
            <w:tcW w:w="316"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150</w:t>
            </w:r>
          </w:p>
        </w:tc>
        <w:tc>
          <w:tcPr>
            <w:tcW w:w="334"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6</w:t>
            </w:r>
          </w:p>
        </w:tc>
        <w:tc>
          <w:tcPr>
            <w:tcW w:w="1572"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A term "offloading S1G STA" is used without definition.</w:t>
            </w:r>
          </w:p>
        </w:tc>
        <w:tc>
          <w:tcPr>
            <w:tcW w:w="1169"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Replace "offloading S1G STA" by "non-Sensor type STA".</w:t>
            </w:r>
          </w:p>
        </w:tc>
        <w:tc>
          <w:tcPr>
            <w:tcW w:w="902" w:type="pct"/>
            <w:shd w:val="clear" w:color="000000" w:fill="auto"/>
            <w:noWrap/>
            <w:tcMar>
              <w:left w:w="86" w:type="dxa"/>
              <w:right w:w="72" w:type="dxa"/>
            </w:tcMar>
            <w:vAlign w:val="center"/>
            <w:hideMark/>
          </w:tcPr>
          <w:p w:rsidR="00652870" w:rsidRPr="006A06C0" w:rsidRDefault="006A06C0" w:rsidP="0069242A">
            <w:pPr>
              <w:rPr>
                <w:rFonts w:eastAsiaTheme="minorEastAsia" w:hint="eastAsia"/>
                <w:b/>
                <w:sz w:val="20"/>
                <w:lang w:eastAsia="zh-CN"/>
              </w:rPr>
            </w:pPr>
            <w:r w:rsidRPr="006A06C0">
              <w:rPr>
                <w:rFonts w:eastAsiaTheme="minorEastAsia" w:hint="eastAsia"/>
                <w:b/>
                <w:sz w:val="20"/>
                <w:lang w:eastAsia="zh-CN"/>
              </w:rPr>
              <w:t>Accepted</w:t>
            </w:r>
          </w:p>
        </w:tc>
      </w:tr>
      <w:tr w:rsidR="00652870" w:rsidRPr="00D51874" w:rsidTr="0069242A">
        <w:trPr>
          <w:trHeight w:val="702"/>
        </w:trPr>
        <w:tc>
          <w:tcPr>
            <w:tcW w:w="309"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716</w:t>
            </w:r>
          </w:p>
        </w:tc>
        <w:tc>
          <w:tcPr>
            <w:tcW w:w="398"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9.32q</w:t>
            </w:r>
          </w:p>
        </w:tc>
        <w:tc>
          <w:tcPr>
            <w:tcW w:w="316"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163</w:t>
            </w:r>
          </w:p>
        </w:tc>
        <w:tc>
          <w:tcPr>
            <w:tcW w:w="334"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51</w:t>
            </w:r>
          </w:p>
        </w:tc>
        <w:tc>
          <w:tcPr>
            <w:tcW w:w="1572"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MID in 11ad is defined as "multiple sector identifier"; well, here in 11ah, line 51 page 163, MID is defined as the AID that represents a group of S1G STAs.</w:t>
            </w:r>
            <w:r w:rsidRPr="00536E34">
              <w:rPr>
                <w:rFonts w:eastAsia="Times New Roman"/>
                <w:sz w:val="20"/>
              </w:rPr>
              <w:br/>
            </w:r>
            <w:r w:rsidRPr="00536E34">
              <w:rPr>
                <w:rFonts w:eastAsia="Times New Roman"/>
                <w:sz w:val="20"/>
              </w:rPr>
              <w:br/>
              <w:t>How about using GAID (Group AID) in 11ah? It is not used in 11mc nor in 11ac.</w:t>
            </w:r>
          </w:p>
        </w:tc>
        <w:tc>
          <w:tcPr>
            <w:tcW w:w="1169"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Make the following changes:</w:t>
            </w:r>
            <w:r w:rsidRPr="00536E34">
              <w:rPr>
                <w:rFonts w:eastAsia="Times New Roman"/>
                <w:sz w:val="20"/>
              </w:rPr>
              <w:br/>
              <w:t>1. add GAID (Group AID) to the 11ah new acrony list in Section 3.3.;</w:t>
            </w:r>
            <w:r w:rsidRPr="00536E34">
              <w:rPr>
                <w:rFonts w:eastAsia="Times New Roman"/>
                <w:sz w:val="20"/>
              </w:rPr>
              <w:br/>
              <w:t>2. Throughout 11ah/D0.1, change MID to GAID.</w:t>
            </w:r>
          </w:p>
        </w:tc>
        <w:tc>
          <w:tcPr>
            <w:tcW w:w="902" w:type="pct"/>
            <w:shd w:val="clear" w:color="000000" w:fill="auto"/>
            <w:noWrap/>
            <w:tcMar>
              <w:left w:w="86" w:type="dxa"/>
              <w:right w:w="72" w:type="dxa"/>
            </w:tcMar>
            <w:vAlign w:val="center"/>
            <w:hideMark/>
          </w:tcPr>
          <w:p w:rsidR="006A06C0" w:rsidRPr="006A06C0" w:rsidRDefault="006A06C0" w:rsidP="0069242A">
            <w:pPr>
              <w:rPr>
                <w:rFonts w:eastAsiaTheme="minorEastAsia" w:hint="eastAsia"/>
                <w:b/>
                <w:sz w:val="20"/>
                <w:lang w:eastAsia="zh-CN"/>
              </w:rPr>
            </w:pPr>
            <w:r w:rsidRPr="006A06C0">
              <w:rPr>
                <w:rFonts w:eastAsiaTheme="minorEastAsia" w:hint="eastAsia"/>
                <w:b/>
                <w:sz w:val="20"/>
                <w:lang w:eastAsia="zh-CN"/>
              </w:rPr>
              <w:t>Revised</w:t>
            </w:r>
          </w:p>
          <w:p w:rsidR="00652870" w:rsidRPr="00347B26" w:rsidRDefault="00652870" w:rsidP="00347B26">
            <w:pPr>
              <w:rPr>
                <w:rFonts w:eastAsiaTheme="minorEastAsia"/>
                <w:sz w:val="20"/>
                <w:lang w:eastAsia="zh-CN"/>
              </w:rPr>
            </w:pPr>
            <w:r w:rsidRPr="00347B26">
              <w:rPr>
                <w:rFonts w:eastAsia="Times New Roman"/>
                <w:sz w:val="20"/>
              </w:rPr>
              <w:t>Change all "MID" to "Multicast ID"</w:t>
            </w:r>
          </w:p>
        </w:tc>
      </w:tr>
      <w:tr w:rsidR="00652870" w:rsidRPr="00D51874" w:rsidTr="0069242A">
        <w:trPr>
          <w:trHeight w:val="702"/>
        </w:trPr>
        <w:tc>
          <w:tcPr>
            <w:tcW w:w="309"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834</w:t>
            </w:r>
          </w:p>
        </w:tc>
        <w:tc>
          <w:tcPr>
            <w:tcW w:w="398"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9.32l</w:t>
            </w:r>
          </w:p>
        </w:tc>
        <w:tc>
          <w:tcPr>
            <w:tcW w:w="316"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150</w:t>
            </w:r>
          </w:p>
        </w:tc>
        <w:tc>
          <w:tcPr>
            <w:tcW w:w="334"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4</w:t>
            </w:r>
          </w:p>
        </w:tc>
        <w:tc>
          <w:tcPr>
            <w:tcW w:w="1572"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this section is not describing in a normative way the protocol for 'sensor STA medium access'; what is the exact signaling and exact STA behavior? Will RAW/PRAW have an indication of 'sensor only operation'? If yes, then the right place to descibe it is in the RAW operation. if not, how is the restriction signaled?</w:t>
            </w:r>
          </w:p>
        </w:tc>
        <w:tc>
          <w:tcPr>
            <w:tcW w:w="1169"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clearly define the protocol and the related signaling.</w:t>
            </w:r>
          </w:p>
        </w:tc>
        <w:tc>
          <w:tcPr>
            <w:tcW w:w="902" w:type="pct"/>
            <w:shd w:val="clear" w:color="000000" w:fill="auto"/>
            <w:noWrap/>
            <w:tcMar>
              <w:left w:w="86" w:type="dxa"/>
              <w:right w:w="72" w:type="dxa"/>
            </w:tcMar>
            <w:vAlign w:val="center"/>
            <w:hideMark/>
          </w:tcPr>
          <w:p w:rsidR="006A06C0" w:rsidRPr="006A06C0" w:rsidRDefault="006A06C0" w:rsidP="0069242A">
            <w:pPr>
              <w:rPr>
                <w:rFonts w:eastAsiaTheme="minorEastAsia" w:hint="eastAsia"/>
                <w:b/>
                <w:sz w:val="20"/>
                <w:lang w:eastAsia="zh-CN"/>
              </w:rPr>
            </w:pPr>
            <w:r w:rsidRPr="006A06C0">
              <w:rPr>
                <w:rFonts w:eastAsiaTheme="minorEastAsia" w:hint="eastAsia"/>
                <w:b/>
                <w:sz w:val="20"/>
                <w:lang w:eastAsia="zh-CN"/>
              </w:rPr>
              <w:t>Revised</w:t>
            </w:r>
          </w:p>
          <w:p w:rsidR="007E08F4" w:rsidRPr="007E08F4" w:rsidRDefault="00652870" w:rsidP="0069242A">
            <w:pPr>
              <w:rPr>
                <w:rFonts w:eastAsiaTheme="minorEastAsia" w:hint="eastAsia"/>
                <w:sz w:val="20"/>
                <w:lang w:eastAsia="zh-CN"/>
              </w:rPr>
            </w:pPr>
            <w:r w:rsidRPr="00536E34">
              <w:rPr>
                <w:rFonts w:eastAsia="Times New Roman"/>
                <w:sz w:val="20"/>
              </w:rPr>
              <w:t xml:space="preserve">Move </w:t>
            </w:r>
            <w:r w:rsidR="00BD08A1">
              <w:rPr>
                <w:rFonts w:eastAsiaTheme="minorEastAsia" w:hint="eastAsia"/>
                <w:sz w:val="20"/>
                <w:lang w:eastAsia="zh-CN"/>
              </w:rPr>
              <w:t xml:space="preserve">all </w:t>
            </w:r>
            <w:r w:rsidRPr="00536E34">
              <w:rPr>
                <w:rFonts w:eastAsia="Times New Roman"/>
                <w:sz w:val="20"/>
              </w:rPr>
              <w:t>the content of 9.32l into 9.19.4a.1</w:t>
            </w:r>
            <w:r w:rsidR="007E08F4">
              <w:rPr>
                <w:rFonts w:eastAsiaTheme="minorEastAsia" w:hint="eastAsia"/>
                <w:sz w:val="20"/>
                <w:lang w:eastAsia="zh-CN"/>
              </w:rPr>
              <w:t>, page 130, line 41</w:t>
            </w:r>
          </w:p>
        </w:tc>
      </w:tr>
    </w:tbl>
    <w:p w:rsidR="00C92733" w:rsidRDefault="00C92733" w:rsidP="000F46EA">
      <w:pPr>
        <w:jc w:val="both"/>
        <w:rPr>
          <w:sz w:val="24"/>
          <w:szCs w:val="24"/>
          <w:lang w:eastAsia="zh-CN"/>
        </w:rPr>
      </w:pPr>
    </w:p>
    <w:sectPr w:rsidR="00C92733" w:rsidSect="00315B3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6BC" w:rsidRDefault="00CB66BC">
      <w:r>
        <w:separator/>
      </w:r>
    </w:p>
  </w:endnote>
  <w:endnote w:type="continuationSeparator" w:id="1">
    <w:p w:rsidR="00CB66BC" w:rsidRDefault="00CB6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6F57AF">
    <w:pPr>
      <w:pStyle w:val="Footer"/>
      <w:tabs>
        <w:tab w:val="clear" w:pos="6480"/>
        <w:tab w:val="center" w:pos="4680"/>
        <w:tab w:val="right" w:pos="9360"/>
      </w:tabs>
      <w:rPr>
        <w:lang w:eastAsia="zh-CN"/>
      </w:rPr>
    </w:pPr>
    <w:fldSimple w:instr=" SUBJECT  \* MERGEFORMAT ">
      <w:r w:rsidR="001D7B22">
        <w:t>Submission</w:t>
      </w:r>
    </w:fldSimple>
    <w:r w:rsidR="0029020B">
      <w:tab/>
      <w:t xml:space="preserve">page </w:t>
    </w:r>
    <w:r>
      <w:fldChar w:fldCharType="begin"/>
    </w:r>
    <w:r w:rsidR="0029020B">
      <w:instrText xml:space="preserve">page </w:instrText>
    </w:r>
    <w:r>
      <w:fldChar w:fldCharType="separate"/>
    </w:r>
    <w:r w:rsidR="00347B26">
      <w:rPr>
        <w:noProof/>
      </w:rPr>
      <w:t>1</w:t>
    </w:r>
    <w:r>
      <w:fldChar w:fldCharType="end"/>
    </w:r>
    <w:r w:rsidR="0029020B">
      <w:tab/>
    </w:r>
    <w:fldSimple w:instr=" COMMENTS  \* MERGEFORMAT ">
      <w:r w:rsidR="0041701F">
        <w:rPr>
          <w:rFonts w:hint="eastAsia"/>
          <w:lang w:eastAsia="zh-CN"/>
        </w:rPr>
        <w:t>Betty Zhao</w:t>
      </w:r>
      <w:r w:rsidR="001D7B22">
        <w:t xml:space="preserve">, </w:t>
      </w:r>
      <w:r w:rsidR="0041701F">
        <w:rPr>
          <w:rFonts w:hint="eastAsia"/>
          <w:lang w:eastAsia="zh-CN"/>
        </w:rPr>
        <w:t>Huawei</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6BC" w:rsidRDefault="00CB66BC">
      <w:r>
        <w:separator/>
      </w:r>
    </w:p>
  </w:footnote>
  <w:footnote w:type="continuationSeparator" w:id="1">
    <w:p w:rsidR="00CB66BC" w:rsidRDefault="00CB66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6F57AF">
    <w:pPr>
      <w:pStyle w:val="Header"/>
      <w:tabs>
        <w:tab w:val="clear" w:pos="6480"/>
        <w:tab w:val="center" w:pos="4680"/>
        <w:tab w:val="right" w:pos="9360"/>
      </w:tabs>
    </w:pPr>
    <w:fldSimple w:instr=" KEYWORDS  \* MERGEFORMAT ">
      <w:r w:rsidR="0041701F">
        <w:rPr>
          <w:rFonts w:hint="eastAsia"/>
          <w:lang w:eastAsia="zh-CN"/>
        </w:rPr>
        <w:t>Sep</w:t>
      </w:r>
      <w:r w:rsidR="001D7B22">
        <w:t xml:space="preserve"> 2013</w:t>
      </w:r>
    </w:fldSimple>
    <w:r w:rsidR="0029020B">
      <w:tab/>
    </w:r>
    <w:r w:rsidR="0029020B">
      <w:tab/>
    </w:r>
    <w:fldSimple w:instr=" TITLE  \* MERGEFORMAT ">
      <w:r w:rsidR="0041701F">
        <w:t>doc.: IEEE 802.11-13/xxx</w:t>
      </w:r>
      <w:r w:rsidR="001D7B22">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82703C"/>
    <w:lvl w:ilvl="0">
      <w:numFmt w:val="bullet"/>
      <w:lvlText w:val="*"/>
      <w:lvlJc w:val="left"/>
      <w:pPr>
        <w:ind w:left="0" w:firstLine="0"/>
      </w:pPr>
    </w:lvl>
  </w:abstractNum>
  <w:abstractNum w:abstractNumId="1">
    <w:nsid w:val="28207C1C"/>
    <w:multiLevelType w:val="hybridMultilevel"/>
    <w:tmpl w:val="2C866308"/>
    <w:lvl w:ilvl="0" w:tplc="5C48C0F6">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812A08"/>
    <w:multiLevelType w:val="hybridMultilevel"/>
    <w:tmpl w:val="87A65C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numFmt w:val="bullet"/>
        <w:lvlText w:val="Figure 8-401d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abstractNumId w:val="0"/>
    <w:lvlOverride w:ilvl="0">
      <w:lvl w:ilvl="0">
        <w:numFmt w:val="bullet"/>
        <w:lvlText w:val="Figure 8-401d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Table 8-191d—"/>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Figure 8-401d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intFractionalCharacterWidth/>
  <w:mirrorMargins/>
  <w:bordersDoNotSurroundHeader/>
  <w:bordersDoNotSurroundFooter/>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0"/>
    <w:footnote w:id="1"/>
  </w:footnotePr>
  <w:endnotePr>
    <w:endnote w:id="0"/>
    <w:endnote w:id="1"/>
  </w:endnotePr>
  <w:compat>
    <w:useFELayout/>
  </w:compat>
  <w:rsids>
    <w:rsidRoot w:val="00F349EF"/>
    <w:rsid w:val="00014EBC"/>
    <w:rsid w:val="000328CD"/>
    <w:rsid w:val="00043730"/>
    <w:rsid w:val="000D33F6"/>
    <w:rsid w:val="000F46EA"/>
    <w:rsid w:val="00123A9C"/>
    <w:rsid w:val="0013152A"/>
    <w:rsid w:val="00181E75"/>
    <w:rsid w:val="0018603B"/>
    <w:rsid w:val="0019744C"/>
    <w:rsid w:val="001979C4"/>
    <w:rsid w:val="001B12B0"/>
    <w:rsid w:val="001B2702"/>
    <w:rsid w:val="001B7147"/>
    <w:rsid w:val="001C1015"/>
    <w:rsid w:val="001D723B"/>
    <w:rsid w:val="001D7B22"/>
    <w:rsid w:val="001F3BDD"/>
    <w:rsid w:val="00217A87"/>
    <w:rsid w:val="002231F2"/>
    <w:rsid w:val="002753FC"/>
    <w:rsid w:val="0029020B"/>
    <w:rsid w:val="00294597"/>
    <w:rsid w:val="002B361D"/>
    <w:rsid w:val="002D44BE"/>
    <w:rsid w:val="002E3BC3"/>
    <w:rsid w:val="002F7669"/>
    <w:rsid w:val="003139C2"/>
    <w:rsid w:val="00315B33"/>
    <w:rsid w:val="00320F45"/>
    <w:rsid w:val="0033160A"/>
    <w:rsid w:val="00331AE3"/>
    <w:rsid w:val="00343FC6"/>
    <w:rsid w:val="00347B26"/>
    <w:rsid w:val="00367D48"/>
    <w:rsid w:val="003C3EA8"/>
    <w:rsid w:val="003F7D08"/>
    <w:rsid w:val="004156A7"/>
    <w:rsid w:val="0041701F"/>
    <w:rsid w:val="00435E36"/>
    <w:rsid w:val="00442037"/>
    <w:rsid w:val="00496071"/>
    <w:rsid w:val="004B064B"/>
    <w:rsid w:val="004F38FE"/>
    <w:rsid w:val="004F5F15"/>
    <w:rsid w:val="00515F67"/>
    <w:rsid w:val="00522308"/>
    <w:rsid w:val="0052433D"/>
    <w:rsid w:val="005626B3"/>
    <w:rsid w:val="00595E5B"/>
    <w:rsid w:val="005C6139"/>
    <w:rsid w:val="0062440B"/>
    <w:rsid w:val="00627AC3"/>
    <w:rsid w:val="00631DED"/>
    <w:rsid w:val="006415C8"/>
    <w:rsid w:val="00652870"/>
    <w:rsid w:val="00681122"/>
    <w:rsid w:val="00682868"/>
    <w:rsid w:val="006841B9"/>
    <w:rsid w:val="00691F8C"/>
    <w:rsid w:val="006A06C0"/>
    <w:rsid w:val="006C0727"/>
    <w:rsid w:val="006E145F"/>
    <w:rsid w:val="006F1F88"/>
    <w:rsid w:val="006F57AF"/>
    <w:rsid w:val="00715F67"/>
    <w:rsid w:val="00755CB2"/>
    <w:rsid w:val="00770572"/>
    <w:rsid w:val="007727E2"/>
    <w:rsid w:val="00772D7D"/>
    <w:rsid w:val="007B6A35"/>
    <w:rsid w:val="007E08F4"/>
    <w:rsid w:val="0080540B"/>
    <w:rsid w:val="0089110F"/>
    <w:rsid w:val="008D14B2"/>
    <w:rsid w:val="008E3658"/>
    <w:rsid w:val="00945C3F"/>
    <w:rsid w:val="00961D55"/>
    <w:rsid w:val="009743CA"/>
    <w:rsid w:val="009A2A8A"/>
    <w:rsid w:val="009B5FFF"/>
    <w:rsid w:val="009F2FBC"/>
    <w:rsid w:val="00A005A4"/>
    <w:rsid w:val="00A0234F"/>
    <w:rsid w:val="00A141F6"/>
    <w:rsid w:val="00A17806"/>
    <w:rsid w:val="00A4491B"/>
    <w:rsid w:val="00A73339"/>
    <w:rsid w:val="00AA427C"/>
    <w:rsid w:val="00AC2493"/>
    <w:rsid w:val="00AD310F"/>
    <w:rsid w:val="00B366FF"/>
    <w:rsid w:val="00B445F0"/>
    <w:rsid w:val="00B746DF"/>
    <w:rsid w:val="00B91587"/>
    <w:rsid w:val="00BC019B"/>
    <w:rsid w:val="00BD08A1"/>
    <w:rsid w:val="00BE68C2"/>
    <w:rsid w:val="00BF0885"/>
    <w:rsid w:val="00C202E4"/>
    <w:rsid w:val="00C90963"/>
    <w:rsid w:val="00C92733"/>
    <w:rsid w:val="00C93DC0"/>
    <w:rsid w:val="00CA09B2"/>
    <w:rsid w:val="00CA7B1A"/>
    <w:rsid w:val="00CB55EC"/>
    <w:rsid w:val="00CB66BC"/>
    <w:rsid w:val="00CC48D1"/>
    <w:rsid w:val="00CE39DF"/>
    <w:rsid w:val="00D03F3D"/>
    <w:rsid w:val="00D201DF"/>
    <w:rsid w:val="00D4496F"/>
    <w:rsid w:val="00D505FB"/>
    <w:rsid w:val="00D55437"/>
    <w:rsid w:val="00D97FEF"/>
    <w:rsid w:val="00DC5A7B"/>
    <w:rsid w:val="00DF466D"/>
    <w:rsid w:val="00E00B67"/>
    <w:rsid w:val="00E01F07"/>
    <w:rsid w:val="00E22753"/>
    <w:rsid w:val="00E56011"/>
    <w:rsid w:val="00E57C1F"/>
    <w:rsid w:val="00E72132"/>
    <w:rsid w:val="00E83A88"/>
    <w:rsid w:val="00E867E3"/>
    <w:rsid w:val="00EC544C"/>
    <w:rsid w:val="00F06FE5"/>
    <w:rsid w:val="00F11843"/>
    <w:rsid w:val="00F349EF"/>
    <w:rsid w:val="00F456FB"/>
    <w:rsid w:val="00F45DF5"/>
    <w:rsid w:val="00F71FE9"/>
    <w:rsid w:val="00FB7F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33D"/>
    <w:rPr>
      <w:sz w:val="22"/>
      <w:lang w:val="en-GB" w:eastAsia="en-US"/>
    </w:rPr>
  </w:style>
  <w:style w:type="paragraph" w:styleId="Heading1">
    <w:name w:val="heading 1"/>
    <w:basedOn w:val="Normal"/>
    <w:next w:val="Normal"/>
    <w:qFormat/>
    <w:rsid w:val="00315B33"/>
    <w:pPr>
      <w:keepNext/>
      <w:keepLines/>
      <w:spacing w:before="320"/>
      <w:outlineLvl w:val="0"/>
    </w:pPr>
    <w:rPr>
      <w:rFonts w:ascii="Arial" w:hAnsi="Arial"/>
      <w:b/>
      <w:sz w:val="32"/>
      <w:u w:val="single"/>
    </w:rPr>
  </w:style>
  <w:style w:type="paragraph" w:styleId="Heading2">
    <w:name w:val="heading 2"/>
    <w:basedOn w:val="Normal"/>
    <w:next w:val="Normal"/>
    <w:qFormat/>
    <w:rsid w:val="00315B33"/>
    <w:pPr>
      <w:keepNext/>
      <w:keepLines/>
      <w:spacing w:before="280"/>
      <w:outlineLvl w:val="1"/>
    </w:pPr>
    <w:rPr>
      <w:rFonts w:ascii="Arial" w:hAnsi="Arial"/>
      <w:b/>
      <w:sz w:val="28"/>
      <w:u w:val="single"/>
    </w:rPr>
  </w:style>
  <w:style w:type="paragraph" w:styleId="Heading3">
    <w:name w:val="heading 3"/>
    <w:basedOn w:val="Normal"/>
    <w:next w:val="Normal"/>
    <w:qFormat/>
    <w:rsid w:val="00315B33"/>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15B33"/>
    <w:pPr>
      <w:pBdr>
        <w:top w:val="single" w:sz="6" w:space="1" w:color="auto"/>
      </w:pBdr>
      <w:tabs>
        <w:tab w:val="center" w:pos="6480"/>
        <w:tab w:val="right" w:pos="12960"/>
      </w:tabs>
    </w:pPr>
    <w:rPr>
      <w:sz w:val="24"/>
    </w:rPr>
  </w:style>
  <w:style w:type="paragraph" w:styleId="Header">
    <w:name w:val="header"/>
    <w:basedOn w:val="Normal"/>
    <w:rsid w:val="00315B33"/>
    <w:pPr>
      <w:pBdr>
        <w:bottom w:val="single" w:sz="6" w:space="2" w:color="auto"/>
      </w:pBdr>
      <w:tabs>
        <w:tab w:val="center" w:pos="6480"/>
        <w:tab w:val="right" w:pos="12960"/>
      </w:tabs>
    </w:pPr>
    <w:rPr>
      <w:b/>
      <w:sz w:val="28"/>
    </w:rPr>
  </w:style>
  <w:style w:type="paragraph" w:customStyle="1" w:styleId="T1">
    <w:name w:val="T1"/>
    <w:basedOn w:val="Normal"/>
    <w:rsid w:val="00315B33"/>
    <w:pPr>
      <w:jc w:val="center"/>
    </w:pPr>
    <w:rPr>
      <w:b/>
      <w:sz w:val="28"/>
    </w:rPr>
  </w:style>
  <w:style w:type="paragraph" w:customStyle="1" w:styleId="T2">
    <w:name w:val="T2"/>
    <w:basedOn w:val="T1"/>
    <w:rsid w:val="00315B33"/>
    <w:pPr>
      <w:spacing w:after="240"/>
      <w:ind w:left="720" w:right="720"/>
    </w:pPr>
  </w:style>
  <w:style w:type="paragraph" w:customStyle="1" w:styleId="T3">
    <w:name w:val="T3"/>
    <w:basedOn w:val="T1"/>
    <w:rsid w:val="00315B33"/>
    <w:pPr>
      <w:pBdr>
        <w:bottom w:val="single" w:sz="6" w:space="1" w:color="auto"/>
      </w:pBdr>
      <w:tabs>
        <w:tab w:val="center" w:pos="4680"/>
      </w:tabs>
      <w:spacing w:after="240"/>
      <w:jc w:val="left"/>
    </w:pPr>
    <w:rPr>
      <w:b w:val="0"/>
      <w:sz w:val="24"/>
    </w:rPr>
  </w:style>
  <w:style w:type="paragraph" w:styleId="BodyTextIndent">
    <w:name w:val="Body Text Indent"/>
    <w:basedOn w:val="Normal"/>
    <w:rsid w:val="00315B33"/>
    <w:pPr>
      <w:ind w:left="720" w:hanging="720"/>
    </w:pPr>
  </w:style>
  <w:style w:type="character" w:styleId="Hyperlink">
    <w:name w:val="Hyperlink"/>
    <w:rsid w:val="00315B33"/>
    <w:rPr>
      <w:color w:val="0000FF"/>
      <w:u w:val="single"/>
    </w:rPr>
  </w:style>
  <w:style w:type="table" w:styleId="TableGrid">
    <w:name w:val="Table Grid"/>
    <w:basedOn w:val="TableNormal"/>
    <w:rsid w:val="00A00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E5"/>
    <w:pPr>
      <w:ind w:left="720"/>
      <w:contextualSpacing/>
    </w:pPr>
  </w:style>
  <w:style w:type="paragraph" w:styleId="BalloonText">
    <w:name w:val="Balloon Text"/>
    <w:basedOn w:val="Normal"/>
    <w:link w:val="BalloonTextChar"/>
    <w:rsid w:val="00B746DF"/>
    <w:rPr>
      <w:rFonts w:ascii="Tahoma" w:hAnsi="Tahoma" w:cs="Tahoma"/>
      <w:sz w:val="16"/>
      <w:szCs w:val="16"/>
    </w:rPr>
  </w:style>
  <w:style w:type="character" w:customStyle="1" w:styleId="BalloonTextChar">
    <w:name w:val="Balloon Text Char"/>
    <w:basedOn w:val="DefaultParagraphFont"/>
    <w:link w:val="BalloonText"/>
    <w:rsid w:val="00B746DF"/>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33D"/>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00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E5"/>
    <w:pPr>
      <w:ind w:left="720"/>
      <w:contextualSpacing/>
    </w:pPr>
  </w:style>
  <w:style w:type="paragraph" w:styleId="BalloonText">
    <w:name w:val="Balloon Text"/>
    <w:basedOn w:val="Normal"/>
    <w:link w:val="BalloonTextChar"/>
    <w:rsid w:val="00B746DF"/>
    <w:rPr>
      <w:rFonts w:ascii="Tahoma" w:hAnsi="Tahoma" w:cs="Tahoma"/>
      <w:sz w:val="16"/>
      <w:szCs w:val="16"/>
    </w:rPr>
  </w:style>
  <w:style w:type="character" w:customStyle="1" w:styleId="BalloonTextChar">
    <w:name w:val="Balloon Text Char"/>
    <w:basedOn w:val="DefaultParagraphFont"/>
    <w:link w:val="BalloonText"/>
    <w:rsid w:val="00B746DF"/>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59251441">
      <w:bodyDiv w:val="1"/>
      <w:marLeft w:val="0"/>
      <w:marRight w:val="0"/>
      <w:marTop w:val="0"/>
      <w:marBottom w:val="0"/>
      <w:divBdr>
        <w:top w:val="none" w:sz="0" w:space="0" w:color="auto"/>
        <w:left w:val="none" w:sz="0" w:space="0" w:color="auto"/>
        <w:bottom w:val="none" w:sz="0" w:space="0" w:color="auto"/>
        <w:right w:val="none" w:sz="0" w:space="0" w:color="auto"/>
      </w:divBdr>
    </w:div>
    <w:div w:id="176165670">
      <w:bodyDiv w:val="1"/>
      <w:marLeft w:val="0"/>
      <w:marRight w:val="0"/>
      <w:marTop w:val="0"/>
      <w:marBottom w:val="0"/>
      <w:divBdr>
        <w:top w:val="none" w:sz="0" w:space="0" w:color="auto"/>
        <w:left w:val="none" w:sz="0" w:space="0" w:color="auto"/>
        <w:bottom w:val="none" w:sz="0" w:space="0" w:color="auto"/>
        <w:right w:val="none" w:sz="0" w:space="0" w:color="auto"/>
      </w:divBdr>
    </w:div>
    <w:div w:id="182281170">
      <w:bodyDiv w:val="1"/>
      <w:marLeft w:val="0"/>
      <w:marRight w:val="0"/>
      <w:marTop w:val="0"/>
      <w:marBottom w:val="0"/>
      <w:divBdr>
        <w:top w:val="none" w:sz="0" w:space="0" w:color="auto"/>
        <w:left w:val="none" w:sz="0" w:space="0" w:color="auto"/>
        <w:bottom w:val="none" w:sz="0" w:space="0" w:color="auto"/>
        <w:right w:val="none" w:sz="0" w:space="0" w:color="auto"/>
      </w:divBdr>
    </w:div>
    <w:div w:id="397022179">
      <w:bodyDiv w:val="1"/>
      <w:marLeft w:val="0"/>
      <w:marRight w:val="0"/>
      <w:marTop w:val="0"/>
      <w:marBottom w:val="0"/>
      <w:divBdr>
        <w:top w:val="none" w:sz="0" w:space="0" w:color="auto"/>
        <w:left w:val="none" w:sz="0" w:space="0" w:color="auto"/>
        <w:bottom w:val="none" w:sz="0" w:space="0" w:color="auto"/>
        <w:right w:val="none" w:sz="0" w:space="0" w:color="auto"/>
      </w:divBdr>
    </w:div>
    <w:div w:id="982008380">
      <w:bodyDiv w:val="1"/>
      <w:marLeft w:val="0"/>
      <w:marRight w:val="0"/>
      <w:marTop w:val="0"/>
      <w:marBottom w:val="0"/>
      <w:divBdr>
        <w:top w:val="none" w:sz="0" w:space="0" w:color="auto"/>
        <w:left w:val="none" w:sz="0" w:space="0" w:color="auto"/>
        <w:bottom w:val="none" w:sz="0" w:space="0" w:color="auto"/>
        <w:right w:val="none" w:sz="0" w:space="0" w:color="auto"/>
      </w:divBdr>
    </w:div>
    <w:div w:id="1247616347">
      <w:bodyDiv w:val="1"/>
      <w:marLeft w:val="0"/>
      <w:marRight w:val="0"/>
      <w:marTop w:val="0"/>
      <w:marBottom w:val="0"/>
      <w:divBdr>
        <w:top w:val="none" w:sz="0" w:space="0" w:color="auto"/>
        <w:left w:val="none" w:sz="0" w:space="0" w:color="auto"/>
        <w:bottom w:val="none" w:sz="0" w:space="0" w:color="auto"/>
        <w:right w:val="none" w:sz="0" w:space="0" w:color="auto"/>
      </w:divBdr>
    </w:div>
    <w:div w:id="1252157978">
      <w:bodyDiv w:val="1"/>
      <w:marLeft w:val="0"/>
      <w:marRight w:val="0"/>
      <w:marTop w:val="0"/>
      <w:marBottom w:val="0"/>
      <w:divBdr>
        <w:top w:val="none" w:sz="0" w:space="0" w:color="auto"/>
        <w:left w:val="none" w:sz="0" w:space="0" w:color="auto"/>
        <w:bottom w:val="none" w:sz="0" w:space="0" w:color="auto"/>
        <w:right w:val="none" w:sz="0" w:space="0" w:color="auto"/>
      </w:divBdr>
    </w:div>
    <w:div w:id="1268612005">
      <w:bodyDiv w:val="1"/>
      <w:marLeft w:val="0"/>
      <w:marRight w:val="0"/>
      <w:marTop w:val="0"/>
      <w:marBottom w:val="0"/>
      <w:divBdr>
        <w:top w:val="none" w:sz="0" w:space="0" w:color="auto"/>
        <w:left w:val="none" w:sz="0" w:space="0" w:color="auto"/>
        <w:bottom w:val="none" w:sz="0" w:space="0" w:color="auto"/>
        <w:right w:val="none" w:sz="0" w:space="0" w:color="auto"/>
      </w:divBdr>
    </w:div>
    <w:div w:id="1647933077">
      <w:bodyDiv w:val="1"/>
      <w:marLeft w:val="0"/>
      <w:marRight w:val="0"/>
      <w:marTop w:val="0"/>
      <w:marBottom w:val="0"/>
      <w:divBdr>
        <w:top w:val="none" w:sz="0" w:space="0" w:color="auto"/>
        <w:left w:val="none" w:sz="0" w:space="0" w:color="auto"/>
        <w:bottom w:val="none" w:sz="0" w:space="0" w:color="auto"/>
        <w:right w:val="none" w:sz="0" w:space="0" w:color="auto"/>
      </w:divBdr>
    </w:div>
    <w:div w:id="1885094605">
      <w:bodyDiv w:val="1"/>
      <w:marLeft w:val="0"/>
      <w:marRight w:val="0"/>
      <w:marTop w:val="0"/>
      <w:marBottom w:val="0"/>
      <w:divBdr>
        <w:top w:val="none" w:sz="0" w:space="0" w:color="auto"/>
        <w:left w:val="none" w:sz="0" w:space="0" w:color="auto"/>
        <w:bottom w:val="none" w:sz="0" w:space="0" w:color="auto"/>
        <w:right w:val="none" w:sz="0" w:space="0" w:color="auto"/>
      </w:divBdr>
    </w:div>
    <w:div w:id="198870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rk1\Documents\Low%20power%20wifi\IEEE%20802.11ah\Internal\TGah\CC09\Comment%20resol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D4925-ECC4-4135-A9CD-3DBC3657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48</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 IEEE 802.11-13/xxxxr0</vt:lpstr>
    </vt:vector>
  </TitlesOfParts>
  <Company>Some Company</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802.11-13/xxxxr0</dc:title>
  <dc:subject>Submission</dc:subject>
  <dc:creator>mpark1</dc:creator>
  <cp:keywords>July 2013</cp:keywords>
  <dc:description>Minyoung Park, Intel Corporation</dc:description>
  <cp:lastModifiedBy>Betty Zhao</cp:lastModifiedBy>
  <cp:revision>13</cp:revision>
  <cp:lastPrinted>1601-01-01T00:00:00Z</cp:lastPrinted>
  <dcterms:created xsi:type="dcterms:W3CDTF">2013-08-01T01:59:00Z</dcterms:created>
  <dcterms:modified xsi:type="dcterms:W3CDTF">2013-08-24T03:25:00Z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(4)0SXmumvBJfMRk2Hw53gbTLLlr7xQwA6TLgrCRYCq2uR/46zSxBFisJ4x6+poq6ErCT2j1R3u
VDYwnF98U/c9BGPlQFGjxRrvfml2mXlO9BMBfkYsFmqHd5yEjeBuKJ5OHmCzz8KxVUEUlYTn
0U2zQIXSBH1m9RmiPUPOzNuwhRuJ+c+pO6swcbBd1ET2e9rJBVvCHGNUr+0yVJdHpHC5u8JX
hLPhiQwCsED9WNddRB</vt:lpwstr>
  </property>
  <property fmtid="{D5CDD505-2E9C-101B-9397-08002B2CF9AE}" pid="3" name="_ms_pID_7253431">
    <vt:lpwstr>3seRmRDEsRpJX2fQgyem/oLZj0seGukxYYG/msvAHxXOtxtkpqFK68
RXVrgA8d6uC3oppWR2EKuRiiLIIxeq8dMvH8kAHQxkc425A2DinXwNsCDQM3pVnvatPHmnVh
MntexYdSfLFsV/UWxT2I5qQ0wVba7kUReZhVzyKyKTGEc9rjhiqDtka8y829PiUyOUpOMD/B
OflXVnKI4Cl4VDVyG7rWK/tf7tW3fD87EY2O</vt:lpwstr>
  </property>
  <property fmtid="{D5CDD505-2E9C-101B-9397-08002B2CF9AE}" pid="4" name="sflag">
    <vt:lpwstr>1377313069</vt:lpwstr>
  </property>
  <property fmtid="{D5CDD505-2E9C-101B-9397-08002B2CF9AE}" pid="5" name="_ms_pID_7253432">
    <vt:lpwstr>VPe76FtBv/YQDDYmFKoRSEXUuSCqcyfFia3K
r/eUnTUwBcnAvLqGWqPVVNxie0mKzL+Z3xEJSbQE52OMg7UMD70u3B7ZOXMaBHRw+iuSfFBX
mQ/anNnlS1K9nX915cwJYBqEC+L/8n1brYWdvCI+kPEiSsWLSE7BqMe2IxYQc3ji4qx5yzwH
SIDDIi2422KJNGiQ5TkrFb68hu3v60jgoAcrQVk+wtF1Y8LFMv9MEa</vt:lpwstr>
  </property>
  <property fmtid="{D5CDD505-2E9C-101B-9397-08002B2CF9AE}" pid="6" name="_ms_pID_7253433">
    <vt:lpwstr>95ejSp+LPh1dw8XZmJ
Xc06+BLkEm3m32b4hxbhGVp4HLVJsL5juK2WYc2DUxegSdlGbBvDK3Xz6Nxqg3Msza9SMA==</vt:lpwstr>
  </property>
</Properties>
</file>