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674305" w:rsidP="009F4DF6">
            <w:pPr>
              <w:pStyle w:val="T2"/>
            </w:pPr>
            <w:r>
              <w:t xml:space="preserve">Proposal for </w:t>
            </w:r>
            <w:r w:rsidR="009F4DF6">
              <w:t>5850-5925 MHz unlicensed</w:t>
            </w:r>
            <w:r>
              <w:t xml:space="preserve"> devices</w:t>
            </w:r>
          </w:p>
        </w:tc>
      </w:tr>
      <w:tr w:rsidR="00CA09B2">
        <w:trPr>
          <w:trHeight w:val="359"/>
          <w:jc w:val="center"/>
        </w:trPr>
        <w:tc>
          <w:tcPr>
            <w:tcW w:w="9576" w:type="dxa"/>
            <w:gridSpan w:val="5"/>
            <w:vAlign w:val="center"/>
          </w:tcPr>
          <w:p w:rsidR="00CA09B2" w:rsidRDefault="00CA09B2" w:rsidP="00674305">
            <w:pPr>
              <w:pStyle w:val="T2"/>
              <w:ind w:left="0"/>
              <w:rPr>
                <w:sz w:val="20"/>
              </w:rPr>
            </w:pPr>
            <w:r>
              <w:rPr>
                <w:sz w:val="20"/>
              </w:rPr>
              <w:t>Date:</w:t>
            </w:r>
            <w:r>
              <w:rPr>
                <w:b w:val="0"/>
                <w:sz w:val="20"/>
              </w:rPr>
              <w:t xml:space="preserve">  </w:t>
            </w:r>
            <w:r w:rsidR="00637191">
              <w:rPr>
                <w:b w:val="0"/>
                <w:sz w:val="20"/>
              </w:rPr>
              <w:t>2013</w:t>
            </w:r>
            <w:r>
              <w:rPr>
                <w:b w:val="0"/>
                <w:sz w:val="20"/>
              </w:rPr>
              <w:t>-</w:t>
            </w:r>
            <w:r w:rsidR="00637191">
              <w:rPr>
                <w:b w:val="0"/>
                <w:sz w:val="20"/>
              </w:rPr>
              <w:t>08</w:t>
            </w:r>
            <w:r>
              <w:rPr>
                <w:b w:val="0"/>
                <w:sz w:val="20"/>
              </w:rPr>
              <w:t>-</w:t>
            </w:r>
            <w:r w:rsidR="00674305">
              <w:rPr>
                <w:b w:val="0"/>
                <w:sz w:val="20"/>
              </w:rPr>
              <w:t>28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326E4">
            <w:pPr>
              <w:pStyle w:val="T2"/>
              <w:spacing w:after="0"/>
              <w:ind w:left="0" w:right="0"/>
              <w:rPr>
                <w:b w:val="0"/>
                <w:sz w:val="20"/>
              </w:rPr>
            </w:pPr>
            <w:r>
              <w:rPr>
                <w:b w:val="0"/>
                <w:sz w:val="20"/>
              </w:rPr>
              <w:t>Peter Ecclesine</w:t>
            </w:r>
          </w:p>
        </w:tc>
        <w:tc>
          <w:tcPr>
            <w:tcW w:w="2064" w:type="dxa"/>
            <w:vAlign w:val="center"/>
          </w:tcPr>
          <w:p w:rsidR="00CA09B2" w:rsidRDefault="00D326E4">
            <w:pPr>
              <w:pStyle w:val="T2"/>
              <w:spacing w:after="0"/>
              <w:ind w:left="0" w:right="0"/>
              <w:rPr>
                <w:b w:val="0"/>
                <w:sz w:val="20"/>
              </w:rPr>
            </w:pPr>
            <w:r>
              <w:rPr>
                <w:b w:val="0"/>
                <w:sz w:val="20"/>
              </w:rPr>
              <w:t>Cisco Systems</w:t>
            </w:r>
          </w:p>
        </w:tc>
        <w:tc>
          <w:tcPr>
            <w:tcW w:w="2814" w:type="dxa"/>
            <w:vAlign w:val="center"/>
          </w:tcPr>
          <w:p w:rsidR="00CA09B2" w:rsidRDefault="00D326E4">
            <w:pPr>
              <w:pStyle w:val="T2"/>
              <w:spacing w:after="0"/>
              <w:ind w:left="0" w:right="0"/>
              <w:rPr>
                <w:b w:val="0"/>
                <w:sz w:val="20"/>
              </w:rPr>
            </w:pPr>
            <w:r>
              <w:rPr>
                <w:b w:val="0"/>
                <w:sz w:val="20"/>
              </w:rPr>
              <w:t>170 W. Tasman Dr., MS SJ-14-4, San Jose, CA 95134-1706</w:t>
            </w:r>
          </w:p>
        </w:tc>
        <w:tc>
          <w:tcPr>
            <w:tcW w:w="1715" w:type="dxa"/>
            <w:vAlign w:val="center"/>
          </w:tcPr>
          <w:p w:rsidR="00CA09B2" w:rsidRDefault="00D326E4">
            <w:pPr>
              <w:pStyle w:val="T2"/>
              <w:spacing w:after="0"/>
              <w:ind w:left="0" w:right="0"/>
              <w:rPr>
                <w:b w:val="0"/>
                <w:sz w:val="20"/>
              </w:rPr>
            </w:pPr>
            <w:r>
              <w:rPr>
                <w:b w:val="0"/>
                <w:sz w:val="20"/>
              </w:rPr>
              <w:t>+1-408-527-0815</w:t>
            </w:r>
          </w:p>
        </w:tc>
        <w:tc>
          <w:tcPr>
            <w:tcW w:w="1647" w:type="dxa"/>
            <w:vAlign w:val="center"/>
          </w:tcPr>
          <w:p w:rsidR="00CA09B2" w:rsidRDefault="00D326E4">
            <w:pPr>
              <w:pStyle w:val="T2"/>
              <w:spacing w:after="0"/>
              <w:ind w:left="0" w:right="0"/>
              <w:rPr>
                <w:b w:val="0"/>
                <w:sz w:val="16"/>
              </w:rPr>
            </w:pPr>
            <w:r>
              <w:rPr>
                <w:b w:val="0"/>
                <w:sz w:val="16"/>
              </w:rPr>
              <w:t>pecclesi@cisco.com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D04F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326E4">
                            <w:pPr>
                              <w:jc w:val="both"/>
                            </w:pPr>
                            <w:r>
                              <w:t xml:space="preserve">Proposed </w:t>
                            </w:r>
                            <w:r w:rsidR="00674305">
                              <w:t xml:space="preserve">requirements for </w:t>
                            </w:r>
                            <w:r w:rsidR="009F4DF6">
                              <w:t>5850-5925 MHz unlicensed</w:t>
                            </w:r>
                            <w:r w:rsidR="00674305">
                              <w:t xml:space="preserve"> devices to coexist with DSRC devices</w:t>
                            </w:r>
                            <w:r w:rsidR="009F4DF6">
                              <w:t xml:space="preserve"> in United States under FCC docket 13-49</w:t>
                            </w:r>
                            <w:r>
                              <w:t>.</w:t>
                            </w:r>
                          </w:p>
                          <w:p w:rsidR="00CE57F1" w:rsidRDefault="00CE57F1">
                            <w:pPr>
                              <w:jc w:val="both"/>
                            </w:pPr>
                          </w:p>
                          <w:p w:rsidR="00CE57F1" w:rsidRDefault="00CE57F1">
                            <w:pPr>
                              <w:jc w:val="both"/>
                            </w:pPr>
                            <w:r>
                              <w:t>No change to ITS/DSRC rules or devices is proposed.</w:t>
                            </w:r>
                          </w:p>
                          <w:p w:rsidR="00783EEB" w:rsidRDefault="00783EE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D326E4">
                      <w:pPr>
                        <w:jc w:val="both"/>
                      </w:pPr>
                      <w:r>
                        <w:t xml:space="preserve">Proposed </w:t>
                      </w:r>
                      <w:r w:rsidR="00674305">
                        <w:t xml:space="preserve">requirements for </w:t>
                      </w:r>
                      <w:r w:rsidR="009F4DF6">
                        <w:t>5850-5925 MHz unlicensed</w:t>
                      </w:r>
                      <w:r w:rsidR="00674305">
                        <w:t xml:space="preserve"> devices to coexist with DSRC devices</w:t>
                      </w:r>
                      <w:r w:rsidR="009F4DF6">
                        <w:t xml:space="preserve"> in United States under FCC docket 13-49</w:t>
                      </w:r>
                      <w:r>
                        <w:t>.</w:t>
                      </w:r>
                    </w:p>
                    <w:p w:rsidR="00CE57F1" w:rsidRDefault="00CE57F1">
                      <w:pPr>
                        <w:jc w:val="both"/>
                      </w:pPr>
                    </w:p>
                    <w:p w:rsidR="00CE57F1" w:rsidRDefault="00CE57F1">
                      <w:pPr>
                        <w:jc w:val="both"/>
                      </w:pPr>
                      <w:r>
                        <w:t>No change to ITS/DSRC rules or devices is proposed.</w:t>
                      </w:r>
                    </w:p>
                    <w:p w:rsidR="00783EEB" w:rsidRDefault="00783EEB">
                      <w:pPr>
                        <w:jc w:val="both"/>
                      </w:pPr>
                    </w:p>
                  </w:txbxContent>
                </v:textbox>
              </v:shape>
            </w:pict>
          </mc:Fallback>
        </mc:AlternateContent>
      </w:r>
    </w:p>
    <w:p w:rsidR="00CA09B2" w:rsidRDefault="00CA09B2" w:rsidP="00D326E4">
      <w:r>
        <w:br w:type="page"/>
      </w:r>
    </w:p>
    <w:p w:rsidR="00783EEB" w:rsidRDefault="00783EEB" w:rsidP="00783EEB">
      <w:pPr>
        <w:rPr>
          <w:rFonts w:eastAsia="MS Mincho"/>
          <w:b/>
          <w:sz w:val="20"/>
          <w:lang w:eastAsia="ja-JP"/>
        </w:rPr>
      </w:pPr>
      <w:r w:rsidRPr="009B783B">
        <w:rPr>
          <w:rFonts w:eastAsia="MS Mincho"/>
          <w:b/>
          <w:sz w:val="20"/>
          <w:lang w:eastAsia="ja-JP"/>
        </w:rPr>
        <w:lastRenderedPageBreak/>
        <w:t>Discussions</w:t>
      </w:r>
      <w:r w:rsidRPr="009B783B">
        <w:rPr>
          <w:rFonts w:eastAsia="MS Mincho" w:hint="eastAsia"/>
          <w:b/>
          <w:sz w:val="20"/>
          <w:lang w:eastAsia="ja-JP"/>
        </w:rPr>
        <w:t xml:space="preserve">: </w:t>
      </w:r>
    </w:p>
    <w:p w:rsidR="00B17182" w:rsidRDefault="00796991" w:rsidP="00783EEB">
      <w:pPr>
        <w:pStyle w:val="SP3311307"/>
        <w:rPr>
          <w:rFonts w:ascii="TimesNewRomanPSMT" w:eastAsia="MS Mincho" w:hAnsi="TimesNewRomanPSMT" w:cs="TimesNewRomanPSMT"/>
          <w:sz w:val="22"/>
          <w:szCs w:val="22"/>
        </w:rPr>
      </w:pPr>
      <w:r>
        <w:rPr>
          <w:rFonts w:ascii="TimesNewRomanPSMT" w:eastAsia="MS Mincho" w:hAnsi="TimesNewRomanPSMT" w:cs="TimesNewRomanPSMT"/>
          <w:sz w:val="22"/>
          <w:szCs w:val="22"/>
        </w:rPr>
        <w:t>The</w:t>
      </w:r>
      <w:r w:rsidR="00CE70D4">
        <w:rPr>
          <w:rFonts w:ascii="TimesNewRomanPSMT" w:eastAsia="MS Mincho" w:hAnsi="TimesNewRomanPSMT" w:cs="TimesNewRomanPSMT"/>
          <w:sz w:val="22"/>
          <w:szCs w:val="22"/>
        </w:rPr>
        <w:t xml:space="preserve"> 802.11</w:t>
      </w:r>
      <w:r w:rsidR="00A4441C">
        <w:rPr>
          <w:rFonts w:ascii="TimesNewRomanPSMT" w:eastAsia="MS Mincho" w:hAnsi="TimesNewRomanPSMT" w:cs="TimesNewRomanPSMT"/>
          <w:sz w:val="22"/>
          <w:szCs w:val="22"/>
        </w:rPr>
        <w:t>p</w:t>
      </w:r>
      <w:r w:rsidR="00CE70D4">
        <w:rPr>
          <w:rFonts w:ascii="TimesNewRomanPSMT" w:eastAsia="MS Mincho" w:hAnsi="TimesNewRomanPSMT" w:cs="TimesNewRomanPSMT"/>
          <w:sz w:val="22"/>
          <w:szCs w:val="22"/>
        </w:rPr>
        <w:t xml:space="preserve"> Clear Channel Assessment</w:t>
      </w:r>
      <w:r w:rsidR="00B17182">
        <w:rPr>
          <w:rFonts w:ascii="TimesNewRomanPSMT" w:eastAsia="MS Mincho" w:hAnsi="TimesNewRomanPSMT" w:cs="TimesNewRomanPSMT"/>
          <w:sz w:val="22"/>
          <w:szCs w:val="22"/>
        </w:rPr>
        <w:t xml:space="preserve"> thresholds are given in 802.11-2012 18.3.10.6:</w:t>
      </w:r>
    </w:p>
    <w:p w:rsidR="00B17182" w:rsidRDefault="00B17182" w:rsidP="00B17182">
      <w:pPr>
        <w:autoSpaceDE w:val="0"/>
        <w:autoSpaceDN w:val="0"/>
        <w:adjustRightInd w:val="0"/>
        <w:rPr>
          <w:rFonts w:ascii="TimesNewRoman" w:hAnsi="TimesNewRoman" w:cs="TimesNewRoman"/>
          <w:sz w:val="20"/>
        </w:rPr>
      </w:pPr>
      <w:r>
        <w:rPr>
          <w:rFonts w:ascii="TimesNewRoman" w:hAnsi="TimesNewRoman" w:cs="TimesNewRoman"/>
          <w:sz w:val="20"/>
          <w:lang w:val="en-US"/>
        </w:rPr>
        <w:t xml:space="preserve">The start of a valid OFDM transmission at a receive level equal to or greater than the minimum modulation and coding rate sensitivity (–82 dBm for 20 MHz channel spacing, –85 dBm for 10 MHz channel spacing, and –88 dBm for 5 MHz channel spacing) shall cause CS/CCA to indicate busy with a probability &gt; 90% within 4 </w:t>
      </w:r>
      <w:r>
        <w:rPr>
          <w:sz w:val="20"/>
          <w:lang w:val="en-US"/>
        </w:rPr>
        <w:t>µ</w:t>
      </w:r>
      <w:r>
        <w:rPr>
          <w:rFonts w:ascii="TimesNewRoman" w:hAnsi="TimesNewRoman" w:cs="TimesNewRoman"/>
          <w:sz w:val="20"/>
          <w:lang w:val="en-US"/>
        </w:rPr>
        <w:t xml:space="preserve">s for 20 MHz channel spacing, 8 </w:t>
      </w:r>
      <w:r>
        <w:rPr>
          <w:sz w:val="20"/>
          <w:lang w:val="en-US"/>
        </w:rPr>
        <w:t>µ</w:t>
      </w:r>
      <w:r>
        <w:rPr>
          <w:rFonts w:ascii="TimesNewRoman" w:hAnsi="TimesNewRoman" w:cs="TimesNewRoman"/>
          <w:sz w:val="20"/>
          <w:lang w:val="en-US"/>
        </w:rPr>
        <w:t xml:space="preserve">s for 10 MHz channel spacing, and 16 </w:t>
      </w:r>
      <w:r>
        <w:rPr>
          <w:sz w:val="20"/>
          <w:lang w:val="en-US"/>
        </w:rPr>
        <w:t>µ</w:t>
      </w:r>
      <w:r>
        <w:rPr>
          <w:rFonts w:ascii="TimesNewRoman" w:hAnsi="TimesNewRoman" w:cs="TimesNewRoman"/>
          <w:sz w:val="20"/>
          <w:lang w:val="en-US"/>
        </w:rPr>
        <w:t>s for 5 MHz channel spacing. If the preamble portion was missed, the receiver shall hold the CCA signal busy for any signal 20 dB above the minimum modulation and coding rate sensitivity (–62 dBm for 20 MHz channel spacing, –65 dBm for 10 MHz channel spacing, and –68 dBm for 5 MHz channel spacing).</w:t>
      </w:r>
    </w:p>
    <w:p w:rsidR="00783EEB" w:rsidRPr="00796991" w:rsidRDefault="00B17182" w:rsidP="00B17182">
      <w:pPr>
        <w:autoSpaceDE w:val="0"/>
        <w:autoSpaceDN w:val="0"/>
        <w:adjustRightInd w:val="0"/>
        <w:rPr>
          <w:rFonts w:ascii="TimesNewRomanPSMT" w:eastAsia="MS Mincho" w:hAnsi="TimesNewRomanPSMT" w:cs="TimesNewRomanPSMT"/>
          <w:szCs w:val="22"/>
        </w:rPr>
      </w:pPr>
      <w:r>
        <w:rPr>
          <w:rFonts w:ascii="TimesNewRoman" w:hAnsi="TimesNewRoman" w:cs="TimesNewRoman"/>
          <w:sz w:val="18"/>
          <w:szCs w:val="18"/>
          <w:lang w:val="en-US"/>
        </w:rPr>
        <w:t>NOTE—The requirement to hold the CCA signal busy for any signal 20dB above the minimum modulation and coding rate sensitivity (–62 dBm for 20 MHz channel spacing, –65 dBm for 10 MHz channel spacing, and –68 dBm for 5 MHz channel spacing) is a mandatory energy detect requirement on all Clause 18 receivers.</w:t>
      </w:r>
      <w:r w:rsidR="00CE70D4">
        <w:rPr>
          <w:rFonts w:ascii="TimesNewRomanPSMT" w:eastAsia="MS Mincho" w:hAnsi="TimesNewRomanPSMT" w:cs="TimesNewRomanPSMT"/>
          <w:szCs w:val="22"/>
        </w:rPr>
        <w:t xml:space="preserve"> </w:t>
      </w:r>
      <w:r w:rsidR="00796991">
        <w:rPr>
          <w:rFonts w:ascii="TimesNewRomanPSMT" w:eastAsia="MS Mincho" w:hAnsi="TimesNewRomanPSMT" w:cs="TimesNewRomanPSMT"/>
          <w:szCs w:val="22"/>
        </w:rPr>
        <w:t xml:space="preserve"> </w:t>
      </w:r>
    </w:p>
    <w:p w:rsidR="00783EEB" w:rsidRDefault="00783EEB" w:rsidP="00783EEB">
      <w:pPr>
        <w:rPr>
          <w:rFonts w:eastAsia="MS Mincho"/>
          <w:b/>
          <w:lang w:eastAsia="ja-JP"/>
        </w:rPr>
      </w:pPr>
    </w:p>
    <w:p w:rsidR="00B17182" w:rsidRDefault="00B17182" w:rsidP="00783EEB">
      <w:pPr>
        <w:rPr>
          <w:rFonts w:ascii="TimesNewRomanPSMT" w:eastAsia="MS Mincho" w:hAnsi="TimesNewRomanPSMT" w:cs="TimesNewRomanPSMT"/>
          <w:szCs w:val="22"/>
        </w:rPr>
      </w:pPr>
      <w:r>
        <w:rPr>
          <w:rFonts w:ascii="TimesNewRomanPSMT" w:eastAsia="MS Mincho" w:hAnsi="TimesNewRomanPSMT" w:cs="TimesNewRomanPSMT"/>
          <w:szCs w:val="22"/>
        </w:rPr>
        <w:t>The 802.11ac Clear Channel Assessment thresholds are given in P802.11ac Draft 6.0 22.3.19.5.3:</w:t>
      </w:r>
    </w:p>
    <w:p w:rsidR="00B17182" w:rsidRDefault="00B17182" w:rsidP="00B1718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With &gt;90% probability, the PHY shall detect the start of a PPDU that occupies at least the primary 20 MHz channel under the conditions listed in Table 22-27 (Conditions for CCA BUSY on the primary 20 MHz) within a period of aCCATime (see 22.4.4 (PHY characteristics)) and hold the CCA signal busy (PHY_CCA.indicate(BUSY, channel-list)) for the duration of the PPDU. </w:t>
      </w:r>
    </w:p>
    <w:p w:rsidR="00B17182" w:rsidRPr="0064549F" w:rsidRDefault="00B17182" w:rsidP="00B17182">
      <w:pPr>
        <w:autoSpaceDE w:val="0"/>
        <w:autoSpaceDN w:val="0"/>
        <w:adjustRightInd w:val="0"/>
        <w:rPr>
          <w:rFonts w:eastAsia="MS Mincho"/>
          <w:b/>
          <w:lang w:eastAsia="ja-JP"/>
        </w:rPr>
      </w:pPr>
      <w:r>
        <w:rPr>
          <w:rFonts w:ascii="TimesNewRomanPSMT" w:hAnsi="TimesNewRomanPSMT" w:cs="TimesNewRomanPSMT"/>
          <w:sz w:val="20"/>
          <w:lang w:val="en-US"/>
        </w:rPr>
        <w:t>The receiver shall issue a PHY-CCA.indication(BUSY, {primary}) for any signal that exceeds a threshold equal to 20 dB above the minimum modulation and coding rate sensitivity (</w:t>
      </w:r>
      <w:r>
        <w:rPr>
          <w:rFonts w:ascii="TimesNewRomanPSMT" w:hAnsi="TimesNewRomanPSMT" w:cs="TimesNewRomanPSMT"/>
          <w:sz w:val="18"/>
          <w:szCs w:val="18"/>
          <w:lang w:val="en-US"/>
        </w:rPr>
        <w:t>–</w:t>
      </w:r>
      <w:r>
        <w:rPr>
          <w:rFonts w:ascii="TimesNewRomanPSMT" w:hAnsi="TimesNewRomanPSMT" w:cs="TimesNewRomanPSMT"/>
          <w:sz w:val="20"/>
          <w:lang w:val="en-US"/>
        </w:rPr>
        <w:t xml:space="preserve">82 + 20 = </w:t>
      </w:r>
      <w:r>
        <w:rPr>
          <w:rFonts w:ascii="TimesNewRomanPSMT" w:hAnsi="TimesNewRomanPSMT" w:cs="TimesNewRomanPSMT"/>
          <w:sz w:val="18"/>
          <w:szCs w:val="18"/>
          <w:lang w:val="en-US"/>
        </w:rPr>
        <w:t>–</w:t>
      </w:r>
      <w:r>
        <w:rPr>
          <w:rFonts w:ascii="TimesNewRomanPSMT" w:hAnsi="TimesNewRomanPSMT" w:cs="TimesNewRomanPSMT"/>
          <w:sz w:val="20"/>
          <w:lang w:val="en-US"/>
        </w:rPr>
        <w:t>62 dBm) in the primary 20 MHz channel within a period of aCCATime after the signal arrives at the receiver's antenna(s); then the receiver shall not issue a PHY-CCA.indication(BUSY,{secondary}), PHY-CCA.indication(BUSY,{secondary40}), PHY-CCA.indication(BUSY,{secondary80}) or PHY-CCA.indication(IDLE) while the threshold continues to be exceeded.</w:t>
      </w:r>
    </w:p>
    <w:p w:rsidR="00783EEB" w:rsidRDefault="00783EEB" w:rsidP="00783EEB">
      <w:pPr>
        <w:pStyle w:val="SP3311352"/>
        <w:rPr>
          <w:rFonts w:eastAsia="MS Mincho"/>
          <w:color w:val="000000"/>
        </w:rPr>
      </w:pPr>
    </w:p>
    <w:p w:rsidR="00B17182" w:rsidRDefault="00E001ED" w:rsidP="00B17182">
      <w:pPr>
        <w:rPr>
          <w:rFonts w:eastAsia="MS Mincho"/>
          <w:lang w:val="en-US" w:eastAsia="ja-JP"/>
        </w:rPr>
      </w:pPr>
      <w:r>
        <w:rPr>
          <w:rFonts w:eastAsia="MS Mincho"/>
          <w:lang w:val="en-US" w:eastAsia="ja-JP"/>
        </w:rPr>
        <w:t xml:space="preserve">FCC 90.377 </w:t>
      </w:r>
      <w:r w:rsidR="001E08FA">
        <w:rPr>
          <w:rFonts w:eastAsia="MS Mincho"/>
          <w:lang w:val="en-US" w:eastAsia="ja-JP"/>
        </w:rPr>
        <w:t xml:space="preserve">and 95.1511 </w:t>
      </w:r>
      <w:r>
        <w:rPr>
          <w:rFonts w:eastAsia="MS Mincho"/>
          <w:lang w:val="en-US" w:eastAsia="ja-JP"/>
        </w:rPr>
        <w:t>give the DSRC channel assignments</w:t>
      </w:r>
      <w:r w:rsidR="001E08FA">
        <w:rPr>
          <w:rFonts w:eastAsia="MS Mincho"/>
          <w:lang w:val="en-US" w:eastAsia="ja-JP"/>
        </w:rPr>
        <w:t>:</w:t>
      </w:r>
    </w:p>
    <w:tbl>
      <w:tblPr>
        <w:tblStyle w:val="TableGrid"/>
        <w:tblW w:w="0" w:type="auto"/>
        <w:tblLook w:val="04A0" w:firstRow="1" w:lastRow="0" w:firstColumn="1" w:lastColumn="0" w:noHBand="0" w:noVBand="1"/>
      </w:tblPr>
      <w:tblGrid>
        <w:gridCol w:w="3192"/>
        <w:gridCol w:w="3192"/>
        <w:gridCol w:w="3192"/>
      </w:tblGrid>
      <w:tr w:rsidR="00E001ED" w:rsidTr="00E001ED">
        <w:tc>
          <w:tcPr>
            <w:tcW w:w="3192" w:type="dxa"/>
          </w:tcPr>
          <w:p w:rsidR="00E001ED" w:rsidRDefault="00E001ED" w:rsidP="00E001ED">
            <w:pPr>
              <w:rPr>
                <w:rFonts w:eastAsia="MS Mincho"/>
                <w:lang w:val="en-US" w:eastAsia="ja-JP"/>
              </w:rPr>
            </w:pPr>
            <w:r>
              <w:rPr>
                <w:rFonts w:eastAsia="MS Mincho"/>
                <w:lang w:val="en-US" w:eastAsia="ja-JP"/>
              </w:rPr>
              <w:t>Channel number</w:t>
            </w:r>
          </w:p>
        </w:tc>
        <w:tc>
          <w:tcPr>
            <w:tcW w:w="3192" w:type="dxa"/>
          </w:tcPr>
          <w:p w:rsidR="00E001ED" w:rsidRDefault="00E001ED" w:rsidP="00B17182">
            <w:pPr>
              <w:rPr>
                <w:rFonts w:eastAsia="MS Mincho"/>
                <w:lang w:val="en-US" w:eastAsia="ja-JP"/>
              </w:rPr>
            </w:pPr>
            <w:r>
              <w:rPr>
                <w:rFonts w:eastAsia="MS Mincho"/>
                <w:lang w:val="en-US" w:eastAsia="ja-JP"/>
              </w:rPr>
              <w:t>Frequency range (MHz)</w:t>
            </w:r>
          </w:p>
        </w:tc>
        <w:tc>
          <w:tcPr>
            <w:tcW w:w="3192" w:type="dxa"/>
          </w:tcPr>
          <w:p w:rsidR="00E001ED" w:rsidRDefault="00E001ED" w:rsidP="00B17182">
            <w:pPr>
              <w:rPr>
                <w:rFonts w:eastAsia="MS Mincho"/>
                <w:lang w:val="en-US" w:eastAsia="ja-JP"/>
              </w:rPr>
            </w:pPr>
            <w:r>
              <w:rPr>
                <w:rFonts w:eastAsia="MS Mincho"/>
                <w:lang w:val="en-US" w:eastAsia="ja-JP"/>
              </w:rPr>
              <w:t>Channel use</w:t>
            </w:r>
          </w:p>
        </w:tc>
      </w:tr>
      <w:tr w:rsidR="00E001ED" w:rsidTr="00E001ED">
        <w:tc>
          <w:tcPr>
            <w:tcW w:w="3192" w:type="dxa"/>
          </w:tcPr>
          <w:p w:rsidR="00E001ED" w:rsidRDefault="00E001ED" w:rsidP="00B17182">
            <w:pPr>
              <w:rPr>
                <w:rFonts w:eastAsia="MS Mincho"/>
                <w:lang w:val="en-US" w:eastAsia="ja-JP"/>
              </w:rPr>
            </w:pPr>
            <w:r>
              <w:rPr>
                <w:rFonts w:eastAsia="MS Mincho"/>
                <w:lang w:val="en-US" w:eastAsia="ja-JP"/>
              </w:rPr>
              <w:t>170</w:t>
            </w:r>
          </w:p>
        </w:tc>
        <w:tc>
          <w:tcPr>
            <w:tcW w:w="3192" w:type="dxa"/>
          </w:tcPr>
          <w:p w:rsidR="00E001ED" w:rsidRDefault="00E001ED" w:rsidP="00B17182">
            <w:pPr>
              <w:rPr>
                <w:rFonts w:eastAsia="MS Mincho"/>
                <w:lang w:val="en-US" w:eastAsia="ja-JP"/>
              </w:rPr>
            </w:pPr>
            <w:r>
              <w:rPr>
                <w:rFonts w:eastAsia="MS Mincho"/>
                <w:lang w:val="en-US" w:eastAsia="ja-JP"/>
              </w:rPr>
              <w:t>5850-5855</w:t>
            </w:r>
          </w:p>
        </w:tc>
        <w:tc>
          <w:tcPr>
            <w:tcW w:w="3192" w:type="dxa"/>
          </w:tcPr>
          <w:p w:rsidR="00E001ED" w:rsidRDefault="00E001ED" w:rsidP="00B17182">
            <w:pPr>
              <w:rPr>
                <w:rFonts w:eastAsia="MS Mincho"/>
                <w:lang w:val="en-US" w:eastAsia="ja-JP"/>
              </w:rPr>
            </w:pPr>
            <w:r>
              <w:rPr>
                <w:rFonts w:eastAsia="MS Mincho"/>
                <w:lang w:val="en-US" w:eastAsia="ja-JP"/>
              </w:rPr>
              <w:t>Reserved</w:t>
            </w:r>
          </w:p>
        </w:tc>
      </w:tr>
      <w:tr w:rsidR="00E001ED" w:rsidTr="00E001ED">
        <w:tc>
          <w:tcPr>
            <w:tcW w:w="3192" w:type="dxa"/>
          </w:tcPr>
          <w:p w:rsidR="00E001ED" w:rsidRDefault="00E001ED" w:rsidP="00B17182">
            <w:pPr>
              <w:rPr>
                <w:rFonts w:eastAsia="MS Mincho"/>
                <w:lang w:val="en-US" w:eastAsia="ja-JP"/>
              </w:rPr>
            </w:pPr>
            <w:r>
              <w:rPr>
                <w:rFonts w:eastAsia="MS Mincho"/>
                <w:lang w:val="en-US" w:eastAsia="ja-JP"/>
              </w:rPr>
              <w:t>172</w:t>
            </w:r>
          </w:p>
        </w:tc>
        <w:tc>
          <w:tcPr>
            <w:tcW w:w="3192" w:type="dxa"/>
          </w:tcPr>
          <w:p w:rsidR="00E001ED" w:rsidRDefault="00E001ED" w:rsidP="00B17182">
            <w:pPr>
              <w:rPr>
                <w:rFonts w:eastAsia="MS Mincho"/>
                <w:lang w:val="en-US" w:eastAsia="ja-JP"/>
              </w:rPr>
            </w:pPr>
            <w:r>
              <w:rPr>
                <w:rFonts w:eastAsia="MS Mincho"/>
                <w:lang w:val="en-US" w:eastAsia="ja-JP"/>
              </w:rPr>
              <w:t>5855-5865</w:t>
            </w:r>
          </w:p>
        </w:tc>
        <w:tc>
          <w:tcPr>
            <w:tcW w:w="3192" w:type="dxa"/>
          </w:tcPr>
          <w:p w:rsidR="00E001ED" w:rsidRPr="00E001ED" w:rsidRDefault="00E001ED" w:rsidP="00B17182">
            <w:pPr>
              <w:rPr>
                <w:rFonts w:eastAsia="MS Mincho"/>
                <w:vertAlign w:val="superscript"/>
                <w:lang w:val="en-US" w:eastAsia="ja-JP"/>
              </w:rPr>
            </w:pPr>
            <w:r>
              <w:rPr>
                <w:rFonts w:eastAsia="MS Mincho"/>
                <w:lang w:val="en-US" w:eastAsia="ja-JP"/>
              </w:rPr>
              <w:t>Service channel</w:t>
            </w:r>
            <w:r>
              <w:rPr>
                <w:rFonts w:eastAsia="MS Mincho"/>
                <w:vertAlign w:val="superscript"/>
                <w:lang w:val="en-US" w:eastAsia="ja-JP"/>
              </w:rPr>
              <w:t>2</w:t>
            </w:r>
          </w:p>
        </w:tc>
      </w:tr>
      <w:tr w:rsidR="00E001ED" w:rsidTr="00E001ED">
        <w:tc>
          <w:tcPr>
            <w:tcW w:w="3192" w:type="dxa"/>
          </w:tcPr>
          <w:p w:rsidR="00E001ED" w:rsidRDefault="00E001ED" w:rsidP="00B17182">
            <w:pPr>
              <w:rPr>
                <w:rFonts w:eastAsia="MS Mincho"/>
                <w:lang w:val="en-US" w:eastAsia="ja-JP"/>
              </w:rPr>
            </w:pPr>
            <w:r>
              <w:rPr>
                <w:rFonts w:eastAsia="MS Mincho"/>
                <w:lang w:val="en-US" w:eastAsia="ja-JP"/>
              </w:rPr>
              <w:t>174</w:t>
            </w:r>
          </w:p>
        </w:tc>
        <w:tc>
          <w:tcPr>
            <w:tcW w:w="3192" w:type="dxa"/>
          </w:tcPr>
          <w:p w:rsidR="00E001ED" w:rsidRDefault="00E001ED" w:rsidP="00B17182">
            <w:pPr>
              <w:rPr>
                <w:rFonts w:eastAsia="MS Mincho"/>
                <w:lang w:val="en-US" w:eastAsia="ja-JP"/>
              </w:rPr>
            </w:pPr>
            <w:r>
              <w:rPr>
                <w:rFonts w:eastAsia="MS Mincho"/>
                <w:lang w:val="en-US" w:eastAsia="ja-JP"/>
              </w:rPr>
              <w:t>5865-5875</w:t>
            </w:r>
          </w:p>
        </w:tc>
        <w:tc>
          <w:tcPr>
            <w:tcW w:w="3192" w:type="dxa"/>
          </w:tcPr>
          <w:p w:rsidR="00E001ED" w:rsidRPr="00E001ED" w:rsidRDefault="00E001ED" w:rsidP="00B17182">
            <w:pPr>
              <w:rPr>
                <w:rFonts w:eastAsia="MS Mincho"/>
                <w:vertAlign w:val="superscript"/>
                <w:lang w:val="en-US" w:eastAsia="ja-JP"/>
              </w:rPr>
            </w:pPr>
            <w:r>
              <w:rPr>
                <w:rFonts w:eastAsia="MS Mincho"/>
                <w:lang w:val="en-US" w:eastAsia="ja-JP"/>
              </w:rPr>
              <w:t>Service channel</w:t>
            </w:r>
            <w:r>
              <w:rPr>
                <w:rFonts w:eastAsia="MS Mincho"/>
                <w:vertAlign w:val="superscript"/>
                <w:lang w:val="en-US" w:eastAsia="ja-JP"/>
              </w:rPr>
              <w:t>3</w:t>
            </w:r>
          </w:p>
        </w:tc>
      </w:tr>
      <w:tr w:rsidR="00E001ED" w:rsidTr="00E001ED">
        <w:tc>
          <w:tcPr>
            <w:tcW w:w="3192" w:type="dxa"/>
          </w:tcPr>
          <w:p w:rsidR="00E001ED" w:rsidRDefault="00E001ED" w:rsidP="00B17182">
            <w:pPr>
              <w:rPr>
                <w:rFonts w:eastAsia="MS Mincho"/>
                <w:lang w:val="en-US" w:eastAsia="ja-JP"/>
              </w:rPr>
            </w:pPr>
            <w:r>
              <w:rPr>
                <w:rFonts w:eastAsia="MS Mincho"/>
                <w:lang w:val="en-US" w:eastAsia="ja-JP"/>
              </w:rPr>
              <w:t>176</w:t>
            </w:r>
          </w:p>
        </w:tc>
        <w:tc>
          <w:tcPr>
            <w:tcW w:w="3192" w:type="dxa"/>
          </w:tcPr>
          <w:p w:rsidR="00E001ED" w:rsidRDefault="00E001ED" w:rsidP="00B17182">
            <w:pPr>
              <w:rPr>
                <w:rFonts w:eastAsia="MS Mincho"/>
                <w:lang w:val="en-US" w:eastAsia="ja-JP"/>
              </w:rPr>
            </w:pPr>
            <w:r>
              <w:rPr>
                <w:rFonts w:eastAsia="MS Mincho"/>
                <w:lang w:val="en-US" w:eastAsia="ja-JP"/>
              </w:rPr>
              <w:t>5875-5885</w:t>
            </w:r>
          </w:p>
        </w:tc>
        <w:tc>
          <w:tcPr>
            <w:tcW w:w="3192" w:type="dxa"/>
          </w:tcPr>
          <w:p w:rsidR="00E001ED" w:rsidRDefault="00E001ED" w:rsidP="00B17182">
            <w:pPr>
              <w:rPr>
                <w:rFonts w:eastAsia="MS Mincho"/>
                <w:lang w:val="en-US" w:eastAsia="ja-JP"/>
              </w:rPr>
            </w:pPr>
            <w:r>
              <w:rPr>
                <w:rFonts w:eastAsia="MS Mincho"/>
                <w:lang w:val="en-US" w:eastAsia="ja-JP"/>
              </w:rPr>
              <w:t>Service channel</w:t>
            </w:r>
          </w:p>
        </w:tc>
      </w:tr>
      <w:tr w:rsidR="00E001ED" w:rsidTr="00E001ED">
        <w:tc>
          <w:tcPr>
            <w:tcW w:w="3192" w:type="dxa"/>
          </w:tcPr>
          <w:p w:rsidR="00E001ED" w:rsidRDefault="00E001ED" w:rsidP="00B17182">
            <w:pPr>
              <w:rPr>
                <w:rFonts w:eastAsia="MS Mincho"/>
                <w:lang w:val="en-US" w:eastAsia="ja-JP"/>
              </w:rPr>
            </w:pPr>
            <w:r>
              <w:rPr>
                <w:rFonts w:eastAsia="MS Mincho"/>
                <w:lang w:val="en-US" w:eastAsia="ja-JP"/>
              </w:rPr>
              <w:t>178</w:t>
            </w:r>
          </w:p>
        </w:tc>
        <w:tc>
          <w:tcPr>
            <w:tcW w:w="3192" w:type="dxa"/>
          </w:tcPr>
          <w:p w:rsidR="00E001ED" w:rsidRDefault="00E001ED" w:rsidP="00B17182">
            <w:pPr>
              <w:rPr>
                <w:rFonts w:eastAsia="MS Mincho"/>
                <w:lang w:val="en-US" w:eastAsia="ja-JP"/>
              </w:rPr>
            </w:pPr>
            <w:r>
              <w:rPr>
                <w:rFonts w:eastAsia="MS Mincho"/>
                <w:lang w:val="en-US" w:eastAsia="ja-JP"/>
              </w:rPr>
              <w:t>5885-5895</w:t>
            </w:r>
          </w:p>
        </w:tc>
        <w:tc>
          <w:tcPr>
            <w:tcW w:w="3192" w:type="dxa"/>
          </w:tcPr>
          <w:p w:rsidR="00E001ED" w:rsidRDefault="00E001ED" w:rsidP="00B17182">
            <w:pPr>
              <w:rPr>
                <w:rFonts w:eastAsia="MS Mincho"/>
                <w:lang w:val="en-US" w:eastAsia="ja-JP"/>
              </w:rPr>
            </w:pPr>
            <w:r>
              <w:rPr>
                <w:rFonts w:eastAsia="MS Mincho"/>
                <w:lang w:val="en-US" w:eastAsia="ja-JP"/>
              </w:rPr>
              <w:t>Service channel</w:t>
            </w:r>
          </w:p>
        </w:tc>
      </w:tr>
      <w:tr w:rsidR="00E001ED" w:rsidTr="00E001ED">
        <w:tc>
          <w:tcPr>
            <w:tcW w:w="3192" w:type="dxa"/>
          </w:tcPr>
          <w:p w:rsidR="00E001ED" w:rsidRDefault="00E001ED" w:rsidP="00B17182">
            <w:pPr>
              <w:rPr>
                <w:rFonts w:eastAsia="MS Mincho"/>
                <w:lang w:val="en-US" w:eastAsia="ja-JP"/>
              </w:rPr>
            </w:pPr>
            <w:r>
              <w:rPr>
                <w:rFonts w:eastAsia="MS Mincho"/>
                <w:lang w:val="en-US" w:eastAsia="ja-JP"/>
              </w:rPr>
              <w:t>180</w:t>
            </w:r>
          </w:p>
        </w:tc>
        <w:tc>
          <w:tcPr>
            <w:tcW w:w="3192" w:type="dxa"/>
          </w:tcPr>
          <w:p w:rsidR="00E001ED" w:rsidRDefault="00E001ED" w:rsidP="00B17182">
            <w:pPr>
              <w:rPr>
                <w:rFonts w:eastAsia="MS Mincho"/>
                <w:lang w:val="en-US" w:eastAsia="ja-JP"/>
              </w:rPr>
            </w:pPr>
            <w:r>
              <w:rPr>
                <w:rFonts w:eastAsia="MS Mincho"/>
                <w:lang w:val="en-US" w:eastAsia="ja-JP"/>
              </w:rPr>
              <w:t>5895-5905</w:t>
            </w:r>
          </w:p>
        </w:tc>
        <w:tc>
          <w:tcPr>
            <w:tcW w:w="3192" w:type="dxa"/>
          </w:tcPr>
          <w:p w:rsidR="00E001ED" w:rsidRDefault="00E001ED" w:rsidP="00B17182">
            <w:pPr>
              <w:rPr>
                <w:rFonts w:eastAsia="MS Mincho"/>
                <w:lang w:val="en-US" w:eastAsia="ja-JP"/>
              </w:rPr>
            </w:pPr>
            <w:r>
              <w:rPr>
                <w:rFonts w:eastAsia="MS Mincho"/>
                <w:lang w:val="en-US" w:eastAsia="ja-JP"/>
              </w:rPr>
              <w:t>Service channel</w:t>
            </w:r>
          </w:p>
        </w:tc>
      </w:tr>
      <w:tr w:rsidR="00E001ED" w:rsidTr="00E001ED">
        <w:tc>
          <w:tcPr>
            <w:tcW w:w="3192" w:type="dxa"/>
          </w:tcPr>
          <w:p w:rsidR="00E001ED" w:rsidRDefault="00E001ED" w:rsidP="00B17182">
            <w:pPr>
              <w:rPr>
                <w:rFonts w:eastAsia="MS Mincho"/>
                <w:lang w:val="en-US" w:eastAsia="ja-JP"/>
              </w:rPr>
            </w:pPr>
            <w:r>
              <w:rPr>
                <w:rFonts w:eastAsia="MS Mincho"/>
                <w:lang w:val="en-US" w:eastAsia="ja-JP"/>
              </w:rPr>
              <w:t>182</w:t>
            </w:r>
          </w:p>
        </w:tc>
        <w:tc>
          <w:tcPr>
            <w:tcW w:w="3192" w:type="dxa"/>
          </w:tcPr>
          <w:p w:rsidR="00E001ED" w:rsidRDefault="00E001ED" w:rsidP="00B17182">
            <w:pPr>
              <w:rPr>
                <w:rFonts w:eastAsia="MS Mincho"/>
                <w:lang w:val="en-US" w:eastAsia="ja-JP"/>
              </w:rPr>
            </w:pPr>
            <w:r>
              <w:rPr>
                <w:rFonts w:eastAsia="MS Mincho"/>
                <w:lang w:val="en-US" w:eastAsia="ja-JP"/>
              </w:rPr>
              <w:t>5905-5915</w:t>
            </w:r>
          </w:p>
        </w:tc>
        <w:tc>
          <w:tcPr>
            <w:tcW w:w="3192" w:type="dxa"/>
          </w:tcPr>
          <w:p w:rsidR="00E001ED" w:rsidRDefault="00E001ED" w:rsidP="00B17182">
            <w:pPr>
              <w:rPr>
                <w:rFonts w:eastAsia="MS Mincho"/>
                <w:lang w:val="en-US" w:eastAsia="ja-JP"/>
              </w:rPr>
            </w:pPr>
            <w:r>
              <w:rPr>
                <w:rFonts w:eastAsia="MS Mincho"/>
                <w:lang w:val="en-US" w:eastAsia="ja-JP"/>
              </w:rPr>
              <w:t>Service channel</w:t>
            </w:r>
          </w:p>
        </w:tc>
      </w:tr>
      <w:tr w:rsidR="00E001ED" w:rsidTr="00E001ED">
        <w:tc>
          <w:tcPr>
            <w:tcW w:w="3192" w:type="dxa"/>
          </w:tcPr>
          <w:p w:rsidR="00E001ED" w:rsidRDefault="00E001ED" w:rsidP="00B17182">
            <w:pPr>
              <w:rPr>
                <w:rFonts w:eastAsia="MS Mincho"/>
                <w:lang w:val="en-US" w:eastAsia="ja-JP"/>
              </w:rPr>
            </w:pPr>
            <w:r>
              <w:rPr>
                <w:rFonts w:eastAsia="MS Mincho"/>
                <w:lang w:val="en-US" w:eastAsia="ja-JP"/>
              </w:rPr>
              <w:t>184</w:t>
            </w:r>
          </w:p>
        </w:tc>
        <w:tc>
          <w:tcPr>
            <w:tcW w:w="3192" w:type="dxa"/>
          </w:tcPr>
          <w:p w:rsidR="00E001ED" w:rsidRDefault="00E001ED" w:rsidP="00B17182">
            <w:pPr>
              <w:rPr>
                <w:rFonts w:eastAsia="MS Mincho"/>
                <w:lang w:val="en-US" w:eastAsia="ja-JP"/>
              </w:rPr>
            </w:pPr>
            <w:r>
              <w:rPr>
                <w:rFonts w:eastAsia="MS Mincho"/>
                <w:lang w:val="en-US" w:eastAsia="ja-JP"/>
              </w:rPr>
              <w:t>5915-5925</w:t>
            </w:r>
          </w:p>
        </w:tc>
        <w:tc>
          <w:tcPr>
            <w:tcW w:w="3192" w:type="dxa"/>
          </w:tcPr>
          <w:p w:rsidR="00E001ED" w:rsidRPr="00E001ED" w:rsidRDefault="00E001ED" w:rsidP="00B17182">
            <w:pPr>
              <w:rPr>
                <w:rFonts w:eastAsia="MS Mincho"/>
                <w:vertAlign w:val="superscript"/>
                <w:lang w:val="en-US" w:eastAsia="ja-JP"/>
              </w:rPr>
            </w:pPr>
            <w:r>
              <w:rPr>
                <w:rFonts w:eastAsia="MS Mincho"/>
                <w:lang w:val="en-US" w:eastAsia="ja-JP"/>
              </w:rPr>
              <w:t>Service channel</w:t>
            </w:r>
            <w:r>
              <w:rPr>
                <w:rFonts w:eastAsia="MS Mincho"/>
                <w:vertAlign w:val="superscript"/>
                <w:lang w:val="en-US" w:eastAsia="ja-JP"/>
              </w:rPr>
              <w:t>4</w:t>
            </w:r>
          </w:p>
        </w:tc>
      </w:tr>
    </w:tbl>
    <w:p w:rsidR="00E001ED" w:rsidRPr="00E001ED" w:rsidRDefault="00E001ED" w:rsidP="00B17182">
      <w:pPr>
        <w:rPr>
          <w:rFonts w:eastAsia="MS Mincho"/>
          <w:sz w:val="28"/>
          <w:lang w:val="en-US" w:eastAsia="ja-JP"/>
        </w:rPr>
      </w:pPr>
    </w:p>
    <w:p w:rsidR="00E001ED" w:rsidRPr="00E001ED" w:rsidRDefault="00E001ED" w:rsidP="00E001ED">
      <w:pPr>
        <w:autoSpaceDE w:val="0"/>
        <w:autoSpaceDN w:val="0"/>
        <w:adjustRightInd w:val="0"/>
        <w:rPr>
          <w:rFonts w:ascii="Helvetica" w:hAnsi="Helvetica" w:cs="Helvetica"/>
          <w:sz w:val="16"/>
          <w:szCs w:val="12"/>
          <w:lang w:val="en-US"/>
        </w:rPr>
      </w:pPr>
      <w:r w:rsidRPr="00E001ED">
        <w:rPr>
          <w:rFonts w:ascii="Helvetica" w:hAnsi="Helvetica" w:cs="Helvetica"/>
          <w:sz w:val="12"/>
          <w:szCs w:val="8"/>
          <w:lang w:val="en-US"/>
        </w:rPr>
        <w:t xml:space="preserve">2 </w:t>
      </w:r>
      <w:r w:rsidRPr="00E001ED">
        <w:rPr>
          <w:rFonts w:ascii="Helvetica" w:hAnsi="Helvetica" w:cs="Helvetica"/>
          <w:sz w:val="16"/>
          <w:szCs w:val="12"/>
          <w:lang w:val="en-US"/>
        </w:rPr>
        <w:t>Channel 172 is designated for public safety applications involving safety of life and property.</w:t>
      </w:r>
    </w:p>
    <w:p w:rsidR="00E001ED" w:rsidRPr="00E001ED" w:rsidRDefault="00E001ED" w:rsidP="00E001ED">
      <w:pPr>
        <w:autoSpaceDE w:val="0"/>
        <w:autoSpaceDN w:val="0"/>
        <w:adjustRightInd w:val="0"/>
        <w:rPr>
          <w:rFonts w:ascii="Helvetica" w:hAnsi="Helvetica" w:cs="Helvetica"/>
          <w:sz w:val="16"/>
          <w:szCs w:val="12"/>
          <w:lang w:val="en-US"/>
        </w:rPr>
      </w:pPr>
      <w:r w:rsidRPr="00E001ED">
        <w:rPr>
          <w:rFonts w:ascii="Helvetica" w:hAnsi="Helvetica" w:cs="Helvetica"/>
          <w:sz w:val="12"/>
          <w:szCs w:val="8"/>
          <w:lang w:val="en-US"/>
        </w:rPr>
        <w:t xml:space="preserve">3 </w:t>
      </w:r>
      <w:r w:rsidRPr="00E001ED">
        <w:rPr>
          <w:rFonts w:ascii="Helvetica" w:hAnsi="Helvetica" w:cs="Helvetica"/>
          <w:sz w:val="16"/>
          <w:szCs w:val="12"/>
          <w:lang w:val="en-US"/>
        </w:rPr>
        <w:t>Channel Nos. 174/176 may be combined to create a twenty megahertz channel, designated Channel No. 175. Channels 180/</w:t>
      </w:r>
    </w:p>
    <w:p w:rsidR="00E001ED" w:rsidRPr="00E001ED" w:rsidRDefault="00E001ED" w:rsidP="00E001ED">
      <w:pPr>
        <w:autoSpaceDE w:val="0"/>
        <w:autoSpaceDN w:val="0"/>
        <w:adjustRightInd w:val="0"/>
        <w:rPr>
          <w:rFonts w:ascii="Helvetica" w:hAnsi="Helvetica" w:cs="Helvetica"/>
          <w:sz w:val="16"/>
          <w:szCs w:val="12"/>
          <w:lang w:val="en-US"/>
        </w:rPr>
      </w:pPr>
      <w:r w:rsidRPr="00E001ED">
        <w:rPr>
          <w:rFonts w:ascii="Helvetica" w:hAnsi="Helvetica" w:cs="Helvetica"/>
          <w:sz w:val="16"/>
          <w:szCs w:val="12"/>
          <w:lang w:val="en-US"/>
        </w:rPr>
        <w:t>182 may be combined to create a twenty-megahertz channel, designated Channel No. 181.</w:t>
      </w:r>
    </w:p>
    <w:p w:rsidR="00E001ED" w:rsidRPr="00E001ED" w:rsidRDefault="00E001ED" w:rsidP="00E001ED">
      <w:pPr>
        <w:autoSpaceDE w:val="0"/>
        <w:autoSpaceDN w:val="0"/>
        <w:adjustRightInd w:val="0"/>
        <w:rPr>
          <w:rFonts w:ascii="Helvetica" w:hAnsi="Helvetica" w:cs="Helvetica"/>
          <w:sz w:val="16"/>
          <w:szCs w:val="12"/>
          <w:lang w:val="en-US"/>
        </w:rPr>
      </w:pPr>
      <w:r w:rsidRPr="00E001ED">
        <w:rPr>
          <w:rFonts w:ascii="Helvetica" w:hAnsi="Helvetica" w:cs="Helvetica"/>
          <w:sz w:val="12"/>
          <w:szCs w:val="8"/>
          <w:lang w:val="en-US"/>
        </w:rPr>
        <w:t xml:space="preserve">4 </w:t>
      </w:r>
      <w:r w:rsidRPr="00E001ED">
        <w:rPr>
          <w:rFonts w:ascii="Helvetica" w:hAnsi="Helvetica" w:cs="Helvetica"/>
          <w:sz w:val="16"/>
          <w:szCs w:val="12"/>
          <w:lang w:val="en-US"/>
        </w:rPr>
        <w:t>Channel 184 is designated for public safety applications involving safety of life and property. Only those entities meeting the</w:t>
      </w:r>
    </w:p>
    <w:p w:rsidR="00E001ED" w:rsidRPr="00E001ED" w:rsidRDefault="00E001ED" w:rsidP="00E001ED">
      <w:pPr>
        <w:rPr>
          <w:rFonts w:eastAsia="MS Mincho"/>
          <w:sz w:val="28"/>
          <w:lang w:val="en-US" w:eastAsia="ja-JP"/>
        </w:rPr>
      </w:pPr>
      <w:r w:rsidRPr="00E001ED">
        <w:rPr>
          <w:rFonts w:ascii="Helvetica" w:hAnsi="Helvetica" w:cs="Helvetica"/>
          <w:sz w:val="16"/>
          <w:szCs w:val="12"/>
          <w:lang w:val="en-US"/>
        </w:rPr>
        <w:t>requirements of § 90.373(a) are eligible to hold an authorization to operate on this channel.</w:t>
      </w:r>
    </w:p>
    <w:p w:rsidR="007B1EA8" w:rsidRDefault="007B1EA8" w:rsidP="00A044B2">
      <w:pPr>
        <w:autoSpaceDE w:val="0"/>
        <w:autoSpaceDN w:val="0"/>
        <w:adjustRightInd w:val="0"/>
      </w:pPr>
    </w:p>
    <w:p w:rsidR="00AE7DD4" w:rsidRDefault="00AE7DD4" w:rsidP="00AE7DD4">
      <w:pPr>
        <w:pStyle w:val="Heading2"/>
      </w:pPr>
      <w:r>
        <w:t>Proposal</w:t>
      </w:r>
    </w:p>
    <w:p w:rsidR="007B1EA8" w:rsidRDefault="007B1EA8" w:rsidP="007B1EA8">
      <w:pPr>
        <w:autoSpaceDE w:val="0"/>
        <w:autoSpaceDN w:val="0"/>
        <w:adjustRightInd w:val="0"/>
      </w:pPr>
      <w:r>
        <w:t>Considering that DSRC operation on any 10 MHz channel indicates the presence of licensed radios used in the 5850-5925 MHz band at that location</w:t>
      </w:r>
      <w:r w:rsidR="009420E0">
        <w:t>,</w:t>
      </w:r>
    </w:p>
    <w:p w:rsidR="007B1EA8" w:rsidRDefault="007B1EA8" w:rsidP="007B1EA8">
      <w:pPr>
        <w:autoSpaceDE w:val="0"/>
        <w:autoSpaceDN w:val="0"/>
        <w:adjustRightInd w:val="0"/>
      </w:pPr>
    </w:p>
    <w:p w:rsidR="007B1EA8" w:rsidRDefault="009330A7" w:rsidP="007B1EA8">
      <w:pPr>
        <w:numPr>
          <w:ilvl w:val="0"/>
          <w:numId w:val="2"/>
        </w:numPr>
        <w:autoSpaceDE w:val="0"/>
        <w:autoSpaceDN w:val="0"/>
        <w:adjustRightInd w:val="0"/>
        <w:rPr>
          <w:lang w:val="en-US"/>
        </w:rPr>
      </w:pPr>
      <w:r w:rsidRPr="007B1EA8">
        <w:rPr>
          <w:lang w:val="en-US"/>
        </w:rPr>
        <w:t>Propose</w:t>
      </w:r>
      <w:r w:rsidR="007B1EA8">
        <w:rPr>
          <w:lang w:val="en-US"/>
        </w:rPr>
        <w:t xml:space="preserve"> for </w:t>
      </w:r>
      <w:r w:rsidR="009F4DF6">
        <w:rPr>
          <w:lang w:val="en-US"/>
        </w:rPr>
        <w:t>5850-5925 MHz</w:t>
      </w:r>
      <w:r w:rsidR="007B1EA8">
        <w:rPr>
          <w:lang w:val="en-US"/>
        </w:rPr>
        <w:t xml:space="preserve"> </w:t>
      </w:r>
      <w:r w:rsidR="009F4DF6">
        <w:rPr>
          <w:lang w:val="en-US"/>
        </w:rPr>
        <w:t xml:space="preserve">unlicensed </w:t>
      </w:r>
      <w:r w:rsidR="007B1EA8">
        <w:rPr>
          <w:lang w:val="en-US"/>
        </w:rPr>
        <w:t>devices</w:t>
      </w:r>
      <w:r w:rsidRPr="007B1EA8">
        <w:rPr>
          <w:lang w:val="en-US"/>
        </w:rPr>
        <w:t xml:space="preserve">: </w:t>
      </w:r>
    </w:p>
    <w:p w:rsidR="00F43E11" w:rsidRDefault="009330A7" w:rsidP="007B1EA8">
      <w:pPr>
        <w:numPr>
          <w:ilvl w:val="0"/>
          <w:numId w:val="2"/>
        </w:numPr>
        <w:autoSpaceDE w:val="0"/>
        <w:autoSpaceDN w:val="0"/>
        <w:adjustRightInd w:val="0"/>
        <w:rPr>
          <w:lang w:val="en-US"/>
        </w:rPr>
      </w:pPr>
      <w:r w:rsidRPr="007B1EA8">
        <w:rPr>
          <w:lang w:val="en-US"/>
        </w:rPr>
        <w:t xml:space="preserve">The start of a valid 10 MHz OFDM transmission at a receive level equal to or greater than the minimum modulation </w:t>
      </w:r>
      <w:r w:rsidR="00AE7DD4">
        <w:rPr>
          <w:lang w:val="en-US"/>
        </w:rPr>
        <w:t xml:space="preserve">and coding rate sensitivity  ([…, </w:t>
      </w:r>
      <w:r w:rsidR="007B1EA8">
        <w:rPr>
          <w:rFonts w:ascii="TimesNewRoman" w:hAnsi="TimesNewRoman" w:cs="TimesNewRoman"/>
          <w:sz w:val="20"/>
          <w:lang w:val="en-US"/>
        </w:rPr>
        <w:t>–85 dBm for 10 MHz channel spacing,</w:t>
      </w:r>
      <w:r w:rsidR="009420E0">
        <w:rPr>
          <w:rFonts w:ascii="TimesNewRoman" w:hAnsi="TimesNewRoman" w:cs="TimesNewRoman"/>
          <w:sz w:val="20"/>
          <w:lang w:val="en-US"/>
        </w:rPr>
        <w:t xml:space="preserve"> …]</w:t>
      </w:r>
      <w:r w:rsidRPr="007B1EA8">
        <w:rPr>
          <w:lang w:val="en-US"/>
        </w:rPr>
        <w:t>)</w:t>
      </w:r>
    </w:p>
    <w:p w:rsidR="007B1EA8" w:rsidRDefault="00F43E11" w:rsidP="007B1EA8">
      <w:pPr>
        <w:numPr>
          <w:ilvl w:val="0"/>
          <w:numId w:val="2"/>
        </w:numPr>
        <w:autoSpaceDE w:val="0"/>
        <w:autoSpaceDN w:val="0"/>
        <w:adjustRightInd w:val="0"/>
        <w:rPr>
          <w:lang w:val="en-US"/>
        </w:rPr>
      </w:pPr>
      <w:r>
        <w:rPr>
          <w:lang w:val="en-US"/>
        </w:rPr>
        <w:t xml:space="preserve">[On any 10 MHz </w:t>
      </w:r>
      <w:r w:rsidR="00197D7F">
        <w:rPr>
          <w:lang w:val="en-US"/>
        </w:rPr>
        <w:t xml:space="preserve">DSRC </w:t>
      </w:r>
      <w:r>
        <w:rPr>
          <w:lang w:val="en-US"/>
        </w:rPr>
        <w:t>channel]</w:t>
      </w:r>
      <w:r w:rsidR="009330A7" w:rsidRPr="007B1EA8">
        <w:rPr>
          <w:lang w:val="en-US"/>
        </w:rPr>
        <w:t xml:space="preserve"> </w:t>
      </w:r>
    </w:p>
    <w:p w:rsidR="0038490F" w:rsidRPr="007B1EA8" w:rsidRDefault="009330A7" w:rsidP="007B1EA8">
      <w:pPr>
        <w:numPr>
          <w:ilvl w:val="0"/>
          <w:numId w:val="2"/>
        </w:numPr>
        <w:autoSpaceDE w:val="0"/>
        <w:autoSpaceDN w:val="0"/>
        <w:adjustRightInd w:val="0"/>
        <w:rPr>
          <w:lang w:val="en-US"/>
        </w:rPr>
      </w:pPr>
      <w:r w:rsidRPr="007B1EA8">
        <w:rPr>
          <w:lang w:val="en-US"/>
        </w:rPr>
        <w:t xml:space="preserve">shall cause CS/CCA to detect a channel busy condition with a probability &gt; 90% within </w:t>
      </w:r>
    </w:p>
    <w:p w:rsidR="0038490F" w:rsidRPr="007B1EA8" w:rsidRDefault="00AE7DD4" w:rsidP="007B1EA8">
      <w:pPr>
        <w:numPr>
          <w:ilvl w:val="0"/>
          <w:numId w:val="2"/>
        </w:numPr>
        <w:autoSpaceDE w:val="0"/>
        <w:autoSpaceDN w:val="0"/>
        <w:adjustRightInd w:val="0"/>
        <w:rPr>
          <w:lang w:val="en-US"/>
        </w:rPr>
      </w:pPr>
      <w:r>
        <w:rPr>
          <w:lang w:val="en-US"/>
        </w:rPr>
        <w:t>[</w:t>
      </w:r>
      <w:r w:rsidR="001D5FE9">
        <w:rPr>
          <w:lang w:val="en-US"/>
        </w:rPr>
        <w:t>8</w:t>
      </w:r>
      <w:r w:rsidR="007B1EA8">
        <w:rPr>
          <w:lang w:val="en-US"/>
        </w:rPr>
        <w:t xml:space="preserve"> μs for 1</w:t>
      </w:r>
      <w:r w:rsidR="009330A7" w:rsidRPr="007B1EA8">
        <w:rPr>
          <w:lang w:val="en-US"/>
        </w:rPr>
        <w:t xml:space="preserve">0 MHz channel spacing] </w:t>
      </w:r>
    </w:p>
    <w:p w:rsidR="0038490F" w:rsidRDefault="009330A7" w:rsidP="007B1EA8">
      <w:pPr>
        <w:numPr>
          <w:ilvl w:val="0"/>
          <w:numId w:val="2"/>
        </w:numPr>
        <w:autoSpaceDE w:val="0"/>
        <w:autoSpaceDN w:val="0"/>
        <w:adjustRightInd w:val="0"/>
        <w:rPr>
          <w:lang w:val="en-US"/>
        </w:rPr>
      </w:pPr>
      <w:r w:rsidRPr="007B1EA8">
        <w:rPr>
          <w:lang w:val="en-US"/>
        </w:rPr>
        <w:t xml:space="preserve">and to report </w:t>
      </w:r>
      <w:r w:rsidR="007B1EA8">
        <w:rPr>
          <w:lang w:val="en-US"/>
        </w:rPr>
        <w:t>PHY-CCA.indication(</w:t>
      </w:r>
      <w:r w:rsidRPr="007B1EA8">
        <w:rPr>
          <w:lang w:val="en-US"/>
        </w:rPr>
        <w:t>BUSY</w:t>
      </w:r>
      <w:r w:rsidR="001A605F">
        <w:rPr>
          <w:lang w:val="en-US"/>
        </w:rPr>
        <w:t>, (primary)</w:t>
      </w:r>
      <w:r w:rsidR="007B1EA8">
        <w:rPr>
          <w:lang w:val="en-US"/>
        </w:rPr>
        <w:t>)</w:t>
      </w:r>
      <w:r w:rsidRPr="007B1EA8">
        <w:rPr>
          <w:lang w:val="en-US"/>
        </w:rPr>
        <w:t xml:space="preserve"> </w:t>
      </w:r>
      <w:r w:rsidR="007B1EA8">
        <w:rPr>
          <w:lang w:val="en-US"/>
        </w:rPr>
        <w:t xml:space="preserve">on </w:t>
      </w:r>
      <w:r w:rsidR="00375A08">
        <w:rPr>
          <w:lang w:val="en-US"/>
        </w:rPr>
        <w:t>[</w:t>
      </w:r>
      <w:r w:rsidR="007B1EA8">
        <w:rPr>
          <w:lang w:val="en-US"/>
        </w:rPr>
        <w:t>5825-5925 MHz</w:t>
      </w:r>
      <w:r w:rsidR="00375A08">
        <w:rPr>
          <w:lang w:val="en-US"/>
        </w:rPr>
        <w:t>]</w:t>
      </w:r>
      <w:r w:rsidR="007B1EA8">
        <w:rPr>
          <w:lang w:val="en-US"/>
        </w:rPr>
        <w:t xml:space="preserve"> </w:t>
      </w:r>
      <w:r w:rsidRPr="007B1EA8">
        <w:rPr>
          <w:lang w:val="en-US"/>
        </w:rPr>
        <w:t>for [10] seconds.</w:t>
      </w:r>
    </w:p>
    <w:p w:rsidR="00375A08" w:rsidRPr="007B1EA8" w:rsidRDefault="00375A08" w:rsidP="007B1EA8">
      <w:pPr>
        <w:numPr>
          <w:ilvl w:val="0"/>
          <w:numId w:val="2"/>
        </w:numPr>
        <w:autoSpaceDE w:val="0"/>
        <w:autoSpaceDN w:val="0"/>
        <w:adjustRightInd w:val="0"/>
        <w:rPr>
          <w:lang w:val="en-US"/>
        </w:rPr>
      </w:pPr>
      <w:r>
        <w:rPr>
          <w:lang w:val="en-US"/>
        </w:rPr>
        <w:t>The maximum transmission time for U-NII-4 devices shall be [3 milliseconds]</w:t>
      </w:r>
    </w:p>
    <w:p w:rsidR="00AE7DD4" w:rsidRDefault="00AE7DD4" w:rsidP="007B1EA8">
      <w:pPr>
        <w:autoSpaceDE w:val="0"/>
        <w:autoSpaceDN w:val="0"/>
        <w:adjustRightInd w:val="0"/>
      </w:pPr>
    </w:p>
    <w:p w:rsidR="00AE7DD4" w:rsidRDefault="00AE7DD4" w:rsidP="00AE7DD4">
      <w:pPr>
        <w:pStyle w:val="Heading2"/>
      </w:pPr>
      <w:r>
        <w:lastRenderedPageBreak/>
        <w:t>Concerns accompanying each square bracket term:</w:t>
      </w:r>
    </w:p>
    <w:p w:rsidR="00AE7DD4" w:rsidRDefault="00AE7DD4" w:rsidP="007B1EA8">
      <w:pPr>
        <w:autoSpaceDE w:val="0"/>
        <w:autoSpaceDN w:val="0"/>
        <w:adjustRightInd w:val="0"/>
      </w:pPr>
    </w:p>
    <w:p w:rsidR="00AE7DD4" w:rsidRDefault="00AE7DD4" w:rsidP="00AE7DD4">
      <w:pPr>
        <w:autoSpaceDE w:val="0"/>
        <w:autoSpaceDN w:val="0"/>
        <w:adjustRightInd w:val="0"/>
        <w:ind w:left="720" w:hanging="720"/>
      </w:pPr>
      <w:r>
        <w:t xml:space="preserve">Commercial DSRC silicon performs better than the IEEE 802.11p specification, so </w:t>
      </w:r>
      <w:r w:rsidR="009F4DF6">
        <w:t>5850-5925 MHz</w:t>
      </w:r>
      <w:r>
        <w:t xml:space="preserve"> </w:t>
      </w:r>
      <w:r w:rsidR="009F4DF6">
        <w:t xml:space="preserve">unlicensed </w:t>
      </w:r>
      <w:r>
        <w:t>devices should perform as well as commercial DSRC silicon</w:t>
      </w:r>
    </w:p>
    <w:p w:rsidR="00AE7DD4" w:rsidRDefault="00AE7DD4" w:rsidP="00AE7DD4">
      <w:pPr>
        <w:numPr>
          <w:ilvl w:val="0"/>
          <w:numId w:val="2"/>
        </w:numPr>
        <w:autoSpaceDE w:val="0"/>
        <w:autoSpaceDN w:val="0"/>
        <w:adjustRightInd w:val="0"/>
        <w:rPr>
          <w:lang w:val="en-US"/>
        </w:rPr>
      </w:pPr>
      <w:r w:rsidRPr="007B1EA8">
        <w:rPr>
          <w:lang w:val="en-US"/>
        </w:rPr>
        <w:t xml:space="preserve">The start of a valid 10 MHz OFDM transmission at a receive level equal to or greater than the minimum modulation </w:t>
      </w:r>
      <w:r>
        <w:rPr>
          <w:lang w:val="en-US"/>
        </w:rPr>
        <w:t xml:space="preserve">and coding rate sensitivity  ([…, </w:t>
      </w:r>
      <w:r>
        <w:rPr>
          <w:rFonts w:ascii="TimesNewRoman" w:hAnsi="TimesNewRoman" w:cs="TimesNewRoman"/>
          <w:sz w:val="20"/>
          <w:lang w:val="en-US"/>
        </w:rPr>
        <w:t>–85 dBm for 10 MHz channel spacing, …]</w:t>
      </w:r>
      <w:r w:rsidRPr="007B1EA8">
        <w:rPr>
          <w:lang w:val="en-US"/>
        </w:rPr>
        <w:t xml:space="preserve">) </w:t>
      </w:r>
    </w:p>
    <w:p w:rsidR="00375A08" w:rsidRDefault="00375A08" w:rsidP="00AE7DD4">
      <w:pPr>
        <w:autoSpaceDE w:val="0"/>
        <w:autoSpaceDN w:val="0"/>
        <w:adjustRightInd w:val="0"/>
        <w:rPr>
          <w:lang w:val="en-US"/>
        </w:rPr>
      </w:pPr>
    </w:p>
    <w:p w:rsidR="00AE7DD4" w:rsidRDefault="00AE7DD4" w:rsidP="00AE7DD4">
      <w:pPr>
        <w:autoSpaceDE w:val="0"/>
        <w:autoSpaceDN w:val="0"/>
        <w:adjustRightInd w:val="0"/>
        <w:rPr>
          <w:lang w:val="en-US"/>
        </w:rPr>
      </w:pPr>
      <w:r>
        <w:rPr>
          <w:lang w:val="en-US"/>
        </w:rPr>
        <w:t>The start of a valid 10 MHz OFDM transmission takes twice as long as at 20 MHz channel spacing</w:t>
      </w:r>
      <w:r w:rsidR="00375A08">
        <w:rPr>
          <w:lang w:val="en-US"/>
        </w:rPr>
        <w:t xml:space="preserve"> (18.3.3)</w:t>
      </w:r>
    </w:p>
    <w:p w:rsidR="00AE7DD4" w:rsidRPr="007B1EA8" w:rsidRDefault="00AE7DD4" w:rsidP="00AE7DD4">
      <w:pPr>
        <w:numPr>
          <w:ilvl w:val="0"/>
          <w:numId w:val="2"/>
        </w:numPr>
        <w:autoSpaceDE w:val="0"/>
        <w:autoSpaceDN w:val="0"/>
        <w:adjustRightInd w:val="0"/>
        <w:rPr>
          <w:lang w:val="en-US"/>
        </w:rPr>
      </w:pPr>
      <w:r w:rsidRPr="007B1EA8">
        <w:rPr>
          <w:lang w:val="en-US"/>
        </w:rPr>
        <w:t xml:space="preserve">detect a channel busy condition with a probability &gt; 90% within </w:t>
      </w:r>
    </w:p>
    <w:p w:rsidR="00AE7DD4" w:rsidRPr="007B1EA8" w:rsidRDefault="00AE7DD4" w:rsidP="00AE7DD4">
      <w:pPr>
        <w:numPr>
          <w:ilvl w:val="0"/>
          <w:numId w:val="2"/>
        </w:numPr>
        <w:autoSpaceDE w:val="0"/>
        <w:autoSpaceDN w:val="0"/>
        <w:adjustRightInd w:val="0"/>
        <w:rPr>
          <w:lang w:val="en-US"/>
        </w:rPr>
      </w:pPr>
      <w:r>
        <w:rPr>
          <w:lang w:val="en-US"/>
        </w:rPr>
        <w:t>[</w:t>
      </w:r>
      <w:r w:rsidR="001D5FE9">
        <w:rPr>
          <w:lang w:val="en-US"/>
        </w:rPr>
        <w:t>8</w:t>
      </w:r>
      <w:r>
        <w:rPr>
          <w:lang w:val="en-US"/>
        </w:rPr>
        <w:t xml:space="preserve"> μs for 1</w:t>
      </w:r>
      <w:r w:rsidRPr="007B1EA8">
        <w:rPr>
          <w:lang w:val="en-US"/>
        </w:rPr>
        <w:t xml:space="preserve">0 MHz channel spacing] </w:t>
      </w:r>
    </w:p>
    <w:p w:rsidR="00AE7DD4" w:rsidRDefault="00AE7DD4" w:rsidP="00AE7DD4">
      <w:pPr>
        <w:autoSpaceDE w:val="0"/>
        <w:autoSpaceDN w:val="0"/>
        <w:adjustRightInd w:val="0"/>
        <w:ind w:left="720"/>
        <w:rPr>
          <w:lang w:val="en-US"/>
        </w:rPr>
      </w:pPr>
    </w:p>
    <w:p w:rsidR="00375A08" w:rsidRDefault="00375A08" w:rsidP="00375A08">
      <w:pPr>
        <w:autoSpaceDE w:val="0"/>
        <w:autoSpaceDN w:val="0"/>
        <w:adjustRightInd w:val="0"/>
      </w:pPr>
      <w:r>
        <w:t xml:space="preserve">Either </w:t>
      </w:r>
      <w:r w:rsidR="009F4DF6">
        <w:t>5850-5925 MHz unlicensed</w:t>
      </w:r>
      <w:r>
        <w:t xml:space="preserve"> devices to not affect adjacent channels or their tranmissions must consider interference into adjacent channels. One way to sidestep analysis of adjacent and alternate channels is to block transmission on every channel that could cause interference into DSRC devices</w:t>
      </w:r>
    </w:p>
    <w:p w:rsidR="00375A08" w:rsidRDefault="00375A08" w:rsidP="00375A08">
      <w:pPr>
        <w:autoSpaceDE w:val="0"/>
        <w:autoSpaceDN w:val="0"/>
        <w:adjustRightInd w:val="0"/>
      </w:pPr>
    </w:p>
    <w:p w:rsidR="00F43E11" w:rsidRDefault="00F43E11" w:rsidP="00F43E11">
      <w:pPr>
        <w:numPr>
          <w:ilvl w:val="0"/>
          <w:numId w:val="3"/>
        </w:numPr>
        <w:autoSpaceDE w:val="0"/>
        <w:autoSpaceDN w:val="0"/>
        <w:adjustRightInd w:val="0"/>
        <w:rPr>
          <w:lang w:val="en-US"/>
        </w:rPr>
      </w:pPr>
      <w:r>
        <w:rPr>
          <w:lang w:val="en-US"/>
        </w:rPr>
        <w:t xml:space="preserve">[On any 10 MHz </w:t>
      </w:r>
      <w:r w:rsidR="00197D7F">
        <w:rPr>
          <w:lang w:val="en-US"/>
        </w:rPr>
        <w:t xml:space="preserve">DSRC </w:t>
      </w:r>
      <w:r>
        <w:rPr>
          <w:lang w:val="en-US"/>
        </w:rPr>
        <w:t>channel]</w:t>
      </w:r>
      <w:r w:rsidRPr="007B1EA8">
        <w:rPr>
          <w:lang w:val="en-US"/>
        </w:rPr>
        <w:t xml:space="preserve"> </w:t>
      </w:r>
    </w:p>
    <w:p w:rsidR="00375A08" w:rsidRPr="00375A08" w:rsidRDefault="00375A08" w:rsidP="00375A08">
      <w:pPr>
        <w:pStyle w:val="ListParagraph"/>
        <w:numPr>
          <w:ilvl w:val="0"/>
          <w:numId w:val="3"/>
        </w:numPr>
        <w:autoSpaceDE w:val="0"/>
        <w:autoSpaceDN w:val="0"/>
        <w:adjustRightInd w:val="0"/>
        <w:rPr>
          <w:b/>
          <w:sz w:val="24"/>
        </w:rPr>
      </w:pPr>
      <w:r w:rsidRPr="00375A08">
        <w:rPr>
          <w:lang w:val="en-US"/>
        </w:rPr>
        <w:t xml:space="preserve">and to report PHY-CCA.indication(BUSY, (primary)) on [5825-5925 MHz] </w:t>
      </w:r>
    </w:p>
    <w:p w:rsidR="00375A08" w:rsidRPr="00375A08" w:rsidRDefault="00375A08" w:rsidP="00375A08">
      <w:pPr>
        <w:pStyle w:val="ListParagraph"/>
        <w:autoSpaceDE w:val="0"/>
        <w:autoSpaceDN w:val="0"/>
        <w:adjustRightInd w:val="0"/>
        <w:rPr>
          <w:b/>
          <w:sz w:val="24"/>
        </w:rPr>
      </w:pPr>
    </w:p>
    <w:p w:rsidR="00375A08" w:rsidRDefault="00375A08" w:rsidP="00375A08">
      <w:pPr>
        <w:autoSpaceDE w:val="0"/>
        <w:autoSpaceDN w:val="0"/>
        <w:adjustRightInd w:val="0"/>
      </w:pPr>
      <w:r>
        <w:t xml:space="preserve">Restricting the </w:t>
      </w:r>
      <w:r w:rsidR="009F4DF6">
        <w:t>5850-5925 MHz unlicensed</w:t>
      </w:r>
      <w:r>
        <w:t xml:space="preserve"> device maximum transmission time allows all other devices the possibility to transmit when </w:t>
      </w:r>
      <w:r w:rsidR="009F4DF6">
        <w:t>an unlicensed</w:t>
      </w:r>
      <w:r>
        <w:t xml:space="preserve"> device ceases transmission</w:t>
      </w:r>
    </w:p>
    <w:p w:rsidR="00375A08" w:rsidRDefault="00375A08" w:rsidP="00375A08">
      <w:pPr>
        <w:pStyle w:val="ListParagraph"/>
        <w:numPr>
          <w:ilvl w:val="0"/>
          <w:numId w:val="4"/>
        </w:numPr>
        <w:autoSpaceDE w:val="0"/>
        <w:autoSpaceDN w:val="0"/>
        <w:adjustRightInd w:val="0"/>
      </w:pPr>
      <w:r w:rsidRPr="00375A08">
        <w:rPr>
          <w:lang w:val="en-US"/>
        </w:rPr>
        <w:t xml:space="preserve">The maximum transmission time for </w:t>
      </w:r>
      <w:r w:rsidR="009F4DF6">
        <w:rPr>
          <w:lang w:val="en-US"/>
        </w:rPr>
        <w:t>5850-5925 MHz unlicensed</w:t>
      </w:r>
      <w:r w:rsidRPr="00375A08">
        <w:rPr>
          <w:lang w:val="en-US"/>
        </w:rPr>
        <w:t xml:space="preserve"> devices shall be [3 milliseconds]</w:t>
      </w:r>
    </w:p>
    <w:p w:rsidR="00375A08" w:rsidRDefault="00375A08" w:rsidP="00375A08">
      <w:pPr>
        <w:autoSpaceDE w:val="0"/>
        <w:autoSpaceDN w:val="0"/>
        <w:adjustRightInd w:val="0"/>
      </w:pPr>
    </w:p>
    <w:p w:rsidR="001A0034" w:rsidRDefault="00375A08" w:rsidP="00375A08">
      <w:pPr>
        <w:autoSpaceDE w:val="0"/>
        <w:autoSpaceDN w:val="0"/>
        <w:adjustRightInd w:val="0"/>
      </w:pPr>
      <w:r>
        <w:t xml:space="preserve">The time to stay off a busy channel could be analysed </w:t>
      </w:r>
      <w:r w:rsidR="001D5FE9">
        <w:t>for</w:t>
      </w:r>
      <w:r>
        <w:t xml:space="preserve"> all possible scenarios</w:t>
      </w:r>
      <w:r w:rsidR="001A0034">
        <w:t>, or a worst case estimate c</w:t>
      </w:r>
      <w:r w:rsidR="001D5FE9">
        <w:t>an</w:t>
      </w:r>
      <w:r w:rsidR="001A0034">
        <w:t xml:space="preserve"> be proposed</w:t>
      </w:r>
    </w:p>
    <w:p w:rsidR="0006237A" w:rsidRPr="0006237A" w:rsidRDefault="001A0034" w:rsidP="001A0034">
      <w:pPr>
        <w:pStyle w:val="ListParagraph"/>
        <w:numPr>
          <w:ilvl w:val="0"/>
          <w:numId w:val="4"/>
        </w:numPr>
        <w:autoSpaceDE w:val="0"/>
        <w:autoSpaceDN w:val="0"/>
        <w:adjustRightInd w:val="0"/>
        <w:rPr>
          <w:b/>
          <w:sz w:val="24"/>
        </w:rPr>
      </w:pPr>
      <w:r w:rsidRPr="007B1EA8">
        <w:rPr>
          <w:lang w:val="en-US"/>
        </w:rPr>
        <w:t xml:space="preserve">to report </w:t>
      </w:r>
      <w:r>
        <w:rPr>
          <w:lang w:val="en-US"/>
        </w:rPr>
        <w:t>PHY-CCA.indication(</w:t>
      </w:r>
      <w:r w:rsidRPr="007B1EA8">
        <w:rPr>
          <w:lang w:val="en-US"/>
        </w:rPr>
        <w:t>BUSY</w:t>
      </w:r>
      <w:r>
        <w:rPr>
          <w:lang w:val="en-US"/>
        </w:rPr>
        <w:t>, (primary))</w:t>
      </w:r>
      <w:r w:rsidRPr="007B1EA8">
        <w:rPr>
          <w:lang w:val="en-US"/>
        </w:rPr>
        <w:t xml:space="preserve"> for [10] seconds.</w:t>
      </w:r>
    </w:p>
    <w:p w:rsidR="0006237A" w:rsidRDefault="0006237A" w:rsidP="0006237A">
      <w:pPr>
        <w:pStyle w:val="Heading2"/>
      </w:pPr>
      <w:r>
        <w:t>Other politeness considerations</w:t>
      </w:r>
    </w:p>
    <w:p w:rsidR="0006237A" w:rsidRDefault="0006237A" w:rsidP="0006237A"/>
    <w:p w:rsidR="0006237A" w:rsidRDefault="0006237A" w:rsidP="0006237A"/>
    <w:p w:rsidR="0006237A" w:rsidRDefault="0006237A" w:rsidP="0006237A">
      <w:r>
        <w:t>We will also probably need something about interframe spacing and slot times.  802.11ac uses 16 microsecond SIFS vs 32 for DSRC.  802.11ac uses 9 microsecond slot times vs 13 for DSRC.  After the 3 millisecond transmission limit, we need all 11ac devices to stay off the channel until a DSRC device in backoff determines it can send.  If the DSRC device uses AIFSN = 3 and CWmin = 15 (one proposal), that might be as long as 32 + (3+15)*13 = 266 microseconds.</w:t>
      </w:r>
    </w:p>
    <w:p w:rsidR="0006237A" w:rsidRPr="0006237A" w:rsidRDefault="0006237A" w:rsidP="0006237A"/>
    <w:p w:rsidR="0006237A" w:rsidRDefault="0006237A" w:rsidP="0006237A">
      <w:pPr>
        <w:autoSpaceDE w:val="0"/>
        <w:autoSpaceDN w:val="0"/>
        <w:adjustRightInd w:val="0"/>
      </w:pPr>
    </w:p>
    <w:p w:rsidR="00CA09B2" w:rsidRDefault="00DC4594" w:rsidP="00DC4594">
      <w:pPr>
        <w:pStyle w:val="Heading2"/>
      </w:pPr>
      <w:r>
        <w:t>No change to ITS/DSRC rules or devices is proposed</w:t>
      </w:r>
      <w:r w:rsidR="00CA09B2">
        <w:br w:type="page"/>
      </w:r>
      <w:r w:rsidR="00CA09B2" w:rsidRPr="0006237A">
        <w:lastRenderedPageBreak/>
        <w:t>References:</w:t>
      </w:r>
    </w:p>
    <w:p w:rsidR="009F4DF6" w:rsidRDefault="009F4DF6" w:rsidP="0006237A">
      <w:pPr>
        <w:autoSpaceDE w:val="0"/>
        <w:autoSpaceDN w:val="0"/>
        <w:adjustRightInd w:val="0"/>
        <w:rPr>
          <w:sz w:val="24"/>
        </w:rPr>
      </w:pPr>
      <w:r>
        <w:rPr>
          <w:sz w:val="24"/>
        </w:rPr>
        <w:t>FCC docket 13-49</w:t>
      </w:r>
    </w:p>
    <w:p w:rsidR="0081337F" w:rsidRPr="0006237A" w:rsidRDefault="0081337F" w:rsidP="0081337F">
      <w:pPr>
        <w:rPr>
          <w:color w:val="000000"/>
          <w:sz w:val="24"/>
          <w:szCs w:val="24"/>
          <w:lang w:val="en-US"/>
        </w:rPr>
      </w:pPr>
      <w:r w:rsidRPr="0006237A">
        <w:rPr>
          <w:color w:val="000000"/>
          <w:sz w:val="24"/>
          <w:szCs w:val="24"/>
          <w:lang w:val="en-US"/>
        </w:rPr>
        <w:t>Private Land Mobile FCC 90.371-383</w:t>
      </w:r>
    </w:p>
    <w:p w:rsidR="0081337F" w:rsidRPr="0006237A" w:rsidRDefault="0081337F" w:rsidP="0081337F">
      <w:pPr>
        <w:rPr>
          <w:color w:val="000000"/>
          <w:sz w:val="24"/>
          <w:szCs w:val="24"/>
          <w:lang w:val="en-US"/>
        </w:rPr>
      </w:pPr>
      <w:r w:rsidRPr="0006237A">
        <w:rPr>
          <w:color w:val="000000"/>
          <w:sz w:val="24"/>
          <w:szCs w:val="24"/>
          <w:lang w:val="en-US"/>
        </w:rPr>
        <w:t>Personal Radio FCC 95.1501-1511</w:t>
      </w:r>
    </w:p>
    <w:p w:rsidR="0081337F" w:rsidRDefault="0081337F" w:rsidP="0006237A">
      <w:pPr>
        <w:autoSpaceDE w:val="0"/>
        <w:autoSpaceDN w:val="0"/>
        <w:adjustRightInd w:val="0"/>
        <w:rPr>
          <w:sz w:val="24"/>
        </w:rPr>
      </w:pPr>
    </w:p>
    <w:p w:rsidR="0006237A" w:rsidRPr="0006237A" w:rsidRDefault="0006237A" w:rsidP="0006237A">
      <w:pPr>
        <w:autoSpaceDE w:val="0"/>
        <w:autoSpaceDN w:val="0"/>
        <w:adjustRightInd w:val="0"/>
        <w:rPr>
          <w:sz w:val="24"/>
        </w:rPr>
      </w:pPr>
      <w:r w:rsidRPr="0006237A">
        <w:rPr>
          <w:sz w:val="24"/>
        </w:rPr>
        <w:t xml:space="preserve">IEEE </w:t>
      </w:r>
      <w:r w:rsidR="0081337F">
        <w:rPr>
          <w:sz w:val="24"/>
        </w:rPr>
        <w:t xml:space="preserve">Std </w:t>
      </w:r>
      <w:bookmarkStart w:id="0" w:name="_GoBack"/>
      <w:bookmarkEnd w:id="0"/>
      <w:r w:rsidRPr="0006237A">
        <w:rPr>
          <w:sz w:val="24"/>
        </w:rPr>
        <w:t>802.11-2012</w:t>
      </w:r>
    </w:p>
    <w:p w:rsidR="0006237A" w:rsidRPr="0006237A" w:rsidRDefault="0006237A" w:rsidP="0006237A">
      <w:pPr>
        <w:autoSpaceDE w:val="0"/>
        <w:autoSpaceDN w:val="0"/>
        <w:adjustRightInd w:val="0"/>
        <w:rPr>
          <w:sz w:val="24"/>
        </w:rPr>
      </w:pPr>
      <w:r>
        <w:rPr>
          <w:sz w:val="24"/>
        </w:rPr>
        <w:t xml:space="preserve">IEEE </w:t>
      </w:r>
      <w:r w:rsidRPr="0006237A">
        <w:rPr>
          <w:sz w:val="24"/>
        </w:rPr>
        <w:t>P802.11ac Draft 6.0</w:t>
      </w:r>
    </w:p>
    <w:p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E65" w:rsidRDefault="00125E65">
      <w:r>
        <w:separator/>
      </w:r>
    </w:p>
  </w:endnote>
  <w:endnote w:type="continuationSeparator" w:id="0">
    <w:p w:rsidR="00125E65" w:rsidRDefault="0012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896551">
    <w:pPr>
      <w:pStyle w:val="Footer"/>
      <w:tabs>
        <w:tab w:val="clear" w:pos="6480"/>
        <w:tab w:val="center" w:pos="4680"/>
        <w:tab w:val="right" w:pos="9360"/>
      </w:tabs>
    </w:pPr>
    <w:fldSimple w:instr=" SUBJECT  \* MERGEFORMAT ">
      <w:r w:rsidR="009F2FBC">
        <w:t>Submission</w:t>
      </w:r>
    </w:fldSimple>
    <w:r w:rsidR="0029020B">
      <w:tab/>
      <w:t xml:space="preserve">page </w:t>
    </w:r>
    <w:r w:rsidR="0029020B">
      <w:fldChar w:fldCharType="begin"/>
    </w:r>
    <w:r w:rsidR="0029020B">
      <w:instrText xml:space="preserve">page </w:instrText>
    </w:r>
    <w:r w:rsidR="0029020B">
      <w:fldChar w:fldCharType="separate"/>
    </w:r>
    <w:r w:rsidR="0081337F">
      <w:rPr>
        <w:noProof/>
      </w:rPr>
      <w:t>4</w:t>
    </w:r>
    <w:r w:rsidR="0029020B">
      <w:fldChar w:fldCharType="end"/>
    </w:r>
    <w:r w:rsidR="0029020B">
      <w:tab/>
    </w:r>
    <w:fldSimple w:instr=" COMMENTS  \* MERGEFORMAT ">
      <w:r w:rsidR="00D326E4">
        <w:t>Peter Ecclesine</w:t>
      </w:r>
      <w:r w:rsidR="009F2FBC">
        <w:t xml:space="preserve">, </w:t>
      </w:r>
      <w:r w:rsidR="00D326E4">
        <w:t>Cisco Systems</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E65" w:rsidRDefault="00125E65">
      <w:r>
        <w:separator/>
      </w:r>
    </w:p>
  </w:footnote>
  <w:footnote w:type="continuationSeparator" w:id="0">
    <w:p w:rsidR="00125E65" w:rsidRDefault="00125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BB52E4">
    <w:pPr>
      <w:pStyle w:val="Header"/>
      <w:tabs>
        <w:tab w:val="clear" w:pos="6480"/>
        <w:tab w:val="center" w:pos="4680"/>
        <w:tab w:val="right" w:pos="9360"/>
      </w:tabs>
    </w:pPr>
    <w:fldSimple w:instr=" KEYWORDS  \* MERGEFORMAT ">
      <w:r w:rsidR="00D326E4">
        <w:t>August</w:t>
      </w:r>
      <w:r w:rsidR="009F2FBC">
        <w:t xml:space="preserve"> </w:t>
      </w:r>
      <w:r w:rsidR="00D326E4">
        <w:t>2013</w:t>
      </w:r>
    </w:fldSimple>
    <w:r w:rsidR="0029020B">
      <w:tab/>
    </w:r>
    <w:r w:rsidR="0029020B">
      <w:tab/>
    </w:r>
    <w:fldSimple w:instr=" TITLE  \* MERGEFORMAT ">
      <w:r w:rsidR="009F2FBC">
        <w:t>doc.: IEEE 802.11-</w:t>
      </w:r>
      <w:r w:rsidR="00D326E4">
        <w:t>13</w:t>
      </w:r>
      <w:r w:rsidR="009F2FBC">
        <w:t>/</w:t>
      </w:r>
      <w:r w:rsidR="00D326E4">
        <w:t>09</w:t>
      </w:r>
      <w:r w:rsidR="00E2393F">
        <w:t>94</w:t>
      </w:r>
      <w:r w:rsidR="009F2FBC">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7332"/>
    <w:multiLevelType w:val="hybridMultilevel"/>
    <w:tmpl w:val="62724E02"/>
    <w:lvl w:ilvl="0" w:tplc="EB84BA5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4694527F"/>
    <w:multiLevelType w:val="hybridMultilevel"/>
    <w:tmpl w:val="E80469DA"/>
    <w:lvl w:ilvl="0" w:tplc="EB84BA5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D03E2F"/>
    <w:multiLevelType w:val="hybridMultilevel"/>
    <w:tmpl w:val="A74CB582"/>
    <w:lvl w:ilvl="0" w:tplc="EB84BA5C">
      <w:start w:val="1"/>
      <w:numFmt w:val="bullet"/>
      <w:lvlText w:val="•"/>
      <w:lvlJc w:val="left"/>
      <w:pPr>
        <w:tabs>
          <w:tab w:val="num" w:pos="720"/>
        </w:tabs>
        <w:ind w:left="720" w:hanging="360"/>
      </w:pPr>
      <w:rPr>
        <w:rFonts w:ascii="Arial" w:hAnsi="Arial" w:hint="default"/>
      </w:rPr>
    </w:lvl>
    <w:lvl w:ilvl="1" w:tplc="CB041566" w:tentative="1">
      <w:start w:val="1"/>
      <w:numFmt w:val="bullet"/>
      <w:lvlText w:val="•"/>
      <w:lvlJc w:val="left"/>
      <w:pPr>
        <w:tabs>
          <w:tab w:val="num" w:pos="1440"/>
        </w:tabs>
        <w:ind w:left="1440" w:hanging="360"/>
      </w:pPr>
      <w:rPr>
        <w:rFonts w:ascii="Arial" w:hAnsi="Arial" w:hint="default"/>
      </w:rPr>
    </w:lvl>
    <w:lvl w:ilvl="2" w:tplc="44F87298" w:tentative="1">
      <w:start w:val="1"/>
      <w:numFmt w:val="bullet"/>
      <w:lvlText w:val="•"/>
      <w:lvlJc w:val="left"/>
      <w:pPr>
        <w:tabs>
          <w:tab w:val="num" w:pos="2160"/>
        </w:tabs>
        <w:ind w:left="2160" w:hanging="360"/>
      </w:pPr>
      <w:rPr>
        <w:rFonts w:ascii="Arial" w:hAnsi="Arial" w:hint="default"/>
      </w:rPr>
    </w:lvl>
    <w:lvl w:ilvl="3" w:tplc="A87AC560" w:tentative="1">
      <w:start w:val="1"/>
      <w:numFmt w:val="bullet"/>
      <w:lvlText w:val="•"/>
      <w:lvlJc w:val="left"/>
      <w:pPr>
        <w:tabs>
          <w:tab w:val="num" w:pos="2880"/>
        </w:tabs>
        <w:ind w:left="2880" w:hanging="360"/>
      </w:pPr>
      <w:rPr>
        <w:rFonts w:ascii="Arial" w:hAnsi="Arial" w:hint="default"/>
      </w:rPr>
    </w:lvl>
    <w:lvl w:ilvl="4" w:tplc="950C5DAE" w:tentative="1">
      <w:start w:val="1"/>
      <w:numFmt w:val="bullet"/>
      <w:lvlText w:val="•"/>
      <w:lvlJc w:val="left"/>
      <w:pPr>
        <w:tabs>
          <w:tab w:val="num" w:pos="3600"/>
        </w:tabs>
        <w:ind w:left="3600" w:hanging="360"/>
      </w:pPr>
      <w:rPr>
        <w:rFonts w:ascii="Arial" w:hAnsi="Arial" w:hint="default"/>
      </w:rPr>
    </w:lvl>
    <w:lvl w:ilvl="5" w:tplc="75129B70" w:tentative="1">
      <w:start w:val="1"/>
      <w:numFmt w:val="bullet"/>
      <w:lvlText w:val="•"/>
      <w:lvlJc w:val="left"/>
      <w:pPr>
        <w:tabs>
          <w:tab w:val="num" w:pos="4320"/>
        </w:tabs>
        <w:ind w:left="4320" w:hanging="360"/>
      </w:pPr>
      <w:rPr>
        <w:rFonts w:ascii="Arial" w:hAnsi="Arial" w:hint="default"/>
      </w:rPr>
    </w:lvl>
    <w:lvl w:ilvl="6" w:tplc="82660A7E" w:tentative="1">
      <w:start w:val="1"/>
      <w:numFmt w:val="bullet"/>
      <w:lvlText w:val="•"/>
      <w:lvlJc w:val="left"/>
      <w:pPr>
        <w:tabs>
          <w:tab w:val="num" w:pos="5040"/>
        </w:tabs>
        <w:ind w:left="5040" w:hanging="360"/>
      </w:pPr>
      <w:rPr>
        <w:rFonts w:ascii="Arial" w:hAnsi="Arial" w:hint="default"/>
      </w:rPr>
    </w:lvl>
    <w:lvl w:ilvl="7" w:tplc="C7BCEDBE" w:tentative="1">
      <w:start w:val="1"/>
      <w:numFmt w:val="bullet"/>
      <w:lvlText w:val="•"/>
      <w:lvlJc w:val="left"/>
      <w:pPr>
        <w:tabs>
          <w:tab w:val="num" w:pos="5760"/>
        </w:tabs>
        <w:ind w:left="5760" w:hanging="360"/>
      </w:pPr>
      <w:rPr>
        <w:rFonts w:ascii="Arial" w:hAnsi="Arial" w:hint="default"/>
      </w:rPr>
    </w:lvl>
    <w:lvl w:ilvl="8" w:tplc="27FEAD8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6237A"/>
    <w:rsid w:val="000966D1"/>
    <w:rsid w:val="00125E65"/>
    <w:rsid w:val="001275C5"/>
    <w:rsid w:val="001374E2"/>
    <w:rsid w:val="00197D7F"/>
    <w:rsid w:val="001A0034"/>
    <w:rsid w:val="001A605F"/>
    <w:rsid w:val="001B4AE4"/>
    <w:rsid w:val="001D5FE9"/>
    <w:rsid w:val="001D723B"/>
    <w:rsid w:val="001E08FA"/>
    <w:rsid w:val="0023749E"/>
    <w:rsid w:val="002759AD"/>
    <w:rsid w:val="0029020B"/>
    <w:rsid w:val="002B1ED8"/>
    <w:rsid w:val="002D44BE"/>
    <w:rsid w:val="00375A08"/>
    <w:rsid w:val="0038490F"/>
    <w:rsid w:val="003D4CEB"/>
    <w:rsid w:val="00442037"/>
    <w:rsid w:val="004839F4"/>
    <w:rsid w:val="00486DB9"/>
    <w:rsid w:val="004A0B3C"/>
    <w:rsid w:val="004B064B"/>
    <w:rsid w:val="004B0885"/>
    <w:rsid w:val="004E0067"/>
    <w:rsid w:val="00526393"/>
    <w:rsid w:val="00583E41"/>
    <w:rsid w:val="005D3E51"/>
    <w:rsid w:val="0061706B"/>
    <w:rsid w:val="0062440B"/>
    <w:rsid w:val="00630D45"/>
    <w:rsid w:val="00637191"/>
    <w:rsid w:val="00645929"/>
    <w:rsid w:val="00674305"/>
    <w:rsid w:val="00683F74"/>
    <w:rsid w:val="006C0727"/>
    <w:rsid w:val="006E145F"/>
    <w:rsid w:val="00716542"/>
    <w:rsid w:val="00725D33"/>
    <w:rsid w:val="00733CC0"/>
    <w:rsid w:val="00763D29"/>
    <w:rsid w:val="00770572"/>
    <w:rsid w:val="0077382A"/>
    <w:rsid w:val="00783EEB"/>
    <w:rsid w:val="00796991"/>
    <w:rsid w:val="007B1EA8"/>
    <w:rsid w:val="007B6504"/>
    <w:rsid w:val="0081337F"/>
    <w:rsid w:val="00836930"/>
    <w:rsid w:val="00864EB8"/>
    <w:rsid w:val="00896551"/>
    <w:rsid w:val="00921F63"/>
    <w:rsid w:val="009330A7"/>
    <w:rsid w:val="009357AB"/>
    <w:rsid w:val="009420E0"/>
    <w:rsid w:val="009D63D5"/>
    <w:rsid w:val="009F2FBC"/>
    <w:rsid w:val="009F4DF6"/>
    <w:rsid w:val="00A044B2"/>
    <w:rsid w:val="00A14D6B"/>
    <w:rsid w:val="00A4441C"/>
    <w:rsid w:val="00AA427C"/>
    <w:rsid w:val="00AE7DD4"/>
    <w:rsid w:val="00B17182"/>
    <w:rsid w:val="00B4204B"/>
    <w:rsid w:val="00B4619B"/>
    <w:rsid w:val="00BB1CF8"/>
    <w:rsid w:val="00BB52E4"/>
    <w:rsid w:val="00BE68C2"/>
    <w:rsid w:val="00C76505"/>
    <w:rsid w:val="00CA09B2"/>
    <w:rsid w:val="00CE57F1"/>
    <w:rsid w:val="00CE70D4"/>
    <w:rsid w:val="00D04FA5"/>
    <w:rsid w:val="00D326E4"/>
    <w:rsid w:val="00D40E05"/>
    <w:rsid w:val="00D46170"/>
    <w:rsid w:val="00D910FB"/>
    <w:rsid w:val="00DC4594"/>
    <w:rsid w:val="00DC5A7B"/>
    <w:rsid w:val="00DE595E"/>
    <w:rsid w:val="00E001ED"/>
    <w:rsid w:val="00E2393F"/>
    <w:rsid w:val="00ED78A2"/>
    <w:rsid w:val="00F43E11"/>
    <w:rsid w:val="00FE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783E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IEEEStdsLevel1Header">
    <w:name w:val="IEEEStds Level 1 Header"/>
    <w:basedOn w:val="Normal"/>
    <w:next w:val="Normal"/>
    <w:link w:val="IEEEStdsLevel1HeaderCharChar"/>
    <w:uiPriority w:val="99"/>
    <w:rsid w:val="00783EEB"/>
    <w:pPr>
      <w:keepLines/>
      <w:tabs>
        <w:tab w:val="num" w:pos="360"/>
      </w:tabs>
      <w:suppressAutoHyphens/>
      <w:spacing w:before="360" w:after="240"/>
      <w:outlineLvl w:val="0"/>
    </w:pPr>
    <w:rPr>
      <w:rFonts w:ascii="Arial" w:eastAsia="MS Mincho" w:hAnsi="Arial" w:cs="Arial"/>
      <w:b/>
      <w:bCs/>
      <w:noProof/>
      <w:sz w:val="24"/>
      <w:szCs w:val="24"/>
      <w:lang w:val="en-US"/>
    </w:rPr>
  </w:style>
  <w:style w:type="character" w:customStyle="1" w:styleId="IEEEStdsLevel1HeaderCharChar">
    <w:name w:val="IEEEStds Level 1 Header Char Char"/>
    <w:link w:val="IEEEStdsLevel1Header"/>
    <w:uiPriority w:val="99"/>
    <w:locked/>
    <w:rsid w:val="00783EEB"/>
    <w:rPr>
      <w:rFonts w:ascii="Arial" w:eastAsia="MS Mincho" w:hAnsi="Arial" w:cs="Arial"/>
      <w:b/>
      <w:bCs/>
      <w:noProof/>
      <w:sz w:val="24"/>
      <w:szCs w:val="24"/>
    </w:rPr>
  </w:style>
  <w:style w:type="paragraph" w:customStyle="1" w:styleId="H4">
    <w:name w:val="H4"/>
    <w:aliases w:val="1.1.1.1"/>
    <w:next w:val="T"/>
    <w:uiPriority w:val="99"/>
    <w:rsid w:val="00783E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ko-KR"/>
    </w:rPr>
  </w:style>
  <w:style w:type="paragraph" w:customStyle="1" w:styleId="SP3311307">
    <w:name w:val="SP.3.311307"/>
    <w:basedOn w:val="Normal"/>
    <w:next w:val="Normal"/>
    <w:uiPriority w:val="99"/>
    <w:rsid w:val="00783EEB"/>
    <w:pPr>
      <w:widowControl w:val="0"/>
      <w:autoSpaceDE w:val="0"/>
      <w:autoSpaceDN w:val="0"/>
      <w:adjustRightInd w:val="0"/>
    </w:pPr>
    <w:rPr>
      <w:rFonts w:ascii="Arial" w:eastAsia="Malgun Gothic" w:hAnsi="Arial" w:cs="Arial"/>
      <w:sz w:val="24"/>
      <w:szCs w:val="24"/>
      <w:lang w:val="en-US" w:eastAsia="ja-JP"/>
    </w:rPr>
  </w:style>
  <w:style w:type="paragraph" w:customStyle="1" w:styleId="SP3311352">
    <w:name w:val="SP.3.311352"/>
    <w:basedOn w:val="Normal"/>
    <w:next w:val="Normal"/>
    <w:uiPriority w:val="99"/>
    <w:rsid w:val="00783EEB"/>
    <w:pPr>
      <w:widowControl w:val="0"/>
      <w:autoSpaceDE w:val="0"/>
      <w:autoSpaceDN w:val="0"/>
      <w:adjustRightInd w:val="0"/>
    </w:pPr>
    <w:rPr>
      <w:rFonts w:ascii="Arial" w:eastAsia="Malgun Gothic" w:hAnsi="Arial" w:cs="Arial"/>
      <w:sz w:val="24"/>
      <w:szCs w:val="24"/>
      <w:lang w:val="en-US" w:eastAsia="ja-JP"/>
    </w:rPr>
  </w:style>
  <w:style w:type="paragraph" w:customStyle="1" w:styleId="SP365547">
    <w:name w:val="SP.3.65547"/>
    <w:basedOn w:val="Normal"/>
    <w:next w:val="Normal"/>
    <w:uiPriority w:val="99"/>
    <w:rsid w:val="00783EEB"/>
    <w:pPr>
      <w:autoSpaceDE w:val="0"/>
      <w:autoSpaceDN w:val="0"/>
      <w:adjustRightInd w:val="0"/>
    </w:pPr>
    <w:rPr>
      <w:sz w:val="24"/>
      <w:szCs w:val="24"/>
      <w:lang w:val="en-US"/>
    </w:rPr>
  </w:style>
  <w:style w:type="paragraph" w:customStyle="1" w:styleId="SP365538">
    <w:name w:val="SP.3.65538"/>
    <w:basedOn w:val="Normal"/>
    <w:next w:val="Normal"/>
    <w:uiPriority w:val="99"/>
    <w:rsid w:val="00783EEB"/>
    <w:pPr>
      <w:autoSpaceDE w:val="0"/>
      <w:autoSpaceDN w:val="0"/>
      <w:adjustRightInd w:val="0"/>
    </w:pPr>
    <w:rPr>
      <w:sz w:val="24"/>
      <w:szCs w:val="24"/>
      <w:lang w:val="en-US"/>
    </w:rPr>
  </w:style>
  <w:style w:type="character" w:customStyle="1" w:styleId="SC34062">
    <w:name w:val="SC.3.4062"/>
    <w:uiPriority w:val="99"/>
    <w:rsid w:val="00783EEB"/>
    <w:rPr>
      <w:b/>
      <w:bCs/>
      <w:i/>
      <w:iCs/>
      <w:color w:val="000000"/>
      <w:sz w:val="20"/>
      <w:szCs w:val="20"/>
    </w:rPr>
  </w:style>
  <w:style w:type="table" w:styleId="TableGrid">
    <w:name w:val="Table Grid"/>
    <w:basedOn w:val="TableNormal"/>
    <w:rsid w:val="00E001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5A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783E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IEEEStdsLevel1Header">
    <w:name w:val="IEEEStds Level 1 Header"/>
    <w:basedOn w:val="Normal"/>
    <w:next w:val="Normal"/>
    <w:link w:val="IEEEStdsLevel1HeaderCharChar"/>
    <w:uiPriority w:val="99"/>
    <w:rsid w:val="00783EEB"/>
    <w:pPr>
      <w:keepLines/>
      <w:tabs>
        <w:tab w:val="num" w:pos="360"/>
      </w:tabs>
      <w:suppressAutoHyphens/>
      <w:spacing w:before="360" w:after="240"/>
      <w:outlineLvl w:val="0"/>
    </w:pPr>
    <w:rPr>
      <w:rFonts w:ascii="Arial" w:eastAsia="MS Mincho" w:hAnsi="Arial" w:cs="Arial"/>
      <w:b/>
      <w:bCs/>
      <w:noProof/>
      <w:sz w:val="24"/>
      <w:szCs w:val="24"/>
      <w:lang w:val="en-US"/>
    </w:rPr>
  </w:style>
  <w:style w:type="character" w:customStyle="1" w:styleId="IEEEStdsLevel1HeaderCharChar">
    <w:name w:val="IEEEStds Level 1 Header Char Char"/>
    <w:link w:val="IEEEStdsLevel1Header"/>
    <w:uiPriority w:val="99"/>
    <w:locked/>
    <w:rsid w:val="00783EEB"/>
    <w:rPr>
      <w:rFonts w:ascii="Arial" w:eastAsia="MS Mincho" w:hAnsi="Arial" w:cs="Arial"/>
      <w:b/>
      <w:bCs/>
      <w:noProof/>
      <w:sz w:val="24"/>
      <w:szCs w:val="24"/>
    </w:rPr>
  </w:style>
  <w:style w:type="paragraph" w:customStyle="1" w:styleId="H4">
    <w:name w:val="H4"/>
    <w:aliases w:val="1.1.1.1"/>
    <w:next w:val="T"/>
    <w:uiPriority w:val="99"/>
    <w:rsid w:val="00783E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ko-KR"/>
    </w:rPr>
  </w:style>
  <w:style w:type="paragraph" w:customStyle="1" w:styleId="SP3311307">
    <w:name w:val="SP.3.311307"/>
    <w:basedOn w:val="Normal"/>
    <w:next w:val="Normal"/>
    <w:uiPriority w:val="99"/>
    <w:rsid w:val="00783EEB"/>
    <w:pPr>
      <w:widowControl w:val="0"/>
      <w:autoSpaceDE w:val="0"/>
      <w:autoSpaceDN w:val="0"/>
      <w:adjustRightInd w:val="0"/>
    </w:pPr>
    <w:rPr>
      <w:rFonts w:ascii="Arial" w:eastAsia="Malgun Gothic" w:hAnsi="Arial" w:cs="Arial"/>
      <w:sz w:val="24"/>
      <w:szCs w:val="24"/>
      <w:lang w:val="en-US" w:eastAsia="ja-JP"/>
    </w:rPr>
  </w:style>
  <w:style w:type="paragraph" w:customStyle="1" w:styleId="SP3311352">
    <w:name w:val="SP.3.311352"/>
    <w:basedOn w:val="Normal"/>
    <w:next w:val="Normal"/>
    <w:uiPriority w:val="99"/>
    <w:rsid w:val="00783EEB"/>
    <w:pPr>
      <w:widowControl w:val="0"/>
      <w:autoSpaceDE w:val="0"/>
      <w:autoSpaceDN w:val="0"/>
      <w:adjustRightInd w:val="0"/>
    </w:pPr>
    <w:rPr>
      <w:rFonts w:ascii="Arial" w:eastAsia="Malgun Gothic" w:hAnsi="Arial" w:cs="Arial"/>
      <w:sz w:val="24"/>
      <w:szCs w:val="24"/>
      <w:lang w:val="en-US" w:eastAsia="ja-JP"/>
    </w:rPr>
  </w:style>
  <w:style w:type="paragraph" w:customStyle="1" w:styleId="SP365547">
    <w:name w:val="SP.3.65547"/>
    <w:basedOn w:val="Normal"/>
    <w:next w:val="Normal"/>
    <w:uiPriority w:val="99"/>
    <w:rsid w:val="00783EEB"/>
    <w:pPr>
      <w:autoSpaceDE w:val="0"/>
      <w:autoSpaceDN w:val="0"/>
      <w:adjustRightInd w:val="0"/>
    </w:pPr>
    <w:rPr>
      <w:sz w:val="24"/>
      <w:szCs w:val="24"/>
      <w:lang w:val="en-US"/>
    </w:rPr>
  </w:style>
  <w:style w:type="paragraph" w:customStyle="1" w:styleId="SP365538">
    <w:name w:val="SP.3.65538"/>
    <w:basedOn w:val="Normal"/>
    <w:next w:val="Normal"/>
    <w:uiPriority w:val="99"/>
    <w:rsid w:val="00783EEB"/>
    <w:pPr>
      <w:autoSpaceDE w:val="0"/>
      <w:autoSpaceDN w:val="0"/>
      <w:adjustRightInd w:val="0"/>
    </w:pPr>
    <w:rPr>
      <w:sz w:val="24"/>
      <w:szCs w:val="24"/>
      <w:lang w:val="en-US"/>
    </w:rPr>
  </w:style>
  <w:style w:type="character" w:customStyle="1" w:styleId="SC34062">
    <w:name w:val="SC.3.4062"/>
    <w:uiPriority w:val="99"/>
    <w:rsid w:val="00783EEB"/>
    <w:rPr>
      <w:b/>
      <w:bCs/>
      <w:i/>
      <w:iCs/>
      <w:color w:val="000000"/>
      <w:sz w:val="20"/>
      <w:szCs w:val="20"/>
    </w:rPr>
  </w:style>
  <w:style w:type="table" w:styleId="TableGrid">
    <w:name w:val="Table Grid"/>
    <w:basedOn w:val="TableNormal"/>
    <w:rsid w:val="00E001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5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90496">
      <w:bodyDiv w:val="1"/>
      <w:marLeft w:val="0"/>
      <w:marRight w:val="0"/>
      <w:marTop w:val="0"/>
      <w:marBottom w:val="0"/>
      <w:divBdr>
        <w:top w:val="none" w:sz="0" w:space="0" w:color="auto"/>
        <w:left w:val="none" w:sz="0" w:space="0" w:color="auto"/>
        <w:bottom w:val="none" w:sz="0" w:space="0" w:color="auto"/>
        <w:right w:val="none" w:sz="0" w:space="0" w:color="auto"/>
      </w:divBdr>
    </w:div>
    <w:div w:id="377978331">
      <w:bodyDiv w:val="1"/>
      <w:marLeft w:val="0"/>
      <w:marRight w:val="0"/>
      <w:marTop w:val="0"/>
      <w:marBottom w:val="0"/>
      <w:divBdr>
        <w:top w:val="none" w:sz="0" w:space="0" w:color="auto"/>
        <w:left w:val="none" w:sz="0" w:space="0" w:color="auto"/>
        <w:bottom w:val="none" w:sz="0" w:space="0" w:color="auto"/>
        <w:right w:val="none" w:sz="0" w:space="0" w:color="auto"/>
      </w:divBdr>
      <w:divsChild>
        <w:div w:id="568420538">
          <w:marLeft w:val="547"/>
          <w:marRight w:val="0"/>
          <w:marTop w:val="154"/>
          <w:marBottom w:val="0"/>
          <w:divBdr>
            <w:top w:val="none" w:sz="0" w:space="0" w:color="auto"/>
            <w:left w:val="none" w:sz="0" w:space="0" w:color="auto"/>
            <w:bottom w:val="none" w:sz="0" w:space="0" w:color="auto"/>
            <w:right w:val="none" w:sz="0" w:space="0" w:color="auto"/>
          </w:divBdr>
        </w:div>
        <w:div w:id="47846135">
          <w:marLeft w:val="547"/>
          <w:marRight w:val="0"/>
          <w:marTop w:val="154"/>
          <w:marBottom w:val="0"/>
          <w:divBdr>
            <w:top w:val="none" w:sz="0" w:space="0" w:color="auto"/>
            <w:left w:val="none" w:sz="0" w:space="0" w:color="auto"/>
            <w:bottom w:val="none" w:sz="0" w:space="0" w:color="auto"/>
            <w:right w:val="none" w:sz="0" w:space="0" w:color="auto"/>
          </w:divBdr>
        </w:div>
        <w:div w:id="2145155188">
          <w:marLeft w:val="547"/>
          <w:marRight w:val="0"/>
          <w:marTop w:val="154"/>
          <w:marBottom w:val="0"/>
          <w:divBdr>
            <w:top w:val="none" w:sz="0" w:space="0" w:color="auto"/>
            <w:left w:val="none" w:sz="0" w:space="0" w:color="auto"/>
            <w:bottom w:val="none" w:sz="0" w:space="0" w:color="auto"/>
            <w:right w:val="none" w:sz="0" w:space="0" w:color="auto"/>
          </w:divBdr>
        </w:div>
      </w:divsChild>
    </w:div>
    <w:div w:id="74129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1FD9F-3AD4-4B25-A64F-FCE2B7AC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802.11-13/0994r0</vt:lpstr>
    </vt:vector>
  </TitlesOfParts>
  <Company>Cisco Systems</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802.11-13/0994r0</dc:title>
  <dc:subject>Submission</dc:subject>
  <dc:creator>Peter Ecclesine</dc:creator>
  <cp:keywords>August 2013</cp:keywords>
  <dc:description>Peter Ecclesine, Cisco Systems</dc:description>
  <cp:lastModifiedBy>pecclesi</cp:lastModifiedBy>
  <cp:revision>3</cp:revision>
  <cp:lastPrinted>2013-08-15T23:11:00Z</cp:lastPrinted>
  <dcterms:created xsi:type="dcterms:W3CDTF">2013-08-28T15:38:00Z</dcterms:created>
  <dcterms:modified xsi:type="dcterms:W3CDTF">2013-08-28T15:39:00Z</dcterms:modified>
</cp:coreProperties>
</file>