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776EAB">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sidR="00776EAB">
              <w:rPr>
                <w:rFonts w:hint="eastAsia"/>
                <w:lang w:val="en-US" w:eastAsia="zh-CN"/>
              </w:rPr>
              <w:t>MAC</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954526">
            <w:pPr>
              <w:pStyle w:val="T2"/>
              <w:spacing w:after="0"/>
              <w:ind w:left="0" w:right="0"/>
              <w:rPr>
                <w:b w:val="0"/>
                <w:sz w:val="20"/>
                <w:lang w:eastAsia="zh-CN"/>
              </w:rPr>
            </w:pPr>
            <w:r>
              <w:rPr>
                <w:rFonts w:hint="eastAsia"/>
                <w:b w:val="0"/>
                <w:sz w:val="20"/>
                <w:lang w:eastAsia="zh-CN"/>
              </w:rPr>
              <w:t>Bo Sun</w:t>
            </w:r>
          </w:p>
        </w:tc>
        <w:tc>
          <w:tcPr>
            <w:tcW w:w="1472" w:type="dxa"/>
            <w:vAlign w:val="center"/>
          </w:tcPr>
          <w:p w:rsidR="00CA09B2" w:rsidRDefault="00954526">
            <w:pPr>
              <w:pStyle w:val="T2"/>
              <w:spacing w:after="0"/>
              <w:ind w:left="0" w:right="0"/>
              <w:rPr>
                <w:b w:val="0"/>
                <w:sz w:val="20"/>
                <w:lang w:eastAsia="zh-CN"/>
              </w:rPr>
            </w:pPr>
            <w:r>
              <w:rPr>
                <w:rFonts w:hint="eastAsia"/>
                <w:b w:val="0"/>
                <w:sz w:val="20"/>
                <w:lang w:eastAsia="zh-CN"/>
              </w:rPr>
              <w:t>ZTE Corporation</w:t>
            </w:r>
          </w:p>
        </w:tc>
        <w:tc>
          <w:tcPr>
            <w:tcW w:w="2970" w:type="dxa"/>
            <w:vAlign w:val="center"/>
          </w:tcPr>
          <w:p w:rsidR="00CA09B2" w:rsidRDefault="00954526" w:rsidP="00954526">
            <w:pPr>
              <w:pStyle w:val="T2"/>
              <w:spacing w:after="0"/>
              <w:ind w:left="0" w:right="0"/>
              <w:rPr>
                <w:b w:val="0"/>
                <w:sz w:val="20"/>
              </w:rPr>
            </w:pPr>
            <w:r>
              <w:rPr>
                <w:rFonts w:hint="eastAsia"/>
                <w:b w:val="0"/>
                <w:sz w:val="20"/>
                <w:lang w:eastAsia="zh-CN"/>
              </w:rPr>
              <w:t xml:space="preserve">ZTE Building, No.9 </w:t>
            </w:r>
            <w:proofErr w:type="spellStart"/>
            <w:r>
              <w:rPr>
                <w:rFonts w:hint="eastAsia"/>
                <w:b w:val="0"/>
                <w:sz w:val="20"/>
                <w:lang w:eastAsia="zh-CN"/>
              </w:rPr>
              <w:t>Wuxingduan</w:t>
            </w:r>
            <w:proofErr w:type="spellEnd"/>
            <w:r>
              <w:rPr>
                <w:rFonts w:hint="eastAsia"/>
                <w:b w:val="0"/>
                <w:sz w:val="20"/>
                <w:lang w:eastAsia="zh-CN"/>
              </w:rPr>
              <w:t xml:space="preserve">, </w:t>
            </w:r>
            <w:proofErr w:type="spellStart"/>
            <w:r>
              <w:rPr>
                <w:rFonts w:hint="eastAsia"/>
                <w:b w:val="0"/>
                <w:sz w:val="20"/>
                <w:lang w:eastAsia="zh-CN"/>
              </w:rPr>
              <w:t>Xifeng</w:t>
            </w:r>
            <w:proofErr w:type="spellEnd"/>
            <w:r>
              <w:rPr>
                <w:rFonts w:hint="eastAsia"/>
                <w:b w:val="0"/>
                <w:sz w:val="20"/>
                <w:lang w:eastAsia="zh-CN"/>
              </w:rPr>
              <w:t xml:space="preserve"> Rd., Xi</w:t>
            </w:r>
            <w:r>
              <w:rPr>
                <w:b w:val="0"/>
                <w:sz w:val="20"/>
                <w:lang w:eastAsia="zh-CN"/>
              </w:rPr>
              <w:t>’</w:t>
            </w:r>
            <w:r>
              <w:rPr>
                <w:rFonts w:hint="eastAsia"/>
                <w:b w:val="0"/>
                <w:sz w:val="20"/>
                <w:lang w:eastAsia="zh-CN"/>
              </w:rPr>
              <w:t>an, China</w:t>
            </w:r>
          </w:p>
        </w:tc>
        <w:tc>
          <w:tcPr>
            <w:tcW w:w="1530" w:type="dxa"/>
            <w:vAlign w:val="center"/>
          </w:tcPr>
          <w:p w:rsidR="00CA09B2" w:rsidRDefault="00954526" w:rsidP="00954526">
            <w:pPr>
              <w:pStyle w:val="T2"/>
              <w:spacing w:after="0"/>
              <w:ind w:left="0" w:right="0"/>
              <w:rPr>
                <w:b w:val="0"/>
                <w:sz w:val="20"/>
              </w:rPr>
            </w:pPr>
            <w:r>
              <w:rPr>
                <w:rFonts w:hint="eastAsia"/>
                <w:b w:val="0"/>
                <w:sz w:val="20"/>
                <w:lang w:eastAsia="zh-CN"/>
              </w:rPr>
              <w:t>+86</w:t>
            </w:r>
            <w:r w:rsidR="003E1B51">
              <w:rPr>
                <w:b w:val="0"/>
                <w:sz w:val="20"/>
              </w:rPr>
              <w:t>-2</w:t>
            </w:r>
            <w:r>
              <w:rPr>
                <w:rFonts w:hint="eastAsia"/>
                <w:b w:val="0"/>
                <w:sz w:val="20"/>
                <w:lang w:eastAsia="zh-CN"/>
              </w:rPr>
              <w:t>9</w:t>
            </w:r>
            <w:r w:rsidR="003E1B51">
              <w:rPr>
                <w:b w:val="0"/>
                <w:sz w:val="20"/>
              </w:rPr>
              <w:t>-</w:t>
            </w:r>
            <w:r>
              <w:rPr>
                <w:rFonts w:hint="eastAsia"/>
                <w:b w:val="0"/>
                <w:sz w:val="20"/>
                <w:lang w:eastAsia="zh-CN"/>
              </w:rPr>
              <w:t>68700941</w:t>
            </w:r>
            <w:r w:rsidR="003E1B51">
              <w:rPr>
                <w:b w:val="0"/>
                <w:sz w:val="20"/>
              </w:rPr>
              <w:t>1837</w:t>
            </w:r>
          </w:p>
        </w:tc>
        <w:tc>
          <w:tcPr>
            <w:tcW w:w="2268" w:type="dxa"/>
            <w:vAlign w:val="center"/>
          </w:tcPr>
          <w:p w:rsidR="00CA09B2" w:rsidRDefault="00954526">
            <w:pPr>
              <w:pStyle w:val="T2"/>
              <w:spacing w:after="0"/>
              <w:ind w:left="0" w:right="0"/>
              <w:rPr>
                <w:b w:val="0"/>
                <w:sz w:val="16"/>
                <w:lang w:eastAsia="zh-CN"/>
              </w:rPr>
            </w:pPr>
            <w:r>
              <w:rPr>
                <w:b w:val="0"/>
                <w:sz w:val="16"/>
                <w:lang w:eastAsia="zh-CN"/>
              </w:rPr>
              <w:t>S</w:t>
            </w:r>
            <w:r>
              <w:rPr>
                <w:rFonts w:hint="eastAsia"/>
                <w:b w:val="0"/>
                <w:sz w:val="16"/>
                <w:lang w:eastAsia="zh-CN"/>
              </w:rPr>
              <w:t>un.bo1@zte.com.cn</w:t>
            </w:r>
          </w:p>
        </w:tc>
      </w:tr>
      <w:tr w:rsidR="003E1B51" w:rsidTr="003E1B51">
        <w:trPr>
          <w:jc w:val="center"/>
        </w:trPr>
        <w:tc>
          <w:tcPr>
            <w:tcW w:w="1336" w:type="dxa"/>
            <w:vAlign w:val="center"/>
          </w:tcPr>
          <w:p w:rsidR="003E1B51" w:rsidRDefault="003E1B51">
            <w:pPr>
              <w:pStyle w:val="T2"/>
              <w:spacing w:after="0"/>
              <w:ind w:left="0" w:right="0"/>
              <w:rPr>
                <w:b w:val="0"/>
                <w:sz w:val="20"/>
              </w:rPr>
            </w:pPr>
          </w:p>
        </w:tc>
        <w:tc>
          <w:tcPr>
            <w:tcW w:w="1472" w:type="dxa"/>
            <w:vAlign w:val="center"/>
          </w:tcPr>
          <w:p w:rsidR="003E1B51" w:rsidRDefault="003E1B51">
            <w:pPr>
              <w:pStyle w:val="T2"/>
              <w:spacing w:after="0"/>
              <w:ind w:left="0" w:right="0"/>
              <w:rPr>
                <w:b w:val="0"/>
                <w:sz w:val="20"/>
              </w:rPr>
            </w:pPr>
          </w:p>
        </w:tc>
        <w:tc>
          <w:tcPr>
            <w:tcW w:w="2970" w:type="dxa"/>
            <w:vAlign w:val="center"/>
          </w:tcPr>
          <w:p w:rsidR="003E1B51" w:rsidRDefault="003E1B51">
            <w:pPr>
              <w:pStyle w:val="T2"/>
              <w:spacing w:after="0"/>
              <w:ind w:left="0" w:right="0"/>
              <w:rPr>
                <w:b w:val="0"/>
                <w:sz w:val="20"/>
              </w:rPr>
            </w:pPr>
          </w:p>
        </w:tc>
        <w:tc>
          <w:tcPr>
            <w:tcW w:w="1530" w:type="dxa"/>
            <w:vAlign w:val="center"/>
          </w:tcPr>
          <w:p w:rsidR="003E1B51" w:rsidRDefault="003E1B51">
            <w:pPr>
              <w:pStyle w:val="T2"/>
              <w:spacing w:after="0"/>
              <w:ind w:left="0" w:right="0"/>
              <w:rPr>
                <w:b w:val="0"/>
                <w:sz w:val="20"/>
              </w:rPr>
            </w:pPr>
          </w:p>
        </w:tc>
        <w:tc>
          <w:tcPr>
            <w:tcW w:w="2268" w:type="dxa"/>
            <w:vAlign w:val="center"/>
          </w:tcPr>
          <w:p w:rsidR="003E1B51" w:rsidRDefault="003E1B51">
            <w:pPr>
              <w:pStyle w:val="T2"/>
              <w:spacing w:after="0"/>
              <w:ind w:left="0" w:right="0"/>
              <w:rPr>
                <w:b w:val="0"/>
                <w:sz w:val="16"/>
              </w:rPr>
            </w:pP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776EAB">
        <w:rPr>
          <w:rFonts w:hint="eastAsia"/>
          <w:b/>
          <w:lang w:eastAsia="zh-CN"/>
        </w:rPr>
        <w:t>MAC</w:t>
      </w:r>
      <w:r w:rsidR="004370BF">
        <w:rPr>
          <w:b/>
        </w:rPr>
        <w:t xml:space="preserve"> Comment Resolution for C</w:t>
      </w:r>
      <w:r w:rsidR="00776EAB">
        <w:rPr>
          <w:rFonts w:hint="eastAsia"/>
          <w:b/>
          <w:lang w:eastAsia="zh-CN"/>
        </w:rPr>
        <w:t>ID 163, C</w:t>
      </w:r>
      <w:r w:rsidR="004370BF">
        <w:rPr>
          <w:b/>
        </w:rPr>
        <w:t>lauses</w:t>
      </w:r>
      <w:r w:rsidR="004370BF">
        <w:rPr>
          <w:b/>
          <w:lang w:eastAsia="zh-CN"/>
        </w:rPr>
        <w:t xml:space="preserve"> </w:t>
      </w:r>
      <w:r w:rsidR="00776EAB" w:rsidRPr="00776EAB">
        <w:rPr>
          <w:b/>
          <w:lang w:eastAsia="zh-CN"/>
        </w:rPr>
        <w:t>8.4.2.170s</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70"/>
        <w:gridCol w:w="1080"/>
        <w:gridCol w:w="900"/>
        <w:gridCol w:w="2340"/>
        <w:gridCol w:w="2160"/>
        <w:gridCol w:w="2507"/>
      </w:tblGrid>
      <w:tr w:rsidR="001B00FF" w:rsidRPr="00423492" w:rsidTr="00954526">
        <w:tc>
          <w:tcPr>
            <w:tcW w:w="900" w:type="dxa"/>
          </w:tcPr>
          <w:p w:rsidR="001B00FF" w:rsidRDefault="00E07901" w:rsidP="00E07901">
            <w:pPr>
              <w:rPr>
                <w:szCs w:val="22"/>
                <w:lang w:eastAsia="zh-CN"/>
              </w:rPr>
            </w:pPr>
            <w:r>
              <w:rPr>
                <w:rFonts w:hint="eastAsia"/>
                <w:szCs w:val="22"/>
                <w:lang w:eastAsia="zh-CN"/>
              </w:rPr>
              <w:t>163</w:t>
            </w:r>
          </w:p>
        </w:tc>
        <w:tc>
          <w:tcPr>
            <w:tcW w:w="1170" w:type="dxa"/>
          </w:tcPr>
          <w:p w:rsidR="001B00FF" w:rsidRPr="001B00FF" w:rsidRDefault="00E07901" w:rsidP="00635664">
            <w:pPr>
              <w:rPr>
                <w:rFonts w:ascii="Arial" w:hAnsi="Arial" w:cs="Arial"/>
                <w:sz w:val="20"/>
                <w:lang w:eastAsia="zh-CN"/>
              </w:rPr>
            </w:pPr>
            <w:r>
              <w:rPr>
                <w:rFonts w:ascii="Arial" w:hAnsi="Arial" w:cs="Arial" w:hint="eastAsia"/>
                <w:sz w:val="20"/>
                <w:lang w:eastAsia="zh-CN"/>
              </w:rPr>
              <w:t>Bo Sun</w:t>
            </w:r>
          </w:p>
        </w:tc>
        <w:tc>
          <w:tcPr>
            <w:tcW w:w="1080" w:type="dxa"/>
          </w:tcPr>
          <w:p w:rsidR="001B00FF" w:rsidRDefault="00E07901" w:rsidP="00954526">
            <w:pPr>
              <w:rPr>
                <w:szCs w:val="22"/>
                <w:lang w:eastAsia="zh-CN"/>
              </w:rPr>
            </w:pPr>
            <w:r>
              <w:rPr>
                <w:rFonts w:hint="eastAsia"/>
                <w:szCs w:val="22"/>
                <w:lang w:eastAsia="zh-CN"/>
              </w:rPr>
              <w:t>8.4.2.170s</w:t>
            </w:r>
          </w:p>
        </w:tc>
        <w:tc>
          <w:tcPr>
            <w:tcW w:w="900" w:type="dxa"/>
          </w:tcPr>
          <w:p w:rsidR="001B00FF" w:rsidRDefault="00E07901" w:rsidP="00B847FE">
            <w:pPr>
              <w:rPr>
                <w:szCs w:val="22"/>
                <w:lang w:eastAsia="zh-CN"/>
              </w:rPr>
            </w:pPr>
            <w:r>
              <w:rPr>
                <w:rFonts w:hint="eastAsia"/>
                <w:szCs w:val="22"/>
                <w:lang w:eastAsia="zh-CN"/>
              </w:rPr>
              <w:t>97.31</w:t>
            </w:r>
          </w:p>
        </w:tc>
        <w:tc>
          <w:tcPr>
            <w:tcW w:w="2340" w:type="dxa"/>
          </w:tcPr>
          <w:p w:rsidR="001B00FF" w:rsidRPr="001B00FF" w:rsidRDefault="00E07901" w:rsidP="00635664">
            <w:pPr>
              <w:rPr>
                <w:rFonts w:ascii="Arial" w:hAnsi="Arial" w:cs="Arial"/>
                <w:sz w:val="20"/>
              </w:rPr>
            </w:pPr>
            <w:r w:rsidRPr="00E07901">
              <w:rPr>
                <w:rFonts w:ascii="Arial" w:hAnsi="Arial" w:cs="Arial"/>
                <w:sz w:val="20"/>
              </w:rPr>
              <w:t>Detailed function description of Relay Discovery IE has been accepted in the spec framework. Corresponding text should be provided for the spec draft.</w:t>
            </w:r>
          </w:p>
        </w:tc>
        <w:tc>
          <w:tcPr>
            <w:tcW w:w="2160" w:type="dxa"/>
          </w:tcPr>
          <w:p w:rsidR="001B00FF" w:rsidRPr="001B00FF" w:rsidRDefault="00E07901" w:rsidP="00954526">
            <w:pPr>
              <w:rPr>
                <w:rFonts w:ascii="Arial" w:hAnsi="Arial" w:cs="Arial"/>
                <w:sz w:val="20"/>
              </w:rPr>
            </w:pPr>
            <w:r w:rsidRPr="00E07901">
              <w:rPr>
                <w:rFonts w:ascii="Arial" w:hAnsi="Arial" w:cs="Arial"/>
                <w:sz w:val="20"/>
              </w:rPr>
              <w:t>Specify the detailed design of Relay Discovery IE as the spec framework described.</w:t>
            </w:r>
          </w:p>
        </w:tc>
        <w:tc>
          <w:tcPr>
            <w:tcW w:w="2507" w:type="dxa"/>
          </w:tcPr>
          <w:p w:rsidR="001B00FF" w:rsidRDefault="00954526" w:rsidP="00DE141C">
            <w:pPr>
              <w:rPr>
                <w:b/>
                <w:szCs w:val="22"/>
                <w:lang w:eastAsia="zh-CN"/>
              </w:rPr>
            </w:pPr>
            <w:r w:rsidRPr="00954526">
              <w:rPr>
                <w:rFonts w:hint="eastAsia"/>
                <w:b/>
                <w:szCs w:val="22"/>
                <w:lang w:eastAsia="zh-CN"/>
              </w:rPr>
              <w:t>Re</w:t>
            </w:r>
            <w:r>
              <w:rPr>
                <w:rFonts w:hint="eastAsia"/>
                <w:b/>
                <w:szCs w:val="22"/>
                <w:lang w:eastAsia="zh-CN"/>
              </w:rPr>
              <w:t>vise</w:t>
            </w:r>
          </w:p>
          <w:p w:rsidR="00E07901" w:rsidRPr="00954526" w:rsidRDefault="00E07901" w:rsidP="00E07901">
            <w:pPr>
              <w:rPr>
                <w:b/>
                <w:szCs w:val="22"/>
                <w:lang w:eastAsia="zh-CN"/>
              </w:rPr>
            </w:pPr>
            <w:r>
              <w:t xml:space="preserve">Modify the specification to include the detailed relay discovery information element as </w:t>
            </w:r>
            <w:r>
              <w:rPr>
                <w:rFonts w:hint="eastAsia"/>
                <w:lang w:eastAsia="zh-CN"/>
              </w:rPr>
              <w:t>proposed in this document</w:t>
            </w:r>
            <w:r>
              <w:t>.</w:t>
            </w:r>
          </w:p>
        </w:tc>
      </w:tr>
      <w:tr w:rsidR="001B00FF" w:rsidRPr="00423492" w:rsidTr="00954526">
        <w:tc>
          <w:tcPr>
            <w:tcW w:w="900" w:type="dxa"/>
          </w:tcPr>
          <w:p w:rsidR="001B00FF" w:rsidRDefault="001B00FF" w:rsidP="00816A16">
            <w:pPr>
              <w:rPr>
                <w:szCs w:val="22"/>
              </w:rPr>
            </w:pPr>
          </w:p>
        </w:tc>
        <w:tc>
          <w:tcPr>
            <w:tcW w:w="1170" w:type="dxa"/>
          </w:tcPr>
          <w:p w:rsidR="001B00FF" w:rsidRPr="001B00FF" w:rsidRDefault="001B00FF" w:rsidP="00635664">
            <w:pPr>
              <w:rPr>
                <w:rFonts w:ascii="Arial" w:hAnsi="Arial" w:cs="Arial"/>
                <w:sz w:val="20"/>
              </w:rPr>
            </w:pPr>
          </w:p>
        </w:tc>
        <w:tc>
          <w:tcPr>
            <w:tcW w:w="1080" w:type="dxa"/>
          </w:tcPr>
          <w:p w:rsidR="001B00FF" w:rsidRDefault="001B00FF" w:rsidP="00635664">
            <w:pPr>
              <w:rPr>
                <w:szCs w:val="22"/>
              </w:rPr>
            </w:pPr>
          </w:p>
        </w:tc>
        <w:tc>
          <w:tcPr>
            <w:tcW w:w="900" w:type="dxa"/>
          </w:tcPr>
          <w:p w:rsidR="001B00FF" w:rsidRDefault="001B00FF" w:rsidP="00DE141C">
            <w:pPr>
              <w:rPr>
                <w:szCs w:val="22"/>
              </w:rPr>
            </w:pPr>
          </w:p>
        </w:tc>
        <w:tc>
          <w:tcPr>
            <w:tcW w:w="2340" w:type="dxa"/>
          </w:tcPr>
          <w:p w:rsidR="001B00FF" w:rsidRPr="001B00FF" w:rsidRDefault="001B00FF" w:rsidP="00635664">
            <w:pPr>
              <w:rPr>
                <w:rFonts w:ascii="Arial" w:hAnsi="Arial" w:cs="Arial"/>
                <w:sz w:val="20"/>
              </w:rPr>
            </w:pPr>
          </w:p>
        </w:tc>
        <w:tc>
          <w:tcPr>
            <w:tcW w:w="2160" w:type="dxa"/>
          </w:tcPr>
          <w:p w:rsidR="001B00FF" w:rsidRPr="001B00FF" w:rsidRDefault="001B00FF" w:rsidP="00635664">
            <w:pPr>
              <w:rPr>
                <w:rFonts w:ascii="Arial" w:hAnsi="Arial" w:cs="Arial"/>
                <w:sz w:val="20"/>
              </w:rPr>
            </w:pPr>
          </w:p>
        </w:tc>
        <w:tc>
          <w:tcPr>
            <w:tcW w:w="2507" w:type="dxa"/>
          </w:tcPr>
          <w:p w:rsidR="00015C81" w:rsidRPr="00015C81" w:rsidRDefault="00015C81" w:rsidP="0080646F">
            <w:pPr>
              <w:rPr>
                <w:sz w:val="20"/>
                <w:szCs w:val="22"/>
              </w:rPr>
            </w:pPr>
          </w:p>
        </w:tc>
      </w:tr>
    </w:tbl>
    <w:p w:rsidR="00C87A3E" w:rsidRDefault="00C87A3E" w:rsidP="00C87A3E">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2D72F5">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Pr="00DC2DF7">
        <w:rPr>
          <w:i/>
          <w:szCs w:val="22"/>
          <w:highlight w:val="yellow"/>
        </w:rPr>
        <w:t xml:space="preserve"> Editor: </w:t>
      </w:r>
      <w:proofErr w:type="spellStart"/>
      <w:r w:rsidRPr="00DC2DF7">
        <w:rPr>
          <w:i/>
          <w:szCs w:val="22"/>
          <w:highlight w:val="yellow"/>
        </w:rPr>
        <w:t>Pls</w:t>
      </w:r>
      <w:proofErr w:type="spellEnd"/>
      <w:r w:rsidR="00E07901">
        <w:rPr>
          <w:rFonts w:hint="eastAsia"/>
          <w:i/>
          <w:szCs w:val="22"/>
          <w:highlight w:val="yellow"/>
          <w:lang w:eastAsia="zh-CN"/>
        </w:rPr>
        <w:t xml:space="preserve"> replace the current text in 8.4.2.170s Relay Discovery element with following text</w:t>
      </w:r>
      <w:r w:rsidRPr="00DC2DF7">
        <w:rPr>
          <w:i/>
          <w:szCs w:val="22"/>
          <w:highlight w:val="yellow"/>
        </w:rPr>
        <w:t>:</w:t>
      </w:r>
    </w:p>
    <w:p w:rsidR="00B847FE" w:rsidRPr="00721A79" w:rsidRDefault="00B847FE" w:rsidP="002D72F5">
      <w:pPr>
        <w:autoSpaceDE w:val="0"/>
        <w:autoSpaceDN w:val="0"/>
        <w:adjustRightInd w:val="0"/>
        <w:rPr>
          <w:i/>
          <w:sz w:val="24"/>
          <w:szCs w:val="22"/>
          <w:lang w:eastAsia="zh-CN"/>
        </w:rPr>
      </w:pPr>
    </w:p>
    <w:p w:rsidR="00E07901" w:rsidRDefault="00E07901" w:rsidP="00E07901">
      <w:r>
        <w:t xml:space="preserve">A station can optionally include a Relay Discovery IE in the Probe Request sending to a relay station to provide the information of direct path to the AP if the information is available.  </w:t>
      </w:r>
    </w:p>
    <w:p w:rsidR="00E07901" w:rsidRDefault="00E07901" w:rsidP="00E07901"/>
    <w:p w:rsidR="00E07901" w:rsidRDefault="00E07901" w:rsidP="00E07901">
      <w:r>
        <w:rPr>
          <w:rFonts w:hint="eastAsia"/>
          <w:lang w:eastAsia="zh-CN"/>
        </w:rPr>
        <w:t>U</w:t>
      </w:r>
      <w:r>
        <w:t xml:space="preserve">pon receiving the Probe Request, the relay station may send a Probe Response with specific information related to the relay station and to its backhaul link to AP </w:t>
      </w:r>
    </w:p>
    <w:p w:rsidR="00E07901" w:rsidRPr="00E07901" w:rsidRDefault="00E07901" w:rsidP="00E07901"/>
    <w:p w:rsidR="00E07901" w:rsidRDefault="00E07901" w:rsidP="00E07901">
      <w:r>
        <w:t>The relay station may autonomously include the Relay Discovery IE optionally in beacon frames to provide additional information specific to the relay station.</w:t>
      </w:r>
    </w:p>
    <w:p w:rsidR="00E07901" w:rsidRPr="00E07901" w:rsidRDefault="00E07901" w:rsidP="00E07901"/>
    <w:p w:rsidR="00E07901" w:rsidRDefault="00E07901" w:rsidP="00E07901">
      <w:r>
        <w:t>A Relay Discovery IE includes the common fields for Probe Request, Response and Beacon as shown in FIG 8-xxxa.</w:t>
      </w:r>
    </w:p>
    <w:p w:rsidR="00E07901" w:rsidRDefault="00E07901" w:rsidP="00E07901">
      <w:r>
        <w:tab/>
      </w:r>
    </w:p>
    <w:tbl>
      <w:tblPr>
        <w:tblW w:w="0" w:type="auto"/>
        <w:tblCellMar>
          <w:left w:w="0" w:type="dxa"/>
          <w:right w:w="0" w:type="dxa"/>
        </w:tblCellMar>
        <w:tblLook w:val="0420"/>
      </w:tblPr>
      <w:tblGrid>
        <w:gridCol w:w="851"/>
        <w:gridCol w:w="888"/>
        <w:gridCol w:w="798"/>
        <w:gridCol w:w="1283"/>
        <w:gridCol w:w="944"/>
        <w:gridCol w:w="1008"/>
        <w:gridCol w:w="953"/>
        <w:gridCol w:w="944"/>
        <w:gridCol w:w="1026"/>
        <w:gridCol w:w="953"/>
      </w:tblGrid>
      <w:tr w:rsidR="00E07901" w:rsidRPr="00E07901" w:rsidTr="00E07901">
        <w:trPr>
          <w:trHeight w:val="295"/>
        </w:trPr>
        <w:tc>
          <w:tcPr>
            <w:tcW w:w="0" w:type="auto"/>
            <w:tcBorders>
              <w:top w:val="nil"/>
              <w:left w:val="nil"/>
              <w:bottom w:val="nil"/>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Element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Length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Relay Discovery Info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UL Min Data 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UL Mean Data 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UL Max Data 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DL Min Data 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DL Mean Data 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DL Max Data Rate</w:t>
            </w:r>
          </w:p>
        </w:tc>
      </w:tr>
      <w:tr w:rsidR="00E07901" w:rsidRPr="006A0FB9" w:rsidTr="00F00A03">
        <w:trPr>
          <w:trHeight w:val="605"/>
        </w:trPr>
        <w:tc>
          <w:tcPr>
            <w:tcW w:w="0" w:type="auto"/>
            <w:tcBorders>
              <w:top w:val="nil"/>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Octets</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0" w:type="auto"/>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r>
    </w:tbl>
    <w:p w:rsidR="00E07901" w:rsidRPr="00E07F29" w:rsidRDefault="00E07901" w:rsidP="00E07901">
      <w:pPr>
        <w:ind w:left="2160" w:firstLine="720"/>
        <w:rPr>
          <w:b/>
        </w:rPr>
      </w:pPr>
      <w:r w:rsidRPr="00E07F29">
        <w:rPr>
          <w:b/>
        </w:rPr>
        <w:t>Figure 8-xxxa Relay Discovery IE common fields</w:t>
      </w:r>
    </w:p>
    <w:p w:rsidR="00E07901" w:rsidRDefault="00E07901" w:rsidP="00E07901"/>
    <w:p w:rsidR="00E07901" w:rsidRDefault="00E07901" w:rsidP="00E07901"/>
    <w:p w:rsidR="00E07901" w:rsidRDefault="00E07901" w:rsidP="00E07901">
      <w:r>
        <w:t>In Probe Request frame, those fields respectively denote the UL and DL minimum data rates, UL and DL mean data rates, and UL and DL maximum data rates of the direct path between the station and AP in the unit of 100 kbps if they are included.</w:t>
      </w:r>
    </w:p>
    <w:p w:rsidR="00E07901" w:rsidRDefault="00E07901" w:rsidP="00E07901">
      <w:pPr>
        <w:ind w:firstLine="720"/>
      </w:pPr>
    </w:p>
    <w:p w:rsidR="00E07901" w:rsidRDefault="00E07901" w:rsidP="00E07901">
      <w:r>
        <w:t>In Probe Response frame or B</w:t>
      </w:r>
      <w:r w:rsidRPr="007F584F">
        <w:t xml:space="preserve">eacon frame, those fields </w:t>
      </w:r>
      <w:r>
        <w:t xml:space="preserve">respectively </w:t>
      </w:r>
      <w:r w:rsidRPr="007F584F">
        <w:t>denote the</w:t>
      </w:r>
      <w:r>
        <w:t xml:space="preserve"> UL and DL minimum data rates, UL and DL mean data rates, and</w:t>
      </w:r>
      <w:r w:rsidRPr="007F584F">
        <w:t xml:space="preserve"> UL and DL maximum data rates of relay link between t</w:t>
      </w:r>
      <w:r>
        <w:t>he relay station and AP in the unit</w:t>
      </w:r>
      <w:r w:rsidRPr="007F584F">
        <w:t xml:space="preserve"> of 100 kbps if they are included.</w:t>
      </w:r>
    </w:p>
    <w:p w:rsidR="00E07901" w:rsidRDefault="00E07901" w:rsidP="00E07901"/>
    <w:p w:rsidR="00E07901" w:rsidRDefault="00E07901" w:rsidP="00E07901">
      <w:pPr>
        <w:numPr>
          <w:ilvl w:val="0"/>
          <w:numId w:val="22"/>
        </w:numPr>
      </w:pPr>
      <w:r>
        <w:t xml:space="preserve">“UL Min Data Rate” field and “DL Min Data Rate” field:  these two fields shall be included if the bit of “Min Data Rate Included” in the Relay Discovery Info sub-field is set to “1”.  </w:t>
      </w:r>
    </w:p>
    <w:p w:rsidR="00E07901" w:rsidRDefault="00E07901" w:rsidP="00E07901">
      <w:pPr>
        <w:numPr>
          <w:ilvl w:val="0"/>
          <w:numId w:val="22"/>
        </w:numPr>
      </w:pPr>
      <w:r>
        <w:t xml:space="preserve">“UL Mean Data Rate” field and “DL Mean Data Rate” field: these two fields shall be included if the bit of “Mean Data Rate Included” in the Relay Discovery Info sub-field is set to “1”.  </w:t>
      </w:r>
    </w:p>
    <w:p w:rsidR="00E07901" w:rsidRDefault="00E07901" w:rsidP="00E07901">
      <w:pPr>
        <w:numPr>
          <w:ilvl w:val="0"/>
          <w:numId w:val="22"/>
        </w:numPr>
      </w:pPr>
      <w:r>
        <w:t xml:space="preserve">“UL Max Data Rate” </w:t>
      </w:r>
      <w:proofErr w:type="spellStart"/>
      <w:r>
        <w:t>frield</w:t>
      </w:r>
      <w:proofErr w:type="spellEnd"/>
      <w:r>
        <w:t xml:space="preserve"> and “DL Max Data Rate” field:  these two fields shall be included if the bit of “Max Data Rate Included” in the Relay Discovery Info sub-field is set to “1”.  </w:t>
      </w:r>
    </w:p>
    <w:p w:rsidR="00E07901" w:rsidRDefault="00E07901" w:rsidP="00E07901">
      <w:r>
        <w:t>The Relay Discovery Info sub-field is shown as in the Figure 8-xxxb.</w:t>
      </w:r>
    </w:p>
    <w:p w:rsidR="00E07901" w:rsidRDefault="00E07901" w:rsidP="00E07901"/>
    <w:tbl>
      <w:tblPr>
        <w:tblW w:w="0" w:type="auto"/>
        <w:tblLayout w:type="fixed"/>
        <w:tblCellMar>
          <w:left w:w="0" w:type="dxa"/>
          <w:right w:w="0" w:type="dxa"/>
        </w:tblCellMar>
        <w:tblLook w:val="0420"/>
      </w:tblPr>
      <w:tblGrid>
        <w:gridCol w:w="684"/>
        <w:gridCol w:w="990"/>
        <w:gridCol w:w="58"/>
        <w:gridCol w:w="1001"/>
        <w:gridCol w:w="1001"/>
        <w:gridCol w:w="820"/>
        <w:gridCol w:w="1890"/>
        <w:gridCol w:w="1260"/>
        <w:gridCol w:w="1170"/>
        <w:gridCol w:w="774"/>
      </w:tblGrid>
      <w:tr w:rsidR="00E07901" w:rsidRPr="00E07901" w:rsidTr="00E07901">
        <w:trPr>
          <w:trHeight w:val="1102"/>
        </w:trPr>
        <w:tc>
          <w:tcPr>
            <w:tcW w:w="684" w:type="dxa"/>
            <w:tcBorders>
              <w:top w:val="nil"/>
              <w:left w:val="nil"/>
              <w:bottom w:val="nil"/>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Relay Station Indication</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Min Data Rate Included</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Mean Data Rate Included</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Max Data Rate Included</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Delay and Rate Requirement Included/ Utilization and Count Included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Information Not Available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Optional Information Not Available</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E07901" w:rsidRDefault="00E07901" w:rsidP="00F00A03">
            <w:pPr>
              <w:rPr>
                <w:sz w:val="18"/>
                <w:szCs w:val="18"/>
                <w:lang w:val="en-US"/>
              </w:rPr>
            </w:pPr>
            <w:r w:rsidRPr="00E07901">
              <w:rPr>
                <w:sz w:val="18"/>
                <w:szCs w:val="18"/>
                <w:lang w:val="en-US"/>
              </w:rPr>
              <w:t>Reserved</w:t>
            </w:r>
          </w:p>
        </w:tc>
      </w:tr>
      <w:tr w:rsidR="00E07901" w:rsidRPr="003016C7" w:rsidTr="00F00A03">
        <w:trPr>
          <w:trHeight w:val="718"/>
        </w:trPr>
        <w:tc>
          <w:tcPr>
            <w:tcW w:w="684" w:type="dxa"/>
            <w:tcBorders>
              <w:top w:val="nil"/>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Bits</w:t>
            </w:r>
          </w:p>
        </w:tc>
        <w:tc>
          <w:tcPr>
            <w:tcW w:w="1048" w:type="dxa"/>
            <w:gridSpan w:val="2"/>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B0</w:t>
            </w:r>
          </w:p>
        </w:tc>
        <w:tc>
          <w:tcPr>
            <w:tcW w:w="1001"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B1</w:t>
            </w:r>
          </w:p>
        </w:tc>
        <w:tc>
          <w:tcPr>
            <w:tcW w:w="1001"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B2</w:t>
            </w:r>
          </w:p>
        </w:tc>
        <w:tc>
          <w:tcPr>
            <w:tcW w:w="8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B3</w:t>
            </w:r>
          </w:p>
        </w:tc>
        <w:tc>
          <w:tcPr>
            <w:tcW w:w="189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B4</w:t>
            </w:r>
          </w:p>
        </w:tc>
        <w:tc>
          <w:tcPr>
            <w:tcW w:w="126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B5</w:t>
            </w:r>
          </w:p>
        </w:tc>
        <w:tc>
          <w:tcPr>
            <w:tcW w:w="117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 xml:space="preserve">B6 </w:t>
            </w:r>
          </w:p>
        </w:tc>
        <w:tc>
          <w:tcPr>
            <w:tcW w:w="77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3016C7" w:rsidRDefault="00E07901" w:rsidP="00F00A03">
            <w:pPr>
              <w:rPr>
                <w:lang w:val="en-US"/>
              </w:rPr>
            </w:pPr>
            <w:r w:rsidRPr="003016C7">
              <w:rPr>
                <w:lang w:val="en-US"/>
              </w:rPr>
              <w:t>B7</w:t>
            </w:r>
          </w:p>
        </w:tc>
      </w:tr>
    </w:tbl>
    <w:p w:rsidR="00E07901" w:rsidRPr="009F5876" w:rsidRDefault="00E07901" w:rsidP="00E07901">
      <w:pPr>
        <w:ind w:left="1440" w:firstLine="720"/>
        <w:rPr>
          <w:b/>
        </w:rPr>
      </w:pPr>
      <w:r w:rsidRPr="009F5876">
        <w:rPr>
          <w:b/>
        </w:rPr>
        <w:t>Figure 8-</w:t>
      </w:r>
      <w:proofErr w:type="gramStart"/>
      <w:r w:rsidRPr="009F5876">
        <w:rPr>
          <w:b/>
        </w:rPr>
        <w:t>xxxb  Relay</w:t>
      </w:r>
      <w:proofErr w:type="gramEnd"/>
      <w:r w:rsidRPr="009F5876">
        <w:rPr>
          <w:b/>
        </w:rPr>
        <w:t xml:space="preserve"> Discovery Information sub-field</w:t>
      </w:r>
    </w:p>
    <w:p w:rsidR="00E07901" w:rsidRDefault="00E07901" w:rsidP="00E07901">
      <w:pPr>
        <w:ind w:firstLine="720"/>
      </w:pPr>
    </w:p>
    <w:p w:rsidR="00E07901" w:rsidRDefault="00E07901" w:rsidP="00E07901">
      <w:r>
        <w:t xml:space="preserve">The “Relay Discovery Info” field contains information indicating whether or not subfields are included in the Relay Discovery IE, and their availabilities.   </w:t>
      </w:r>
    </w:p>
    <w:p w:rsidR="00E07901" w:rsidRDefault="00E07901" w:rsidP="00E07901"/>
    <w:p w:rsidR="00E07901" w:rsidRDefault="00E07901" w:rsidP="00E07901">
      <w:pPr>
        <w:numPr>
          <w:ilvl w:val="0"/>
          <w:numId w:val="20"/>
        </w:numPr>
      </w:pPr>
      <w:r>
        <w:t>Relay Station Indication bit:  the relay station shall set this field to “1”.  Otherwise, this bit shall be set to “0”.</w:t>
      </w:r>
    </w:p>
    <w:p w:rsidR="00E07901" w:rsidRDefault="00E07901" w:rsidP="00E07901">
      <w:pPr>
        <w:numPr>
          <w:ilvl w:val="0"/>
          <w:numId w:val="20"/>
        </w:numPr>
      </w:pPr>
      <w:r>
        <w:t>Min Data Rate Included bit:  if UL and DL min data rate fields are included in the Relay Discovery IE, this bit shall be set to “1”.  Otherwise, this bit shall be set to “0”.</w:t>
      </w:r>
    </w:p>
    <w:p w:rsidR="00E07901" w:rsidRDefault="00E07901" w:rsidP="00E07901">
      <w:pPr>
        <w:numPr>
          <w:ilvl w:val="0"/>
          <w:numId w:val="20"/>
        </w:numPr>
      </w:pPr>
      <w:r>
        <w:t>Mean Data Rate Included bit:  if UL and DL mean data rate fields are included in the Relay Discovery IE, this bit shall be set to “1”.  Otherwise, this bit shall be set to “0”.</w:t>
      </w:r>
    </w:p>
    <w:p w:rsidR="00E07901" w:rsidRDefault="00E07901" w:rsidP="00E07901">
      <w:pPr>
        <w:numPr>
          <w:ilvl w:val="0"/>
          <w:numId w:val="20"/>
        </w:numPr>
      </w:pPr>
      <w:r>
        <w:t>Max Data Rate Included bit:  if UL and DL max data rate fields are included in the Relay Discovery IE, this bit shall be set to “1”.  Otherwise, it shall be set to “0”.</w:t>
      </w:r>
    </w:p>
    <w:p w:rsidR="00E07901" w:rsidRDefault="00E07901" w:rsidP="00E07901">
      <w:pPr>
        <w:numPr>
          <w:ilvl w:val="0"/>
          <w:numId w:val="20"/>
        </w:numPr>
      </w:pPr>
      <w:r>
        <w:t xml:space="preserve">Delay and Rate Requirement Included / Utilization and Count Included bit :  </w:t>
      </w:r>
    </w:p>
    <w:p w:rsidR="00E07901" w:rsidRDefault="00E07901" w:rsidP="00E07901">
      <w:pPr>
        <w:ind w:left="720"/>
      </w:pPr>
      <w:r>
        <w:t xml:space="preserve">This field has different meaning in different message.  In Probe Request, this bit means “Delay and Rate Requirement Included”.  If the “Delay Bound Requirement” and “Min PHY Rate Requirement” fields are included in Relay Discovery IE, this bit shall be set to “1”.  Otherwise, this bit shall be set to “0”.  </w:t>
      </w:r>
    </w:p>
    <w:p w:rsidR="00E07901" w:rsidRDefault="00E07901" w:rsidP="00E07901">
      <w:pPr>
        <w:ind w:left="720"/>
      </w:pPr>
      <w:r>
        <w:t>In the Probe Response or Beacon, this bit means “Utilization and Count Included”.  If the “Channel Utilization” and “Relay Station Count” fields are included in the Relay Discovery IE, this field shall be set to “1”.  Otherwise, this bit shall be set to “0”.</w:t>
      </w:r>
    </w:p>
    <w:p w:rsidR="00E07901" w:rsidRDefault="00E07901" w:rsidP="00E07901">
      <w:pPr>
        <w:numPr>
          <w:ilvl w:val="0"/>
          <w:numId w:val="21"/>
        </w:numPr>
      </w:pPr>
      <w:r>
        <w:t>Information Not Available bit:  this bit shall be set to “1” if the relay station cannot provide requested information in the fixed fields of Relay Discovery IE.  Otherwise, this bit shall be set to “0”.</w:t>
      </w:r>
    </w:p>
    <w:p w:rsidR="00E07901" w:rsidRDefault="00E07901" w:rsidP="00E07901">
      <w:pPr>
        <w:numPr>
          <w:ilvl w:val="0"/>
          <w:numId w:val="21"/>
        </w:numPr>
      </w:pPr>
      <w:r>
        <w:t>Optional Info Not Available bit:  this bit shall be set to “1” if the relay station cannot provide the requested information of the optional fields.  Otherwise, this bit shall be set to “0”.</w:t>
      </w:r>
    </w:p>
    <w:p w:rsidR="00E07901" w:rsidRDefault="00E07901" w:rsidP="00E07901">
      <w:r>
        <w:tab/>
      </w:r>
    </w:p>
    <w:p w:rsidR="00E07901" w:rsidRDefault="00E07901" w:rsidP="00E07901"/>
    <w:p w:rsidR="00E07901" w:rsidRDefault="00E07901" w:rsidP="00E07901">
      <w:r>
        <w:t>A Relay Discovery IE may contain optional sub-fields of in Probe Request as shown in FIG 8-xxxc.</w:t>
      </w:r>
    </w:p>
    <w:p w:rsidR="00E07901" w:rsidRDefault="00E07901" w:rsidP="00E07901"/>
    <w:p w:rsidR="00E07901" w:rsidRDefault="00E07901" w:rsidP="00E07901"/>
    <w:tbl>
      <w:tblPr>
        <w:tblW w:w="7396" w:type="dxa"/>
        <w:tblInd w:w="828" w:type="dxa"/>
        <w:tblCellMar>
          <w:left w:w="0" w:type="dxa"/>
          <w:right w:w="0" w:type="dxa"/>
        </w:tblCellMar>
        <w:tblLook w:val="0420"/>
      </w:tblPr>
      <w:tblGrid>
        <w:gridCol w:w="1386"/>
        <w:gridCol w:w="2892"/>
        <w:gridCol w:w="3118"/>
      </w:tblGrid>
      <w:tr w:rsidR="00E07901" w:rsidRPr="006A0FB9" w:rsidTr="00F47D22">
        <w:trPr>
          <w:trHeight w:val="245"/>
        </w:trPr>
        <w:tc>
          <w:tcPr>
            <w:tcW w:w="1386" w:type="dxa"/>
            <w:tcBorders>
              <w:top w:val="nil"/>
              <w:left w:val="nil"/>
              <w:bottom w:val="nil"/>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Delay Bound Requirement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Min PHY Rate Requirement</w:t>
            </w:r>
          </w:p>
        </w:tc>
      </w:tr>
      <w:tr w:rsidR="00E07901" w:rsidRPr="006A0FB9" w:rsidTr="00F47D22">
        <w:trPr>
          <w:trHeight w:val="129"/>
        </w:trPr>
        <w:tc>
          <w:tcPr>
            <w:tcW w:w="1386" w:type="dxa"/>
            <w:tcBorders>
              <w:top w:val="nil"/>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Octets</w:t>
            </w:r>
          </w:p>
        </w:tc>
        <w:tc>
          <w:tcPr>
            <w:tcW w:w="2892"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311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r>
    </w:tbl>
    <w:p w:rsidR="00E07901" w:rsidRDefault="00E07901" w:rsidP="00E07901"/>
    <w:p w:rsidR="00E07901" w:rsidRPr="00942E72" w:rsidRDefault="00E07901" w:rsidP="00E07901">
      <w:pPr>
        <w:rPr>
          <w:b/>
        </w:rPr>
      </w:pPr>
      <w:r>
        <w:tab/>
      </w:r>
      <w:r>
        <w:tab/>
      </w:r>
      <w:r w:rsidRPr="00942E72">
        <w:rPr>
          <w:b/>
        </w:rPr>
        <w:t>Figure 8-xxxc Optional sub-field in the Relay Discovery for Probe Request</w:t>
      </w:r>
    </w:p>
    <w:p w:rsidR="00E07901" w:rsidRDefault="00E07901" w:rsidP="00E07901">
      <w:r>
        <w:t>A station may attach the option sub-fields at the end of common fields of the Relay Discovery IE in Probe Request frames.</w:t>
      </w:r>
    </w:p>
    <w:p w:rsidR="00E07901" w:rsidRDefault="00E07901" w:rsidP="00E07901"/>
    <w:p w:rsidR="00E07901" w:rsidRDefault="00E07901" w:rsidP="00E07901">
      <w:pPr>
        <w:numPr>
          <w:ilvl w:val="0"/>
          <w:numId w:val="23"/>
        </w:numPr>
      </w:pPr>
      <w:r>
        <w:t>Min PHY Rate Requirement:  this field indicates the minimum PHY data rate set required by the requesting station, and is included only in Probe Request if the bit of “Delay and Rate Requirement Included” in the “Relay Discovery Info” sub-field is set to “1”.</w:t>
      </w:r>
      <w:r>
        <w:tab/>
      </w:r>
    </w:p>
    <w:p w:rsidR="00E07901" w:rsidRDefault="00E07901" w:rsidP="00E07901">
      <w:pPr>
        <w:numPr>
          <w:ilvl w:val="0"/>
          <w:numId w:val="23"/>
        </w:numPr>
      </w:pPr>
      <w:r>
        <w:lastRenderedPageBreak/>
        <w:t xml:space="preserve">Delay Bound Requirement sub-field:  this field indicates the delay bound requirement of the </w:t>
      </w:r>
      <w:proofErr w:type="spellStart"/>
      <w:r>
        <w:t>connetion</w:t>
      </w:r>
      <w:proofErr w:type="spellEnd"/>
      <w:r>
        <w:t xml:space="preserve"> through the relay station, and is included only in Probe Request if the bit of “Delay and Rate Requirement Included” in the “Relay Discovery Info” sub-field is set to “1”.</w:t>
      </w:r>
    </w:p>
    <w:p w:rsidR="00E07901" w:rsidRDefault="00E07901" w:rsidP="00E07901">
      <w:pPr>
        <w:ind w:left="720"/>
      </w:pPr>
    </w:p>
    <w:p w:rsidR="00E07901" w:rsidRDefault="00E07901" w:rsidP="00E07901">
      <w:r>
        <w:t xml:space="preserve">Responding relay stations determine whether or not to respond the Probe Request according to received information such as UL and DL Minimum Data Rates, UL and DL Mean Data Rates, UL and DL Maximum Data Rates, Delay Bound Requirement and/or Min PHY Rate Requirement, which depends on the implantation of relay stations. </w:t>
      </w:r>
    </w:p>
    <w:p w:rsidR="00E07901" w:rsidRDefault="00E07901" w:rsidP="00E07901"/>
    <w:p w:rsidR="00E07901" w:rsidRDefault="00E07901" w:rsidP="00E07901">
      <w:r>
        <w:t>A Relay Discovery IE may contain optional sub-fields in Probe Response or Beacon frames as shown in FIG 8-xxxd.</w:t>
      </w:r>
    </w:p>
    <w:p w:rsidR="00E07901" w:rsidRDefault="00E07901" w:rsidP="00E07901"/>
    <w:tbl>
      <w:tblPr>
        <w:tblpPr w:leftFromText="180" w:rightFromText="180" w:vertAnchor="text" w:horzAnchor="page" w:tblpX="2497" w:tblpY="185"/>
        <w:tblW w:w="7657" w:type="dxa"/>
        <w:tblCellMar>
          <w:left w:w="0" w:type="dxa"/>
          <w:right w:w="0" w:type="dxa"/>
        </w:tblCellMar>
        <w:tblLook w:val="0420"/>
      </w:tblPr>
      <w:tblGrid>
        <w:gridCol w:w="1494"/>
        <w:gridCol w:w="2903"/>
        <w:gridCol w:w="3260"/>
      </w:tblGrid>
      <w:tr w:rsidR="00E07901" w:rsidRPr="006A0FB9" w:rsidTr="00F47D22">
        <w:trPr>
          <w:trHeight w:val="259"/>
        </w:trPr>
        <w:tc>
          <w:tcPr>
            <w:tcW w:w="1494" w:type="dxa"/>
            <w:tcBorders>
              <w:top w:val="nil"/>
              <w:left w:val="nil"/>
              <w:bottom w:val="nil"/>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p>
        </w:tc>
        <w:tc>
          <w:tcPr>
            <w:tcW w:w="2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Channel Utilization</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Relay Station Count</w:t>
            </w:r>
          </w:p>
        </w:tc>
      </w:tr>
      <w:tr w:rsidR="00E07901" w:rsidRPr="006A0FB9" w:rsidTr="00F47D22">
        <w:trPr>
          <w:trHeight w:val="151"/>
        </w:trPr>
        <w:tc>
          <w:tcPr>
            <w:tcW w:w="1494" w:type="dxa"/>
            <w:tcBorders>
              <w:top w:val="nil"/>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Octets</w:t>
            </w:r>
          </w:p>
        </w:tc>
        <w:tc>
          <w:tcPr>
            <w:tcW w:w="290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c>
          <w:tcPr>
            <w:tcW w:w="326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E07901" w:rsidRPr="006A0FB9" w:rsidRDefault="00E07901" w:rsidP="00F00A03">
            <w:pPr>
              <w:rPr>
                <w:lang w:val="en-US"/>
              </w:rPr>
            </w:pPr>
            <w:r w:rsidRPr="006A0FB9">
              <w:rPr>
                <w:lang w:val="en-US"/>
              </w:rPr>
              <w:t>1</w:t>
            </w:r>
          </w:p>
        </w:tc>
      </w:tr>
    </w:tbl>
    <w:p w:rsidR="00E07901" w:rsidRDefault="00E07901" w:rsidP="00E07901"/>
    <w:p w:rsidR="00E07901" w:rsidRDefault="00E07901" w:rsidP="00E07901">
      <w:pPr>
        <w:ind w:left="720"/>
        <w:rPr>
          <w:b/>
          <w:lang w:eastAsia="zh-CN"/>
        </w:rPr>
      </w:pPr>
    </w:p>
    <w:p w:rsidR="00E07901" w:rsidRDefault="00E07901" w:rsidP="00E07901">
      <w:pPr>
        <w:ind w:left="720"/>
        <w:rPr>
          <w:b/>
          <w:lang w:eastAsia="zh-CN"/>
        </w:rPr>
      </w:pPr>
    </w:p>
    <w:p w:rsidR="00E07901" w:rsidRDefault="00E07901" w:rsidP="00E07901">
      <w:pPr>
        <w:ind w:left="720"/>
        <w:rPr>
          <w:b/>
          <w:lang w:eastAsia="zh-CN"/>
        </w:rPr>
      </w:pPr>
    </w:p>
    <w:p w:rsidR="00E07901" w:rsidRDefault="00E07901" w:rsidP="00E07901">
      <w:pPr>
        <w:ind w:left="720"/>
        <w:rPr>
          <w:b/>
          <w:lang w:eastAsia="zh-CN"/>
        </w:rPr>
      </w:pPr>
    </w:p>
    <w:p w:rsidR="00E07901" w:rsidRPr="00C877DD" w:rsidRDefault="00E07901" w:rsidP="00E07901">
      <w:pPr>
        <w:ind w:left="720"/>
        <w:rPr>
          <w:b/>
        </w:rPr>
      </w:pPr>
      <w:r w:rsidRPr="00C877DD">
        <w:rPr>
          <w:b/>
        </w:rPr>
        <w:t>Figure 8-xxxd Optional sub-field</w:t>
      </w:r>
      <w:r>
        <w:rPr>
          <w:b/>
        </w:rPr>
        <w:t xml:space="preserve">s in </w:t>
      </w:r>
      <w:r w:rsidRPr="00C877DD">
        <w:rPr>
          <w:b/>
        </w:rPr>
        <w:t>Relay Discovery IE for Probe Re</w:t>
      </w:r>
      <w:r>
        <w:rPr>
          <w:b/>
        </w:rPr>
        <w:t>sponse and B</w:t>
      </w:r>
      <w:r w:rsidRPr="00C877DD">
        <w:rPr>
          <w:b/>
        </w:rPr>
        <w:t>eacon</w:t>
      </w:r>
    </w:p>
    <w:p w:rsidR="00E07901" w:rsidRDefault="00E07901" w:rsidP="00E07901"/>
    <w:p w:rsidR="00E07901" w:rsidRDefault="00E07901" w:rsidP="00E07901">
      <w:r>
        <w:t>A relay station may attach the option sub-fields shown in Figure 8-xxxd at the end of common fields of Relay Discovery IE in Probe Response and Beacon frames.</w:t>
      </w:r>
    </w:p>
    <w:p w:rsidR="00E07901" w:rsidRDefault="00E07901" w:rsidP="00E07901"/>
    <w:p w:rsidR="00E07901" w:rsidRDefault="00E07901" w:rsidP="00E07901">
      <w:pPr>
        <w:numPr>
          <w:ilvl w:val="0"/>
          <w:numId w:val="23"/>
        </w:numPr>
      </w:pPr>
      <w:r>
        <w:t xml:space="preserve">Channel Utilization:  this field denotes the ratio of time that relay </w:t>
      </w:r>
      <w:proofErr w:type="spellStart"/>
      <w:r>
        <w:t>statoin</w:t>
      </w:r>
      <w:proofErr w:type="spellEnd"/>
      <w:r>
        <w:t xml:space="preserve"> observes the busy level on the relay link between the relay station and AP. “255” means 100% busy level and “0” means idle.  This field is included only in the Probe Response or Beacon if the bit of “Utilization and Count Included” in “Relay Discovery Info” </w:t>
      </w:r>
      <w:proofErr w:type="gramStart"/>
      <w:r>
        <w:t>sub-field</w:t>
      </w:r>
      <w:proofErr w:type="gramEnd"/>
      <w:r>
        <w:t xml:space="preserve"> is set to “1”.</w:t>
      </w:r>
    </w:p>
    <w:p w:rsidR="00E07901" w:rsidRDefault="00E07901" w:rsidP="00E07901">
      <w:pPr>
        <w:numPr>
          <w:ilvl w:val="0"/>
          <w:numId w:val="23"/>
        </w:numPr>
      </w:pPr>
      <w:r>
        <w:t xml:space="preserve">Relay Station Count:  this field denotes the number of stations currently associated with the relay station and is included only in the Probe Response or Beacon if the bit of “Utilization and Count Included” in “Relay Discovery Info” </w:t>
      </w:r>
      <w:proofErr w:type="gramStart"/>
      <w:r>
        <w:t>sub-field</w:t>
      </w:r>
      <w:proofErr w:type="gramEnd"/>
      <w:r>
        <w:t xml:space="preserve"> is set to “1”.</w:t>
      </w:r>
      <w:r>
        <w:tab/>
      </w:r>
    </w:p>
    <w:p w:rsidR="00E07901" w:rsidRPr="00E07901" w:rsidRDefault="00E07901" w:rsidP="002D72F5">
      <w:pPr>
        <w:autoSpaceDE w:val="0"/>
        <w:autoSpaceDN w:val="0"/>
        <w:adjustRightInd w:val="0"/>
        <w:rPr>
          <w:i/>
          <w:sz w:val="24"/>
          <w:szCs w:val="22"/>
          <w:lang w:eastAsia="zh-CN"/>
        </w:rPr>
      </w:pPr>
    </w:p>
    <w:sectPr w:rsidR="00E07901" w:rsidRPr="00E07901" w:rsidSect="008C286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21" w:rsidRDefault="00602121">
      <w:r>
        <w:separator/>
      </w:r>
    </w:p>
  </w:endnote>
  <w:endnote w:type="continuationSeparator" w:id="0">
    <w:p w:rsidR="00602121" w:rsidRDefault="00602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83" w:rsidRPr="00EF1A28" w:rsidRDefault="00024B43">
    <w:pPr>
      <w:pStyle w:val="a3"/>
      <w:tabs>
        <w:tab w:val="clear" w:pos="6480"/>
        <w:tab w:val="center" w:pos="4680"/>
        <w:tab w:val="right" w:pos="9360"/>
      </w:tabs>
      <w:rPr>
        <w:lang w:val="fr-FR"/>
      </w:rPr>
    </w:pPr>
    <w:r>
      <w:fldChar w:fldCharType="begin"/>
    </w:r>
    <w:r w:rsidR="008E3083" w:rsidRPr="00EF1A28">
      <w:rPr>
        <w:lang w:val="fr-FR"/>
      </w:rPr>
      <w:instrText xml:space="preserve"> SUBJECT  \* MERGEFORMAT </w:instrText>
    </w:r>
    <w:r>
      <w:fldChar w:fldCharType="separate"/>
    </w:r>
    <w:r w:rsidR="008E3083" w:rsidRPr="00EF1A28">
      <w:rPr>
        <w:lang w:val="fr-FR"/>
      </w:rPr>
      <w:t>Submission</w:t>
    </w:r>
    <w:r>
      <w:fldChar w:fldCharType="end"/>
    </w:r>
    <w:r w:rsidR="008E3083" w:rsidRPr="00EF1A28">
      <w:rPr>
        <w:lang w:val="fr-FR"/>
      </w:rPr>
      <w:tab/>
      <w:t xml:space="preserve">page </w:t>
    </w:r>
    <w:r>
      <w:fldChar w:fldCharType="begin"/>
    </w:r>
    <w:r w:rsidR="008E3083" w:rsidRPr="00EF1A28">
      <w:rPr>
        <w:lang w:val="fr-FR"/>
      </w:rPr>
      <w:instrText xml:space="preserve">page </w:instrText>
    </w:r>
    <w:r>
      <w:fldChar w:fldCharType="separate"/>
    </w:r>
    <w:r w:rsidR="0025385B">
      <w:rPr>
        <w:noProof/>
        <w:lang w:val="fr-FR"/>
      </w:rPr>
      <w:t>1</w:t>
    </w:r>
    <w:r>
      <w:fldChar w:fldCharType="end"/>
    </w:r>
    <w:r w:rsidR="008E3083" w:rsidRPr="00EF1A28">
      <w:rPr>
        <w:lang w:val="fr-FR"/>
      </w:rPr>
      <w:tab/>
    </w:r>
    <w:r w:rsidR="00954526">
      <w:rPr>
        <w:rFonts w:hint="eastAsia"/>
        <w:lang w:val="fr-FR" w:eastAsia="zh-CN"/>
      </w:rPr>
      <w:t>Bo Sun, ZTE Corp</w:t>
    </w:r>
    <w:r w:rsidR="008E3083" w:rsidRPr="00EF1A28">
      <w:rPr>
        <w:lang w:val="fr-FR"/>
      </w:rPr>
      <w:t>.</w:t>
    </w:r>
  </w:p>
  <w:p w:rsidR="008E3083" w:rsidRPr="00EF1A28" w:rsidRDefault="008E3083">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21" w:rsidRDefault="00602121">
      <w:r>
        <w:separator/>
      </w:r>
    </w:p>
  </w:footnote>
  <w:footnote w:type="continuationSeparator" w:id="0">
    <w:p w:rsidR="00602121" w:rsidRDefault="00602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83" w:rsidRDefault="00024B43">
    <w:pPr>
      <w:pStyle w:val="a4"/>
      <w:tabs>
        <w:tab w:val="clear" w:pos="6480"/>
        <w:tab w:val="center" w:pos="4680"/>
        <w:tab w:val="right" w:pos="9360"/>
      </w:tabs>
    </w:pPr>
    <w:fldSimple w:instr=" KEYWORDS  \* MERGEFORMAT ">
      <w:r w:rsidR="00B847FE">
        <w:t>Ju</w:t>
      </w:r>
      <w:r w:rsidR="0018746C">
        <w:t>ly</w:t>
      </w:r>
      <w:r w:rsidR="008E3083">
        <w:t>. 20</w:t>
      </w:r>
      <w:r w:rsidR="00B847FE">
        <w:t>13</w:t>
      </w:r>
    </w:fldSimple>
    <w:r w:rsidR="008E3083">
      <w:tab/>
    </w:r>
    <w:r w:rsidR="008E3083">
      <w:tab/>
    </w:r>
    <w:fldSimple w:instr=" TITLE  \* MERGEFORMAT ">
      <w:r w:rsidR="008E3083">
        <w:t>doc.: IEEE 802.11-1</w:t>
      </w:r>
      <w:r w:rsidR="00B847FE">
        <w:t>3</w:t>
      </w:r>
      <w:r w:rsidR="008E3083">
        <w:t>/</w:t>
      </w:r>
      <w:r w:rsidR="00B847FE">
        <w:t>0</w:t>
      </w:r>
      <w:r w:rsidR="0025385B">
        <w:rPr>
          <w:rFonts w:hint="eastAsia"/>
          <w:lang w:eastAsia="zh-CN"/>
        </w:rPr>
        <w:t>828</w:t>
      </w:r>
      <w:r w:rsidR="008E3083">
        <w:t>r</w:t>
      </w:r>
    </w:fldSimple>
    <w:r w:rsidR="004370BF">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9097279"/>
    <w:multiLevelType w:val="hybridMultilevel"/>
    <w:tmpl w:val="D8F8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F4DE6"/>
    <w:multiLevelType w:val="hybridMultilevel"/>
    <w:tmpl w:val="957EAC70"/>
    <w:lvl w:ilvl="0" w:tplc="04090001">
      <w:start w:val="1"/>
      <w:numFmt w:val="bullet"/>
      <w:lvlText w:val=""/>
      <w:lvlJc w:val="left"/>
      <w:pPr>
        <w:ind w:left="720" w:hanging="360"/>
      </w:pPr>
      <w:rPr>
        <w:rFonts w:ascii="Symbol" w:hAnsi="Symbol" w:hint="default"/>
      </w:rPr>
    </w:lvl>
    <w:lvl w:ilvl="1" w:tplc="F22038D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9373F"/>
    <w:multiLevelType w:val="hybridMultilevel"/>
    <w:tmpl w:val="1E6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B4EF9"/>
    <w:multiLevelType w:val="hybridMultilevel"/>
    <w:tmpl w:val="7966C1EA"/>
    <w:lvl w:ilvl="0" w:tplc="04090001">
      <w:start w:val="1"/>
      <w:numFmt w:val="bullet"/>
      <w:lvlText w:val=""/>
      <w:lvlJc w:val="left"/>
      <w:pPr>
        <w:ind w:left="720" w:hanging="360"/>
      </w:pPr>
      <w:rPr>
        <w:rFonts w:ascii="Symbol" w:hAnsi="Symbol" w:hint="default"/>
      </w:rPr>
    </w:lvl>
    <w:lvl w:ilvl="1" w:tplc="B04E3FB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7"/>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1"/>
  </w:num>
  <w:num w:numId="21">
    <w:abstractNumId w:val="8"/>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9635A1"/>
    <w:rsid w:val="00002F21"/>
    <w:rsid w:val="0001410C"/>
    <w:rsid w:val="00015C81"/>
    <w:rsid w:val="00020396"/>
    <w:rsid w:val="0002065E"/>
    <w:rsid w:val="00021ECB"/>
    <w:rsid w:val="00024B43"/>
    <w:rsid w:val="00042DDD"/>
    <w:rsid w:val="00060D60"/>
    <w:rsid w:val="000626F6"/>
    <w:rsid w:val="00065759"/>
    <w:rsid w:val="00091025"/>
    <w:rsid w:val="00091A5E"/>
    <w:rsid w:val="00094FE5"/>
    <w:rsid w:val="00097601"/>
    <w:rsid w:val="000A0DA9"/>
    <w:rsid w:val="000A1F51"/>
    <w:rsid w:val="000B0960"/>
    <w:rsid w:val="000B6DEA"/>
    <w:rsid w:val="000C49BC"/>
    <w:rsid w:val="000C5AFE"/>
    <w:rsid w:val="000D6387"/>
    <w:rsid w:val="000F0756"/>
    <w:rsid w:val="00103B57"/>
    <w:rsid w:val="0010550A"/>
    <w:rsid w:val="00110BC2"/>
    <w:rsid w:val="00111AB6"/>
    <w:rsid w:val="001147BE"/>
    <w:rsid w:val="00121AD8"/>
    <w:rsid w:val="001247AD"/>
    <w:rsid w:val="00124E95"/>
    <w:rsid w:val="00136A39"/>
    <w:rsid w:val="001402E0"/>
    <w:rsid w:val="001442B2"/>
    <w:rsid w:val="0015137E"/>
    <w:rsid w:val="00156BAA"/>
    <w:rsid w:val="00163ABC"/>
    <w:rsid w:val="00173E54"/>
    <w:rsid w:val="0017724D"/>
    <w:rsid w:val="0018245A"/>
    <w:rsid w:val="0018746C"/>
    <w:rsid w:val="001905BE"/>
    <w:rsid w:val="0019117B"/>
    <w:rsid w:val="001B00FF"/>
    <w:rsid w:val="001B4C37"/>
    <w:rsid w:val="001B57A4"/>
    <w:rsid w:val="001B5995"/>
    <w:rsid w:val="001B710A"/>
    <w:rsid w:val="001D723B"/>
    <w:rsid w:val="001F2C2B"/>
    <w:rsid w:val="002006C3"/>
    <w:rsid w:val="00200CC8"/>
    <w:rsid w:val="00201928"/>
    <w:rsid w:val="00210203"/>
    <w:rsid w:val="00212B47"/>
    <w:rsid w:val="00220F43"/>
    <w:rsid w:val="00233A1D"/>
    <w:rsid w:val="00234D45"/>
    <w:rsid w:val="00236C2C"/>
    <w:rsid w:val="002403F4"/>
    <w:rsid w:val="002467BF"/>
    <w:rsid w:val="0025385B"/>
    <w:rsid w:val="002709F7"/>
    <w:rsid w:val="0029020B"/>
    <w:rsid w:val="0029543E"/>
    <w:rsid w:val="002C0D04"/>
    <w:rsid w:val="002C1038"/>
    <w:rsid w:val="002C18A1"/>
    <w:rsid w:val="002D0395"/>
    <w:rsid w:val="002D10AB"/>
    <w:rsid w:val="002D1B35"/>
    <w:rsid w:val="002D3F37"/>
    <w:rsid w:val="002D44BE"/>
    <w:rsid w:val="002D72F5"/>
    <w:rsid w:val="002F3CF6"/>
    <w:rsid w:val="00313607"/>
    <w:rsid w:val="00316B18"/>
    <w:rsid w:val="0032003C"/>
    <w:rsid w:val="0032152F"/>
    <w:rsid w:val="00321C48"/>
    <w:rsid w:val="00325D3E"/>
    <w:rsid w:val="0033121C"/>
    <w:rsid w:val="00370E0C"/>
    <w:rsid w:val="00376AC5"/>
    <w:rsid w:val="003B51F5"/>
    <w:rsid w:val="003B5D5B"/>
    <w:rsid w:val="003C13F4"/>
    <w:rsid w:val="003D0CC9"/>
    <w:rsid w:val="003D3D88"/>
    <w:rsid w:val="003E1B51"/>
    <w:rsid w:val="003F3E68"/>
    <w:rsid w:val="004066BE"/>
    <w:rsid w:val="00423492"/>
    <w:rsid w:val="004265C5"/>
    <w:rsid w:val="00427325"/>
    <w:rsid w:val="004320E2"/>
    <w:rsid w:val="00434C20"/>
    <w:rsid w:val="004370BF"/>
    <w:rsid w:val="004403A7"/>
    <w:rsid w:val="00442037"/>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E04C4"/>
    <w:rsid w:val="004F2C3A"/>
    <w:rsid w:val="004F46D8"/>
    <w:rsid w:val="00504BCE"/>
    <w:rsid w:val="00507A83"/>
    <w:rsid w:val="0054522A"/>
    <w:rsid w:val="005463C6"/>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2121"/>
    <w:rsid w:val="00603DED"/>
    <w:rsid w:val="006132A2"/>
    <w:rsid w:val="00623146"/>
    <w:rsid w:val="0062440B"/>
    <w:rsid w:val="006275E1"/>
    <w:rsid w:val="00627CEC"/>
    <w:rsid w:val="00632B7A"/>
    <w:rsid w:val="00635664"/>
    <w:rsid w:val="00643C98"/>
    <w:rsid w:val="006530B6"/>
    <w:rsid w:val="006567DD"/>
    <w:rsid w:val="006647F1"/>
    <w:rsid w:val="00664EDE"/>
    <w:rsid w:val="00670C28"/>
    <w:rsid w:val="00680BCD"/>
    <w:rsid w:val="006843DA"/>
    <w:rsid w:val="00686E5E"/>
    <w:rsid w:val="006905B9"/>
    <w:rsid w:val="00692927"/>
    <w:rsid w:val="0069697C"/>
    <w:rsid w:val="006B2FB0"/>
    <w:rsid w:val="006C0727"/>
    <w:rsid w:val="006C11BE"/>
    <w:rsid w:val="006D7077"/>
    <w:rsid w:val="006E145F"/>
    <w:rsid w:val="006F4B4D"/>
    <w:rsid w:val="007072CB"/>
    <w:rsid w:val="00713757"/>
    <w:rsid w:val="00721A79"/>
    <w:rsid w:val="00725532"/>
    <w:rsid w:val="007331FD"/>
    <w:rsid w:val="007345FF"/>
    <w:rsid w:val="00735D75"/>
    <w:rsid w:val="00736A9E"/>
    <w:rsid w:val="007434C6"/>
    <w:rsid w:val="00745789"/>
    <w:rsid w:val="00752C21"/>
    <w:rsid w:val="007531BB"/>
    <w:rsid w:val="0076647B"/>
    <w:rsid w:val="00770572"/>
    <w:rsid w:val="00771400"/>
    <w:rsid w:val="00776EAB"/>
    <w:rsid w:val="007836A6"/>
    <w:rsid w:val="00793534"/>
    <w:rsid w:val="007950DE"/>
    <w:rsid w:val="007A360C"/>
    <w:rsid w:val="007B3E47"/>
    <w:rsid w:val="007C1CBD"/>
    <w:rsid w:val="007C510F"/>
    <w:rsid w:val="007E3186"/>
    <w:rsid w:val="007E49F5"/>
    <w:rsid w:val="007E6656"/>
    <w:rsid w:val="007F37E3"/>
    <w:rsid w:val="007F41F4"/>
    <w:rsid w:val="007F4D8A"/>
    <w:rsid w:val="0080646F"/>
    <w:rsid w:val="00807A34"/>
    <w:rsid w:val="00815F65"/>
    <w:rsid w:val="00816A16"/>
    <w:rsid w:val="0081728C"/>
    <w:rsid w:val="00820DD5"/>
    <w:rsid w:val="008261DE"/>
    <w:rsid w:val="00831CD6"/>
    <w:rsid w:val="008374B4"/>
    <w:rsid w:val="008405A9"/>
    <w:rsid w:val="00850558"/>
    <w:rsid w:val="00856084"/>
    <w:rsid w:val="00861211"/>
    <w:rsid w:val="008815D9"/>
    <w:rsid w:val="0089195C"/>
    <w:rsid w:val="00892AA6"/>
    <w:rsid w:val="008944EA"/>
    <w:rsid w:val="008A2DC0"/>
    <w:rsid w:val="008A6EA9"/>
    <w:rsid w:val="008B2FAC"/>
    <w:rsid w:val="008C286D"/>
    <w:rsid w:val="008D1B22"/>
    <w:rsid w:val="008E3083"/>
    <w:rsid w:val="008E7AC0"/>
    <w:rsid w:val="008F0170"/>
    <w:rsid w:val="00904ED7"/>
    <w:rsid w:val="0090557F"/>
    <w:rsid w:val="009138EA"/>
    <w:rsid w:val="00915B8E"/>
    <w:rsid w:val="009209AF"/>
    <w:rsid w:val="009243A7"/>
    <w:rsid w:val="00925EDB"/>
    <w:rsid w:val="0092607C"/>
    <w:rsid w:val="00933331"/>
    <w:rsid w:val="009345C8"/>
    <w:rsid w:val="00934BE0"/>
    <w:rsid w:val="00935909"/>
    <w:rsid w:val="00942F15"/>
    <w:rsid w:val="00954526"/>
    <w:rsid w:val="00961442"/>
    <w:rsid w:val="009635A1"/>
    <w:rsid w:val="00964AC7"/>
    <w:rsid w:val="0096566E"/>
    <w:rsid w:val="009706C7"/>
    <w:rsid w:val="009715D6"/>
    <w:rsid w:val="009723E9"/>
    <w:rsid w:val="00996CE7"/>
    <w:rsid w:val="00996FA9"/>
    <w:rsid w:val="009A29A2"/>
    <w:rsid w:val="009B4CBF"/>
    <w:rsid w:val="009C0B7B"/>
    <w:rsid w:val="009E0688"/>
    <w:rsid w:val="009E09D4"/>
    <w:rsid w:val="009E1AB0"/>
    <w:rsid w:val="009E72A0"/>
    <w:rsid w:val="009F02FF"/>
    <w:rsid w:val="009F74F2"/>
    <w:rsid w:val="009F772A"/>
    <w:rsid w:val="00A00FF6"/>
    <w:rsid w:val="00A30EAA"/>
    <w:rsid w:val="00A330E5"/>
    <w:rsid w:val="00A40052"/>
    <w:rsid w:val="00A549F9"/>
    <w:rsid w:val="00A577EF"/>
    <w:rsid w:val="00A647B2"/>
    <w:rsid w:val="00A67B0C"/>
    <w:rsid w:val="00A76584"/>
    <w:rsid w:val="00A80FE7"/>
    <w:rsid w:val="00A82F2E"/>
    <w:rsid w:val="00A929BA"/>
    <w:rsid w:val="00AA0AE5"/>
    <w:rsid w:val="00AA427C"/>
    <w:rsid w:val="00AB00B7"/>
    <w:rsid w:val="00AC3267"/>
    <w:rsid w:val="00AC3681"/>
    <w:rsid w:val="00AD02E4"/>
    <w:rsid w:val="00AD0934"/>
    <w:rsid w:val="00AE64B1"/>
    <w:rsid w:val="00AF488E"/>
    <w:rsid w:val="00B10135"/>
    <w:rsid w:val="00B13E45"/>
    <w:rsid w:val="00B42FD9"/>
    <w:rsid w:val="00B44899"/>
    <w:rsid w:val="00B54BD6"/>
    <w:rsid w:val="00B66569"/>
    <w:rsid w:val="00B670F3"/>
    <w:rsid w:val="00B80916"/>
    <w:rsid w:val="00B847FE"/>
    <w:rsid w:val="00BD2BDF"/>
    <w:rsid w:val="00BD7100"/>
    <w:rsid w:val="00BE6041"/>
    <w:rsid w:val="00BE68C2"/>
    <w:rsid w:val="00C303DF"/>
    <w:rsid w:val="00C46DC4"/>
    <w:rsid w:val="00C6065B"/>
    <w:rsid w:val="00C71561"/>
    <w:rsid w:val="00C72C2D"/>
    <w:rsid w:val="00C800E5"/>
    <w:rsid w:val="00C83392"/>
    <w:rsid w:val="00C87A3E"/>
    <w:rsid w:val="00C91CB9"/>
    <w:rsid w:val="00CA09B2"/>
    <w:rsid w:val="00CA6BA5"/>
    <w:rsid w:val="00CB4D6C"/>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5A7B"/>
    <w:rsid w:val="00DE0293"/>
    <w:rsid w:val="00DE141C"/>
    <w:rsid w:val="00DE6392"/>
    <w:rsid w:val="00DE75BF"/>
    <w:rsid w:val="00DF06BA"/>
    <w:rsid w:val="00DF3CA1"/>
    <w:rsid w:val="00DF4C37"/>
    <w:rsid w:val="00E02E4E"/>
    <w:rsid w:val="00E05816"/>
    <w:rsid w:val="00E07901"/>
    <w:rsid w:val="00E139BE"/>
    <w:rsid w:val="00E21247"/>
    <w:rsid w:val="00E26145"/>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F1A28"/>
    <w:rsid w:val="00F035AD"/>
    <w:rsid w:val="00F05025"/>
    <w:rsid w:val="00F06A39"/>
    <w:rsid w:val="00F12D48"/>
    <w:rsid w:val="00F25DE6"/>
    <w:rsid w:val="00F4495D"/>
    <w:rsid w:val="00F47D22"/>
    <w:rsid w:val="00F6028D"/>
    <w:rsid w:val="00F656A7"/>
    <w:rsid w:val="00F7015E"/>
    <w:rsid w:val="00F82557"/>
    <w:rsid w:val="00F92C90"/>
    <w:rsid w:val="00F935E9"/>
    <w:rsid w:val="00F9595F"/>
    <w:rsid w:val="00F95F31"/>
    <w:rsid w:val="00F96ABC"/>
    <w:rsid w:val="00FA09C2"/>
    <w:rsid w:val="00FB4C35"/>
    <w:rsid w:val="00FB67AC"/>
    <w:rsid w:val="00FC43FF"/>
    <w:rsid w:val="00FC4A21"/>
    <w:rsid w:val="00FC68D8"/>
    <w:rsid w:val="00FC6CF9"/>
    <w:rsid w:val="00FD2C6E"/>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6D"/>
    <w:rPr>
      <w:sz w:val="22"/>
      <w:lang w:val="en-GB" w:eastAsia="en-US"/>
    </w:rPr>
  </w:style>
  <w:style w:type="paragraph" w:styleId="1">
    <w:name w:val="heading 1"/>
    <w:basedOn w:val="a"/>
    <w:next w:val="a"/>
    <w:qFormat/>
    <w:rsid w:val="008C286D"/>
    <w:pPr>
      <w:keepNext/>
      <w:keepLines/>
      <w:spacing w:before="320"/>
      <w:outlineLvl w:val="0"/>
    </w:pPr>
    <w:rPr>
      <w:rFonts w:ascii="Arial" w:hAnsi="Arial"/>
      <w:b/>
      <w:sz w:val="32"/>
      <w:u w:val="single"/>
    </w:rPr>
  </w:style>
  <w:style w:type="paragraph" w:styleId="2">
    <w:name w:val="heading 2"/>
    <w:basedOn w:val="a"/>
    <w:next w:val="a"/>
    <w:qFormat/>
    <w:rsid w:val="008C286D"/>
    <w:pPr>
      <w:keepNext/>
      <w:keepLines/>
      <w:spacing w:before="280"/>
      <w:outlineLvl w:val="1"/>
    </w:pPr>
    <w:rPr>
      <w:rFonts w:ascii="Arial" w:hAnsi="Arial"/>
      <w:b/>
      <w:sz w:val="28"/>
      <w:u w:val="single"/>
    </w:rPr>
  </w:style>
  <w:style w:type="paragraph" w:styleId="3">
    <w:name w:val="heading 3"/>
    <w:basedOn w:val="a"/>
    <w:next w:val="a"/>
    <w:qFormat/>
    <w:rsid w:val="008C286D"/>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286D"/>
    <w:pPr>
      <w:pBdr>
        <w:top w:val="single" w:sz="6" w:space="1" w:color="auto"/>
      </w:pBdr>
      <w:tabs>
        <w:tab w:val="center" w:pos="6480"/>
        <w:tab w:val="right" w:pos="12960"/>
      </w:tabs>
    </w:pPr>
    <w:rPr>
      <w:sz w:val="24"/>
    </w:rPr>
  </w:style>
  <w:style w:type="paragraph" w:styleId="a4">
    <w:name w:val="header"/>
    <w:basedOn w:val="a"/>
    <w:rsid w:val="008C286D"/>
    <w:pPr>
      <w:pBdr>
        <w:bottom w:val="single" w:sz="6" w:space="2" w:color="auto"/>
      </w:pBdr>
      <w:tabs>
        <w:tab w:val="center" w:pos="6480"/>
        <w:tab w:val="right" w:pos="12960"/>
      </w:tabs>
    </w:pPr>
    <w:rPr>
      <w:b/>
      <w:sz w:val="28"/>
    </w:rPr>
  </w:style>
  <w:style w:type="paragraph" w:customStyle="1" w:styleId="T1">
    <w:name w:val="T1"/>
    <w:basedOn w:val="a"/>
    <w:rsid w:val="008C286D"/>
    <w:pPr>
      <w:jc w:val="center"/>
    </w:pPr>
    <w:rPr>
      <w:b/>
      <w:sz w:val="28"/>
    </w:rPr>
  </w:style>
  <w:style w:type="paragraph" w:customStyle="1" w:styleId="T2">
    <w:name w:val="T2"/>
    <w:basedOn w:val="T1"/>
    <w:rsid w:val="008C286D"/>
    <w:pPr>
      <w:spacing w:after="240"/>
      <w:ind w:left="720" w:right="720"/>
    </w:pPr>
  </w:style>
  <w:style w:type="paragraph" w:customStyle="1" w:styleId="T3">
    <w:name w:val="T3"/>
    <w:basedOn w:val="T1"/>
    <w:rsid w:val="008C286D"/>
    <w:pPr>
      <w:pBdr>
        <w:bottom w:val="single" w:sz="6" w:space="1" w:color="auto"/>
      </w:pBdr>
      <w:tabs>
        <w:tab w:val="center" w:pos="4680"/>
      </w:tabs>
      <w:spacing w:after="240"/>
      <w:jc w:val="left"/>
    </w:pPr>
    <w:rPr>
      <w:b w:val="0"/>
      <w:sz w:val="24"/>
    </w:rPr>
  </w:style>
  <w:style w:type="paragraph" w:styleId="a5">
    <w:name w:val="Body Text Indent"/>
    <w:basedOn w:val="a"/>
    <w:rsid w:val="008C286D"/>
    <w:pPr>
      <w:ind w:left="720" w:hanging="720"/>
    </w:pPr>
  </w:style>
  <w:style w:type="character" w:styleId="a6">
    <w:name w:val="Hyperlink"/>
    <w:basedOn w:val="a0"/>
    <w:rsid w:val="008C286D"/>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宋体"/>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宋体"/>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宋体"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宋体"/>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宋体"/>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宋体"/>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宋体"/>
      <w:color w:val="000000"/>
      <w:w w:val="0"/>
    </w:rPr>
  </w:style>
</w:styles>
</file>

<file path=word/webSettings.xml><?xml version="1.0" encoding="utf-8"?>
<w:webSettings xmlns:r="http://schemas.openxmlformats.org/officeDocument/2006/relationships" xmlns:w="http://schemas.openxmlformats.org/wordprocessingml/2006/main">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30</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ZTE Corp.</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cp:lastModifiedBy>123123</cp:lastModifiedBy>
  <cp:revision>2</cp:revision>
  <cp:lastPrinted>1601-01-01T00:00:00Z</cp:lastPrinted>
  <dcterms:created xsi:type="dcterms:W3CDTF">2013-07-08T07:55:00Z</dcterms:created>
  <dcterms:modified xsi:type="dcterms:W3CDTF">2013-07-15T08:47:00Z</dcterms:modified>
</cp:coreProperties>
</file>