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06"/>
        <w:gridCol w:w="1530"/>
        <w:gridCol w:w="2375"/>
      </w:tblGrid>
      <w:tr w:rsidR="00CA09B2" w:rsidTr="00A0234F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A0234F">
            <w:pPr>
              <w:pStyle w:val="T2"/>
            </w:pPr>
            <w:r>
              <w:t>Comment Collection 09 MAC CIDs (Comment Resolutions for CC09)</w:t>
            </w:r>
          </w:p>
        </w:tc>
      </w:tr>
      <w:tr w:rsidR="00CA09B2" w:rsidTr="00A0234F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 w:rsidP="00A0234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34F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-MM-DD</w:t>
            </w:r>
          </w:p>
        </w:tc>
      </w:tr>
      <w:tr w:rsidR="00CA09B2" w:rsidTr="00A0234F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A023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Minynoung</w:t>
            </w:r>
            <w:proofErr w:type="spellEnd"/>
            <w:r>
              <w:rPr>
                <w:b w:val="0"/>
                <w:sz w:val="20"/>
              </w:rPr>
              <w:t xml:space="preserve"> Park</w:t>
            </w:r>
          </w:p>
        </w:tc>
        <w:tc>
          <w:tcPr>
            <w:tcW w:w="2064" w:type="dxa"/>
            <w:vAlign w:val="center"/>
          </w:tcPr>
          <w:p w:rsidR="00CA09B2" w:rsidRDefault="00A023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Default="00A023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minyoung.park@intel.com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349E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A0234F" w:rsidP="00953EEC">
                            <w:pPr>
                              <w:jc w:val="both"/>
                            </w:pPr>
                            <w:r>
                              <w:t>This document provides resolutions for CIDs:</w:t>
                            </w:r>
                            <w:r w:rsidR="0018603B">
                              <w:t xml:space="preserve"> </w:t>
                            </w:r>
                            <w:r w:rsidR="005E5850">
                              <w:t>58</w:t>
                            </w:r>
                            <w:r w:rsidR="00953EEC">
                              <w:t xml:space="preserve">, 107, 916, </w:t>
                            </w:r>
                            <w:proofErr w:type="gramStart"/>
                            <w:r w:rsidR="00953EEC">
                              <w:t>917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A0234F" w:rsidP="00953EEC">
                      <w:pPr>
                        <w:jc w:val="both"/>
                      </w:pPr>
                      <w:r>
                        <w:t>This document provides resolutions for CIDs:</w:t>
                      </w:r>
                      <w:r w:rsidR="0018603B">
                        <w:t xml:space="preserve"> </w:t>
                      </w:r>
                      <w:r w:rsidR="005E5850">
                        <w:t>58</w:t>
                      </w:r>
                      <w:r w:rsidR="00953EEC">
                        <w:t xml:space="preserve">, 107, 916, </w:t>
                      </w:r>
                      <w:proofErr w:type="gramStart"/>
                      <w:r w:rsidR="00953EEC">
                        <w:t>917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1D7B22">
      <w:r>
        <w:br w:type="page"/>
      </w:r>
    </w:p>
    <w:p w:rsidR="00217A87" w:rsidRDefault="00217A87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1"/>
        <w:gridCol w:w="885"/>
        <w:gridCol w:w="695"/>
        <w:gridCol w:w="628"/>
        <w:gridCol w:w="828"/>
        <w:gridCol w:w="1921"/>
        <w:gridCol w:w="2030"/>
        <w:gridCol w:w="2028"/>
      </w:tblGrid>
      <w:tr w:rsidR="00151922" w:rsidRPr="002B361D" w:rsidTr="00DA3E53">
        <w:trPr>
          <w:trHeight w:val="646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922" w:rsidRPr="00151922" w:rsidRDefault="00151922" w:rsidP="00151922">
            <w:pPr>
              <w:jc w:val="right"/>
              <w:rPr>
                <w:rFonts w:ascii="Arial" w:hAnsi="Arial" w:cs="Arial"/>
                <w:b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b/>
                <w:sz w:val="20"/>
                <w:lang w:val="en-US" w:eastAsia="ko-KR"/>
              </w:rPr>
              <w:t>CID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922" w:rsidRPr="00151922" w:rsidRDefault="00151922" w:rsidP="00DF40F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b/>
                <w:sz w:val="20"/>
                <w:lang w:val="en-US" w:eastAsia="ko-KR"/>
              </w:rPr>
              <w:t xml:space="preserve">Clause 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922" w:rsidRPr="00151922" w:rsidRDefault="00151922" w:rsidP="00DF40F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b/>
                <w:sz w:val="20"/>
                <w:lang w:val="en-US" w:eastAsia="ko-KR"/>
              </w:rPr>
              <w:t>Page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922" w:rsidRPr="00151922" w:rsidRDefault="00151922" w:rsidP="00DF40F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b/>
                <w:sz w:val="20"/>
                <w:lang w:val="en-US" w:eastAsia="ko-KR"/>
              </w:rPr>
              <w:t>Line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922" w:rsidRPr="00151922" w:rsidRDefault="00151922" w:rsidP="00DF40F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proofErr w:type="spellStart"/>
            <w:r w:rsidRPr="00151922">
              <w:rPr>
                <w:rFonts w:ascii="Arial" w:hAnsi="Arial" w:cs="Arial"/>
                <w:b/>
                <w:sz w:val="20"/>
                <w:lang w:val="en-US" w:eastAsia="ko-KR"/>
              </w:rPr>
              <w:t>Resn</w:t>
            </w:r>
            <w:proofErr w:type="spellEnd"/>
            <w:r w:rsidRPr="00151922">
              <w:rPr>
                <w:rFonts w:ascii="Arial" w:hAnsi="Arial" w:cs="Arial"/>
                <w:b/>
                <w:sz w:val="20"/>
                <w:lang w:val="en-US" w:eastAsia="ko-KR"/>
              </w:rPr>
              <w:t xml:space="preserve"> Status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922" w:rsidRPr="00151922" w:rsidRDefault="00151922" w:rsidP="00DF40F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b/>
                <w:sz w:val="20"/>
                <w:lang w:val="en-US" w:eastAsia="ko-KR"/>
              </w:rPr>
              <w:t>Comment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922" w:rsidRPr="00151922" w:rsidRDefault="00151922" w:rsidP="00DF40F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b/>
                <w:sz w:val="20"/>
                <w:lang w:val="en-US" w:eastAsia="ko-KR"/>
              </w:rPr>
              <w:t>Proposed Change</w:t>
            </w:r>
          </w:p>
        </w:tc>
        <w:tc>
          <w:tcPr>
            <w:tcW w:w="1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1922" w:rsidRPr="00151922" w:rsidRDefault="00151922" w:rsidP="00DF40F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b/>
                <w:sz w:val="20"/>
                <w:lang w:val="en-US" w:eastAsia="ko-KR"/>
              </w:rPr>
              <w:t>Resolution</w:t>
            </w:r>
          </w:p>
        </w:tc>
      </w:tr>
      <w:tr w:rsidR="00151922" w:rsidRPr="00151922" w:rsidTr="00DA3E53">
        <w:trPr>
          <w:trHeight w:val="3060"/>
        </w:trPr>
        <w:tc>
          <w:tcPr>
            <w:tcW w:w="293" w:type="pct"/>
            <w:shd w:val="clear" w:color="auto" w:fill="auto"/>
            <w:hideMark/>
          </w:tcPr>
          <w:p w:rsidR="00151922" w:rsidRPr="00151922" w:rsidRDefault="00151922" w:rsidP="00151922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58</w:t>
            </w:r>
          </w:p>
        </w:tc>
        <w:tc>
          <w:tcPr>
            <w:tcW w:w="462" w:type="pct"/>
            <w:shd w:val="clear" w:color="auto" w:fill="auto"/>
            <w:hideMark/>
          </w:tcPr>
          <w:p w:rsidR="00151922" w:rsidRPr="00151922" w:rsidRDefault="00151922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9.32h</w:t>
            </w:r>
          </w:p>
        </w:tc>
        <w:tc>
          <w:tcPr>
            <w:tcW w:w="363" w:type="pct"/>
            <w:shd w:val="clear" w:color="auto" w:fill="auto"/>
            <w:hideMark/>
          </w:tcPr>
          <w:p w:rsidR="00151922" w:rsidRPr="00151922" w:rsidRDefault="00151922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145</w:t>
            </w:r>
          </w:p>
        </w:tc>
        <w:tc>
          <w:tcPr>
            <w:tcW w:w="328" w:type="pct"/>
            <w:shd w:val="clear" w:color="auto" w:fill="auto"/>
            <w:hideMark/>
          </w:tcPr>
          <w:p w:rsidR="00151922" w:rsidRPr="00151922" w:rsidRDefault="00151922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20</w:t>
            </w:r>
          </w:p>
        </w:tc>
        <w:tc>
          <w:tcPr>
            <w:tcW w:w="432" w:type="pct"/>
            <w:shd w:val="clear" w:color="auto" w:fill="auto"/>
            <w:hideMark/>
          </w:tcPr>
          <w:p w:rsidR="00151922" w:rsidRPr="00151922" w:rsidRDefault="0004500B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V</w:t>
            </w:r>
          </w:p>
        </w:tc>
        <w:tc>
          <w:tcPr>
            <w:tcW w:w="1003" w:type="pct"/>
            <w:shd w:val="clear" w:color="auto" w:fill="auto"/>
            <w:hideMark/>
          </w:tcPr>
          <w:p w:rsidR="00151922" w:rsidRPr="00151922" w:rsidRDefault="00151922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 xml:space="preserve">Details of the UL synch procedure are not defined. Specifically should the STA access SIFS time after the synch </w:t>
            </w:r>
            <w:proofErr w:type="gramStart"/>
            <w:r w:rsidRPr="00151922">
              <w:rPr>
                <w:rFonts w:ascii="Arial" w:hAnsi="Arial" w:cs="Arial"/>
                <w:sz w:val="20"/>
                <w:lang w:val="en-US" w:eastAsia="ko-KR"/>
              </w:rPr>
              <w:t>frame.</w:t>
            </w:r>
            <w:proofErr w:type="gramEnd"/>
            <w:r w:rsidRPr="00151922">
              <w:rPr>
                <w:rFonts w:ascii="Arial" w:hAnsi="Arial" w:cs="Arial"/>
                <w:sz w:val="20"/>
                <w:lang w:val="en-US" w:eastAsia="ko-KR"/>
              </w:rPr>
              <w:t xml:space="preserve"> What if the STA is </w:t>
            </w:r>
            <w:proofErr w:type="gramStart"/>
            <w:r w:rsidRPr="00151922">
              <w:rPr>
                <w:rFonts w:ascii="Arial" w:hAnsi="Arial" w:cs="Arial"/>
                <w:sz w:val="20"/>
                <w:lang w:val="en-US" w:eastAsia="ko-KR"/>
              </w:rPr>
              <w:t>unresponsive.</w:t>
            </w:r>
            <w:proofErr w:type="gramEnd"/>
            <w:r w:rsidRPr="00151922">
              <w:rPr>
                <w:rFonts w:ascii="Arial" w:hAnsi="Arial" w:cs="Arial"/>
                <w:sz w:val="20"/>
                <w:lang w:val="en-US" w:eastAsia="ko-KR"/>
              </w:rPr>
              <w:t xml:space="preserve"> Should the AP send a CF-End after PIFS time? If Yes this forces the STA to respond in SIFS time. If not the STA can respond at different times but with other </w:t>
            </w:r>
            <w:proofErr w:type="spellStart"/>
            <w:r w:rsidRPr="00151922">
              <w:rPr>
                <w:rFonts w:ascii="Arial" w:hAnsi="Arial" w:cs="Arial"/>
                <w:sz w:val="20"/>
                <w:lang w:val="en-US" w:eastAsia="ko-KR"/>
              </w:rPr>
              <w:t>consequances</w:t>
            </w:r>
            <w:proofErr w:type="spellEnd"/>
            <w:r w:rsidRPr="00151922">
              <w:rPr>
                <w:rFonts w:ascii="Arial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1060" w:type="pct"/>
            <w:shd w:val="clear" w:color="auto" w:fill="auto"/>
            <w:hideMark/>
          </w:tcPr>
          <w:p w:rsidR="00151922" w:rsidRPr="00151922" w:rsidRDefault="00151922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 xml:space="preserve">The </w:t>
            </w:r>
            <w:proofErr w:type="gramStart"/>
            <w:r w:rsidRPr="00151922">
              <w:rPr>
                <w:rFonts w:ascii="Arial" w:hAnsi="Arial" w:cs="Arial"/>
                <w:sz w:val="20"/>
                <w:lang w:val="en-US" w:eastAsia="ko-KR"/>
              </w:rPr>
              <w:t>simples</w:t>
            </w:r>
            <w:proofErr w:type="gramEnd"/>
            <w:r w:rsidRPr="00151922">
              <w:rPr>
                <w:rFonts w:ascii="Arial" w:hAnsi="Arial" w:cs="Arial"/>
                <w:sz w:val="20"/>
                <w:lang w:val="en-US" w:eastAsia="ko-KR"/>
              </w:rPr>
              <w:t xml:space="preserve"> way is to refer to Reverse direction protocol description in section 9.25 and add support for NDP CTS synch frame as the reverse direction grant frame.</w:t>
            </w:r>
          </w:p>
        </w:tc>
        <w:tc>
          <w:tcPr>
            <w:tcW w:w="1059" w:type="pct"/>
            <w:shd w:val="clear" w:color="auto" w:fill="auto"/>
            <w:hideMark/>
          </w:tcPr>
          <w:p w:rsidR="0004500B" w:rsidRDefault="0004500B" w:rsidP="0004500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Revised</w:t>
            </w:r>
            <w:r w:rsidR="00051FE8">
              <w:rPr>
                <w:rFonts w:ascii="Arial" w:hAnsi="Arial" w:cs="Arial"/>
                <w:sz w:val="20"/>
                <w:lang w:val="en-US" w:eastAsia="ko-KR"/>
              </w:rPr>
              <w:t xml:space="preserve"> – 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agree in principle on the comment that the details of the UL synch procedure is not define.  </w:t>
            </w:r>
          </w:p>
          <w:p w:rsidR="0004500B" w:rsidRDefault="0004500B" w:rsidP="0004500B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  <w:p w:rsidR="00151922" w:rsidRPr="00151922" w:rsidRDefault="0004500B" w:rsidP="0004500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Refer to changes in </w:t>
            </w:r>
            <w:sdt>
              <w:sdtPr>
                <w:rPr>
                  <w:rFonts w:ascii="Calibri" w:hAnsi="Calibri"/>
                  <w:color w:val="000000"/>
                  <w:lang w:bidi="he-IL"/>
                </w:rPr>
                <w:alias w:val="Title"/>
                <w:tag w:val=""/>
                <w:id w:val="907653902"/>
                <w:placeholder>
                  <w:docPart w:val="860EBA69B1944D1D8014DC9BEE2D19E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B743E8">
                  <w:rPr>
                    <w:rFonts w:ascii="Calibri" w:hAnsi="Calibri"/>
                    <w:color w:val="000000"/>
                    <w:lang w:val="en-US" w:bidi="he-IL"/>
                  </w:rPr>
                  <w:t>doc.: IEEE 802.11-13/0783r0</w:t>
                </w:r>
              </w:sdtContent>
            </w:sdt>
            <w:r>
              <w:rPr>
                <w:rFonts w:ascii="Calibri" w:hAnsi="Calibri"/>
                <w:color w:val="000000"/>
                <w:lang w:bidi="he-IL"/>
              </w:rPr>
              <w:t xml:space="preserve"> under CID 917 heading.</w:t>
            </w:r>
          </w:p>
        </w:tc>
      </w:tr>
      <w:tr w:rsidR="00051FE8" w:rsidRPr="00151922" w:rsidTr="00DA3E53">
        <w:trPr>
          <w:trHeight w:val="3060"/>
        </w:trPr>
        <w:tc>
          <w:tcPr>
            <w:tcW w:w="293" w:type="pct"/>
            <w:shd w:val="clear" w:color="auto" w:fill="auto"/>
          </w:tcPr>
          <w:p w:rsidR="00051FE8" w:rsidRPr="00151922" w:rsidRDefault="00051FE8" w:rsidP="00DF40FD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107</w:t>
            </w:r>
          </w:p>
        </w:tc>
        <w:tc>
          <w:tcPr>
            <w:tcW w:w="462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9.32h.1</w:t>
            </w:r>
          </w:p>
        </w:tc>
        <w:tc>
          <w:tcPr>
            <w:tcW w:w="363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144</w:t>
            </w:r>
          </w:p>
        </w:tc>
        <w:tc>
          <w:tcPr>
            <w:tcW w:w="328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63</w:t>
            </w:r>
          </w:p>
        </w:tc>
        <w:tc>
          <w:tcPr>
            <w:tcW w:w="432" w:type="pct"/>
            <w:shd w:val="clear" w:color="auto" w:fill="auto"/>
          </w:tcPr>
          <w:p w:rsidR="00051FE8" w:rsidRPr="00151922" w:rsidRDefault="00811749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J</w:t>
            </w:r>
          </w:p>
        </w:tc>
        <w:tc>
          <w:tcPr>
            <w:tcW w:w="1003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In the sentence "When an AP receives a Sync frame from a STA with the Time Slot Protection Request field set to 1, the AP shall protect a time slot that is assigned for the STA in a RAW or a TWT time of the STA with NAV-setting frame exchanges." the signaling for the NAV setting exchanges is missing.</w:t>
            </w:r>
          </w:p>
        </w:tc>
        <w:tc>
          <w:tcPr>
            <w:tcW w:w="1060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Please indicate the necessary signaling</w:t>
            </w:r>
          </w:p>
        </w:tc>
        <w:tc>
          <w:tcPr>
            <w:tcW w:w="1059" w:type="pct"/>
            <w:shd w:val="clear" w:color="auto" w:fill="auto"/>
          </w:tcPr>
          <w:p w:rsidR="00051FE8" w:rsidRPr="00151922" w:rsidRDefault="00811749" w:rsidP="008C0D6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Rejected</w:t>
            </w:r>
            <w:r w:rsidR="00051FE8">
              <w:rPr>
                <w:rFonts w:ascii="Arial" w:hAnsi="Arial" w:cs="Arial"/>
                <w:sz w:val="20"/>
                <w:lang w:val="en-US" w:eastAsia="ko-KR"/>
              </w:rPr>
              <w:t xml:space="preserve"> – 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Since any frame can be used as a synch frame and there are many ways to set the NAV, it is </w:t>
            </w:r>
            <w:proofErr w:type="spellStart"/>
            <w:r>
              <w:rPr>
                <w:rFonts w:ascii="Arial" w:hAnsi="Arial" w:cs="Arial"/>
                <w:sz w:val="20"/>
                <w:lang w:val="en-US" w:eastAsia="ko-KR"/>
              </w:rPr>
              <w:t>unneccessry</w:t>
            </w:r>
            <w:proofErr w:type="spellEnd"/>
            <w:r>
              <w:rPr>
                <w:rFonts w:ascii="Arial" w:hAnsi="Arial" w:cs="Arial"/>
                <w:sz w:val="20"/>
                <w:lang w:val="en-US" w:eastAsia="ko-KR"/>
              </w:rPr>
              <w:t xml:space="preserve"> to indicate all possible </w:t>
            </w:r>
            <w:proofErr w:type="spellStart"/>
            <w:r>
              <w:rPr>
                <w:rFonts w:ascii="Arial" w:hAnsi="Arial" w:cs="Arial"/>
                <w:sz w:val="20"/>
                <w:lang w:val="en-US" w:eastAsia="ko-KR"/>
              </w:rPr>
              <w:t>signalings</w:t>
            </w:r>
            <w:proofErr w:type="spellEnd"/>
            <w:r>
              <w:rPr>
                <w:rFonts w:ascii="Arial" w:hAnsi="Arial" w:cs="Arial"/>
                <w:sz w:val="20"/>
                <w:lang w:val="en-US" w:eastAsia="ko-KR"/>
              </w:rPr>
              <w:t xml:space="preserve"> for the NAV setting</w:t>
            </w:r>
            <w:r w:rsidR="00051FE8">
              <w:rPr>
                <w:rFonts w:ascii="Calibri" w:hAnsi="Calibri"/>
                <w:color w:val="000000"/>
                <w:lang w:bidi="he-IL"/>
              </w:rPr>
              <w:t>.</w:t>
            </w:r>
          </w:p>
        </w:tc>
      </w:tr>
      <w:tr w:rsidR="00051FE8" w:rsidRPr="00151922" w:rsidTr="00051FE8">
        <w:trPr>
          <w:trHeight w:val="601"/>
        </w:trPr>
        <w:tc>
          <w:tcPr>
            <w:tcW w:w="293" w:type="pct"/>
            <w:shd w:val="clear" w:color="auto" w:fill="auto"/>
          </w:tcPr>
          <w:p w:rsidR="00051FE8" w:rsidRPr="00151922" w:rsidRDefault="00051FE8" w:rsidP="00DF40FD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917</w:t>
            </w:r>
          </w:p>
        </w:tc>
        <w:tc>
          <w:tcPr>
            <w:tcW w:w="462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9.32h.1</w:t>
            </w:r>
          </w:p>
        </w:tc>
        <w:tc>
          <w:tcPr>
            <w:tcW w:w="363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145</w:t>
            </w:r>
          </w:p>
        </w:tc>
        <w:tc>
          <w:tcPr>
            <w:tcW w:w="328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18</w:t>
            </w:r>
          </w:p>
        </w:tc>
        <w:tc>
          <w:tcPr>
            <w:tcW w:w="432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V</w:t>
            </w:r>
          </w:p>
        </w:tc>
        <w:tc>
          <w:tcPr>
            <w:tcW w:w="1003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How to use NDP CTS frame as a synch frame is not clear.</w:t>
            </w:r>
          </w:p>
        </w:tc>
        <w:tc>
          <w:tcPr>
            <w:tcW w:w="1060" w:type="pct"/>
            <w:shd w:val="clear" w:color="auto" w:fill="auto"/>
          </w:tcPr>
          <w:p w:rsidR="00051FE8" w:rsidRPr="00151922" w:rsidRDefault="00051FE8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 xml:space="preserve">Modify the sentence from "The UL-Synch capable AP should use the NDP CTS frame as a synch frame." to "The UL-Synch capable AP should use the NDP CTS frame as a synch frame. When STA receives the NDP CTS frame, STAs identified in RA only are allowed to access the channel during the </w:t>
            </w:r>
            <w:r w:rsidRPr="00151922">
              <w:rPr>
                <w:rFonts w:ascii="Arial" w:hAnsi="Arial" w:cs="Arial"/>
                <w:sz w:val="20"/>
                <w:lang w:val="en-US" w:eastAsia="ko-KR"/>
              </w:rPr>
              <w:lastRenderedPageBreak/>
              <w:t>time defined in Duration field.</w:t>
            </w:r>
            <w:proofErr w:type="gramStart"/>
            <w:r w:rsidRPr="00151922">
              <w:rPr>
                <w:rFonts w:ascii="Arial" w:hAnsi="Arial" w:cs="Arial"/>
                <w:sz w:val="20"/>
                <w:lang w:val="en-US" w:eastAsia="ko-KR"/>
              </w:rPr>
              <w:t>".</w:t>
            </w:r>
            <w:proofErr w:type="gramEnd"/>
          </w:p>
        </w:tc>
        <w:tc>
          <w:tcPr>
            <w:tcW w:w="1059" w:type="pct"/>
            <w:shd w:val="clear" w:color="auto" w:fill="auto"/>
          </w:tcPr>
          <w:p w:rsidR="00051FE8" w:rsidRPr="00151922" w:rsidRDefault="00464A8D" w:rsidP="00DF40F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lastRenderedPageBreak/>
              <w:t xml:space="preserve">Revised – agree in principle. </w:t>
            </w:r>
            <w:r>
              <w:rPr>
                <w:rFonts w:ascii="Calibri" w:hAnsi="Calibri"/>
                <w:color w:val="000000"/>
                <w:lang w:bidi="he-IL"/>
              </w:rPr>
              <w:t xml:space="preserve">Refer to changes in </w:t>
            </w:r>
            <w:sdt>
              <w:sdtPr>
                <w:rPr>
                  <w:rFonts w:ascii="Calibri" w:hAnsi="Calibri"/>
                  <w:color w:val="000000"/>
                  <w:lang w:bidi="he-IL"/>
                </w:rPr>
                <w:alias w:val="Title"/>
                <w:tag w:val=""/>
                <w:id w:val="766733302"/>
                <w:placeholder>
                  <w:docPart w:val="47C067B03591452F80FBA975F8CD37F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B743E8">
                  <w:rPr>
                    <w:rFonts w:ascii="Calibri" w:hAnsi="Calibri"/>
                    <w:color w:val="000000"/>
                    <w:lang w:val="en-US" w:bidi="he-IL"/>
                  </w:rPr>
                  <w:t>doc.: IEEE 802.11-13/0783r0</w:t>
                </w:r>
              </w:sdtContent>
            </w:sdt>
            <w:r w:rsidR="00B743E8">
              <w:rPr>
                <w:rFonts w:ascii="Calibri" w:hAnsi="Calibri"/>
                <w:color w:val="000000"/>
                <w:lang w:bidi="he-IL"/>
              </w:rPr>
              <w:t xml:space="preserve"> </w:t>
            </w:r>
            <w:r>
              <w:rPr>
                <w:rFonts w:ascii="Calibri" w:hAnsi="Calibri"/>
                <w:color w:val="000000"/>
                <w:lang w:bidi="he-IL"/>
              </w:rPr>
              <w:t>under CID 917 heading.</w:t>
            </w:r>
          </w:p>
        </w:tc>
      </w:tr>
    </w:tbl>
    <w:p w:rsidR="00051FE8" w:rsidRDefault="00051FE8"/>
    <w:p w:rsidR="0004500B" w:rsidRPr="0004500B" w:rsidRDefault="007F177A">
      <w:pPr>
        <w:rPr>
          <w:b/>
        </w:rPr>
      </w:pPr>
      <w:r>
        <w:rPr>
          <w:b/>
        </w:rPr>
        <w:t>Proposed changes</w:t>
      </w:r>
      <w:r w:rsidR="0004500B" w:rsidRPr="0004500B">
        <w:rPr>
          <w:b/>
        </w:rPr>
        <w:t>:</w:t>
      </w:r>
    </w:p>
    <w:p w:rsidR="0004500B" w:rsidRDefault="0004500B"/>
    <w:p w:rsidR="00051FE8" w:rsidRPr="008C2E34" w:rsidRDefault="008C2E34">
      <w:pPr>
        <w:rPr>
          <w:b/>
        </w:rPr>
      </w:pPr>
      <w:r w:rsidRPr="008C2E34">
        <w:rPr>
          <w:b/>
        </w:rPr>
        <w:t>9.32h.1 Synch frame transmission procedure for uplink traffic</w:t>
      </w:r>
    </w:p>
    <w:p w:rsidR="008C2E34" w:rsidRDefault="008C2E34"/>
    <w:p w:rsidR="008C2E34" w:rsidRPr="008C2E34" w:rsidRDefault="008C2E34">
      <w:pPr>
        <w:rPr>
          <w:b/>
          <w:i/>
        </w:rPr>
      </w:pPr>
      <w:r w:rsidRPr="008C2E34">
        <w:rPr>
          <w:b/>
          <w:i/>
        </w:rPr>
        <w:t>Insert the following paragraph after P145L18 as follows:</w:t>
      </w:r>
    </w:p>
    <w:p w:rsidR="008C2E34" w:rsidRDefault="008C2E34"/>
    <w:p w:rsidR="0053644F" w:rsidRDefault="003D7E19" w:rsidP="0053644F">
      <w:r>
        <w:t xml:space="preserve">When a STA receives an NDP CTS frame </w:t>
      </w:r>
      <w:r w:rsidR="00952CB7">
        <w:t>with</w:t>
      </w:r>
      <w:r>
        <w:t xml:space="preserve"> the RA Address/</w:t>
      </w:r>
      <w:r w:rsidR="005308A3">
        <w:t>Partial</w:t>
      </w:r>
      <w:r>
        <w:t xml:space="preserve"> BSSID field </w:t>
      </w:r>
      <w:r w:rsidR="00952CB7">
        <w:t xml:space="preserve">is </w:t>
      </w:r>
      <w:r>
        <w:t>set to the S1G partial AID of the STA</w:t>
      </w:r>
      <w:r w:rsidR="00516786">
        <w:t xml:space="preserve"> from the UL-Synch capable AP with which the STA is associated</w:t>
      </w:r>
      <w:r>
        <w:t xml:space="preserve">, </w:t>
      </w:r>
      <w:r w:rsidR="00952CB7">
        <w:t>the STA shall transmit a data frame to the AP a SIFS after the reception of the NDP CTS frame.</w:t>
      </w:r>
      <w:r w:rsidR="00916E7E">
        <w:t xml:space="preserve"> </w:t>
      </w:r>
      <w:r w:rsidR="00C864F5">
        <w:t>When a STA receives an NDP CTS frame with the RA Address/</w:t>
      </w:r>
      <w:r w:rsidR="005308A3">
        <w:t>Partial</w:t>
      </w:r>
      <w:r w:rsidR="00C864F5">
        <w:t xml:space="preserve"> BSSID field not equal to the S1G partial AID of the STA, the STA shall follow the NAV setting rules defined in 9.3.2.4 (Setting and resetting the NAV).  </w:t>
      </w:r>
      <w:r w:rsidR="0053644F">
        <w:t xml:space="preserve">After transmitting the NDP CTS frame, the AP shall wait for an </w:t>
      </w:r>
      <w:proofErr w:type="spellStart"/>
      <w:r w:rsidR="0053644F">
        <w:t>ACKTimeout</w:t>
      </w:r>
      <w:proofErr w:type="spellEnd"/>
      <w:r w:rsidR="0053644F">
        <w:t xml:space="preserve"> interval (as defined in 9.3.2.8), starting at the PHY-</w:t>
      </w:r>
      <w:proofErr w:type="spellStart"/>
      <w:r w:rsidR="0053644F">
        <w:t>TXEND.confirm</w:t>
      </w:r>
      <w:proofErr w:type="spellEnd"/>
      <w:r w:rsidR="0053644F">
        <w:t xml:space="preserve"> primitive. If a PHY-</w:t>
      </w:r>
      <w:proofErr w:type="spellStart"/>
      <w:r w:rsidR="0053644F">
        <w:t>RXSTART.indication</w:t>
      </w:r>
      <w:proofErr w:type="spellEnd"/>
      <w:r w:rsidR="0053644F">
        <w:t xml:space="preserve"> primitive does not occur during the </w:t>
      </w:r>
      <w:proofErr w:type="spellStart"/>
      <w:r w:rsidR="0053644F">
        <w:t>ACKTimeout</w:t>
      </w:r>
      <w:proofErr w:type="spellEnd"/>
      <w:r w:rsidR="0053644F">
        <w:t xml:space="preserve"> interval, the AP may transmit a CF-End frame to reset the NAV</w:t>
      </w:r>
      <w:r w:rsidR="00C864F5">
        <w:t xml:space="preserve"> provided that the remaining duration is long enough to transmit this frame</w:t>
      </w:r>
      <w:r w:rsidR="0053644F">
        <w:t xml:space="preserve">. </w:t>
      </w:r>
    </w:p>
    <w:p w:rsidR="0053644F" w:rsidRDefault="0053644F"/>
    <w:p w:rsidR="00051FE8" w:rsidRDefault="00051FE8"/>
    <w:p w:rsidR="00051FE8" w:rsidRDefault="00051FE8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2"/>
        <w:gridCol w:w="885"/>
        <w:gridCol w:w="695"/>
        <w:gridCol w:w="628"/>
        <w:gridCol w:w="827"/>
        <w:gridCol w:w="1921"/>
        <w:gridCol w:w="2030"/>
        <w:gridCol w:w="2028"/>
      </w:tblGrid>
      <w:tr w:rsidR="00151922" w:rsidRPr="00151922" w:rsidTr="00DA3E53">
        <w:trPr>
          <w:trHeight w:val="3060"/>
        </w:trPr>
        <w:tc>
          <w:tcPr>
            <w:tcW w:w="293" w:type="pct"/>
            <w:shd w:val="clear" w:color="auto" w:fill="auto"/>
            <w:hideMark/>
          </w:tcPr>
          <w:p w:rsidR="00151922" w:rsidRPr="00151922" w:rsidRDefault="00151922" w:rsidP="00151922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916</w:t>
            </w:r>
          </w:p>
        </w:tc>
        <w:tc>
          <w:tcPr>
            <w:tcW w:w="462" w:type="pct"/>
            <w:shd w:val="clear" w:color="auto" w:fill="auto"/>
            <w:hideMark/>
          </w:tcPr>
          <w:p w:rsidR="00151922" w:rsidRPr="00151922" w:rsidRDefault="00151922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9.32h.1</w:t>
            </w:r>
          </w:p>
        </w:tc>
        <w:tc>
          <w:tcPr>
            <w:tcW w:w="363" w:type="pct"/>
            <w:shd w:val="clear" w:color="auto" w:fill="auto"/>
            <w:hideMark/>
          </w:tcPr>
          <w:p w:rsidR="00151922" w:rsidRPr="00151922" w:rsidRDefault="00151922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145</w:t>
            </w:r>
          </w:p>
        </w:tc>
        <w:tc>
          <w:tcPr>
            <w:tcW w:w="328" w:type="pct"/>
            <w:shd w:val="clear" w:color="auto" w:fill="auto"/>
            <w:hideMark/>
          </w:tcPr>
          <w:p w:rsidR="00151922" w:rsidRPr="00151922" w:rsidRDefault="00151922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17</w:t>
            </w:r>
          </w:p>
        </w:tc>
        <w:tc>
          <w:tcPr>
            <w:tcW w:w="432" w:type="pct"/>
            <w:shd w:val="clear" w:color="auto" w:fill="auto"/>
            <w:hideMark/>
          </w:tcPr>
          <w:p w:rsidR="00151922" w:rsidRPr="00151922" w:rsidRDefault="00180F7B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A</w:t>
            </w:r>
          </w:p>
        </w:tc>
        <w:tc>
          <w:tcPr>
            <w:tcW w:w="1003" w:type="pct"/>
            <w:shd w:val="clear" w:color="auto" w:fill="auto"/>
            <w:hideMark/>
          </w:tcPr>
          <w:p w:rsidR="00151922" w:rsidRPr="00151922" w:rsidRDefault="00151922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AP should not send a synch frame within a RAW if cross-slot boundary transmission is not allowed.</w:t>
            </w:r>
          </w:p>
        </w:tc>
        <w:tc>
          <w:tcPr>
            <w:tcW w:w="1060" w:type="pct"/>
            <w:shd w:val="clear" w:color="auto" w:fill="auto"/>
            <w:hideMark/>
          </w:tcPr>
          <w:p w:rsidR="00151922" w:rsidRPr="00151922" w:rsidRDefault="00151922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51922">
              <w:rPr>
                <w:rFonts w:ascii="Arial" w:hAnsi="Arial" w:cs="Arial"/>
                <w:sz w:val="20"/>
                <w:lang w:val="en-US" w:eastAsia="ko-KR"/>
              </w:rPr>
              <w:t>Add the following text after 3rd paragraph in page 145: "For a STA requesting for the sync frame transmission with Time Slot Protection Request field set to 0, AP should not send a synch frame at each slot boundary within a RAW period if Cross-Slot Boundary transmission is not allowed within the RAW."</w:t>
            </w:r>
          </w:p>
        </w:tc>
        <w:tc>
          <w:tcPr>
            <w:tcW w:w="1059" w:type="pct"/>
            <w:shd w:val="clear" w:color="auto" w:fill="auto"/>
            <w:hideMark/>
          </w:tcPr>
          <w:p w:rsidR="00151922" w:rsidRDefault="00180F7B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 xml:space="preserve">Accepted – Since a packet transmission cannot cross the slot boundary in a RAW when the Cross-Slot Boundary bit is set to 1, in this case a synch frame transmission at the beginning of a slot is not necessary. </w:t>
            </w:r>
          </w:p>
          <w:p w:rsidR="00180F7B" w:rsidRDefault="00180F7B" w:rsidP="00151922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  <w:p w:rsidR="00180F7B" w:rsidRPr="00151922" w:rsidRDefault="00180F7B" w:rsidP="00180F7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Refer to changes in </w:t>
            </w:r>
            <w:sdt>
              <w:sdtPr>
                <w:rPr>
                  <w:rFonts w:ascii="Calibri" w:hAnsi="Calibri"/>
                  <w:color w:val="000000"/>
                  <w:lang w:bidi="he-IL"/>
                </w:rPr>
                <w:alias w:val="Title"/>
                <w:tag w:val=""/>
                <w:id w:val="1325387584"/>
                <w:placeholder>
                  <w:docPart w:val="09692590F6A744A5B28A6F4F720E48A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B743E8">
                  <w:rPr>
                    <w:rFonts w:ascii="Calibri" w:hAnsi="Calibri"/>
                    <w:color w:val="000000"/>
                    <w:lang w:val="en-US" w:bidi="he-IL"/>
                  </w:rPr>
                  <w:t>doc.: IEEE 802.11-13/0783r0</w:t>
                </w:r>
              </w:sdtContent>
            </w:sdt>
            <w:r w:rsidR="00B743E8">
              <w:rPr>
                <w:rFonts w:ascii="Calibri" w:hAnsi="Calibri"/>
                <w:color w:val="000000"/>
                <w:lang w:bidi="he-IL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lang w:bidi="he-IL"/>
              </w:rPr>
              <w:t>under CID 916 heading.</w:t>
            </w:r>
          </w:p>
        </w:tc>
      </w:tr>
    </w:tbl>
    <w:p w:rsidR="00151922" w:rsidRPr="00151922" w:rsidRDefault="00151922">
      <w:pPr>
        <w:rPr>
          <w:lang w:val="en-US"/>
        </w:rPr>
      </w:pPr>
    </w:p>
    <w:p w:rsidR="00B91587" w:rsidRDefault="00B91587">
      <w:pPr>
        <w:rPr>
          <w:b/>
        </w:rPr>
      </w:pPr>
      <w:r w:rsidRPr="00B91587">
        <w:rPr>
          <w:b/>
        </w:rPr>
        <w:t>Proposed changes:</w:t>
      </w:r>
    </w:p>
    <w:p w:rsidR="00180F7B" w:rsidRDefault="00180F7B">
      <w:pPr>
        <w:rPr>
          <w:b/>
        </w:rPr>
      </w:pPr>
    </w:p>
    <w:p w:rsidR="00180F7B" w:rsidRPr="008C2E34" w:rsidRDefault="00180F7B" w:rsidP="00180F7B">
      <w:pPr>
        <w:rPr>
          <w:b/>
        </w:rPr>
      </w:pPr>
      <w:r w:rsidRPr="008C2E34">
        <w:rPr>
          <w:b/>
        </w:rPr>
        <w:t>9.32h.1 Synch frame transmission procedure for uplink traffic</w:t>
      </w:r>
    </w:p>
    <w:p w:rsidR="00180F7B" w:rsidRDefault="00180F7B" w:rsidP="00180F7B"/>
    <w:p w:rsidR="00180F7B" w:rsidRPr="008C2E34" w:rsidRDefault="00180F7B" w:rsidP="00180F7B">
      <w:pPr>
        <w:rPr>
          <w:b/>
          <w:i/>
        </w:rPr>
      </w:pPr>
      <w:r w:rsidRPr="008C2E34">
        <w:rPr>
          <w:b/>
          <w:i/>
        </w:rPr>
        <w:t>Insert the following paragraph after P145L1</w:t>
      </w:r>
      <w:r>
        <w:rPr>
          <w:b/>
          <w:i/>
        </w:rPr>
        <w:t>6</w:t>
      </w:r>
      <w:r w:rsidRPr="008C2E34">
        <w:rPr>
          <w:b/>
          <w:i/>
        </w:rPr>
        <w:t xml:space="preserve"> as follows:</w:t>
      </w:r>
    </w:p>
    <w:p w:rsidR="00180F7B" w:rsidRPr="00B91587" w:rsidRDefault="00180F7B">
      <w:pPr>
        <w:rPr>
          <w:b/>
        </w:rPr>
      </w:pPr>
    </w:p>
    <w:p w:rsidR="00B91587" w:rsidRDefault="00180F7B">
      <w:r w:rsidRPr="00180F7B">
        <w:t xml:space="preserve">For a STA requesting for the sync frame transmission with Time Slot Protection Request field set to 0, </w:t>
      </w:r>
      <w:r w:rsidR="009875B6">
        <w:t xml:space="preserve">the </w:t>
      </w:r>
      <w:r w:rsidRPr="00180F7B">
        <w:t>AP should not send a synch frame at each slot boundary within a RAW period if Cross-Slot Boundary transmission is not allowed within the RAW.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B3" w:rsidRDefault="001B03B3">
      <w:r>
        <w:separator/>
      </w:r>
    </w:p>
  </w:endnote>
  <w:endnote w:type="continuationSeparator" w:id="0">
    <w:p w:rsidR="001B03B3" w:rsidRDefault="001B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A709B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743E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743E8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B743E8">
        <w:t>Minyoung Park, Intel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B3" w:rsidRDefault="001B03B3">
      <w:r>
        <w:separator/>
      </w:r>
    </w:p>
  </w:footnote>
  <w:footnote w:type="continuationSeparator" w:id="0">
    <w:p w:rsidR="001B03B3" w:rsidRDefault="001B0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A709B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43E8">
        <w:t>July 2013</w:t>
      </w:r>
    </w:fldSimple>
    <w:r w:rsidR="0029020B">
      <w:tab/>
    </w:r>
    <w:r w:rsidR="0029020B">
      <w:tab/>
    </w:r>
    <w:fldSimple w:instr=" TITLE  \* MERGEFORMAT ">
      <w:r w:rsidR="00B743E8">
        <w:t>doc.: IEEE 802.11-13/0783r0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8270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812A08"/>
    <w:multiLevelType w:val="hybridMultilevel"/>
    <w:tmpl w:val="87A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EF"/>
    <w:rsid w:val="000328CD"/>
    <w:rsid w:val="0004500B"/>
    <w:rsid w:val="00051FE8"/>
    <w:rsid w:val="000A0111"/>
    <w:rsid w:val="000D33F6"/>
    <w:rsid w:val="0013152A"/>
    <w:rsid w:val="00151922"/>
    <w:rsid w:val="00180F7B"/>
    <w:rsid w:val="0018603B"/>
    <w:rsid w:val="001979C4"/>
    <w:rsid w:val="001B03B3"/>
    <w:rsid w:val="001B2702"/>
    <w:rsid w:val="001D723B"/>
    <w:rsid w:val="001D7B22"/>
    <w:rsid w:val="001F3BDD"/>
    <w:rsid w:val="002148EB"/>
    <w:rsid w:val="00217A87"/>
    <w:rsid w:val="002753FC"/>
    <w:rsid w:val="0029020B"/>
    <w:rsid w:val="00294597"/>
    <w:rsid w:val="002A2976"/>
    <w:rsid w:val="002B361D"/>
    <w:rsid w:val="002D44BE"/>
    <w:rsid w:val="003139C2"/>
    <w:rsid w:val="00320F45"/>
    <w:rsid w:val="00367D48"/>
    <w:rsid w:val="003C3EA8"/>
    <w:rsid w:val="003D7E19"/>
    <w:rsid w:val="004156A7"/>
    <w:rsid w:val="00435E36"/>
    <w:rsid w:val="00442037"/>
    <w:rsid w:val="00464A8D"/>
    <w:rsid w:val="00496071"/>
    <w:rsid w:val="004B064B"/>
    <w:rsid w:val="004F38FE"/>
    <w:rsid w:val="00505BC7"/>
    <w:rsid w:val="00516786"/>
    <w:rsid w:val="00522308"/>
    <w:rsid w:val="0052433D"/>
    <w:rsid w:val="005308A3"/>
    <w:rsid w:val="0053644F"/>
    <w:rsid w:val="005626B3"/>
    <w:rsid w:val="00597E54"/>
    <w:rsid w:val="005C6139"/>
    <w:rsid w:val="005E5850"/>
    <w:rsid w:val="006223CD"/>
    <w:rsid w:val="0062440B"/>
    <w:rsid w:val="00631DED"/>
    <w:rsid w:val="006415C8"/>
    <w:rsid w:val="00691F8C"/>
    <w:rsid w:val="006C0727"/>
    <w:rsid w:val="006E145F"/>
    <w:rsid w:val="00715F67"/>
    <w:rsid w:val="00756585"/>
    <w:rsid w:val="00770572"/>
    <w:rsid w:val="00772D7D"/>
    <w:rsid w:val="007B6A35"/>
    <w:rsid w:val="007F177A"/>
    <w:rsid w:val="0080540B"/>
    <w:rsid w:val="00805961"/>
    <w:rsid w:val="00811749"/>
    <w:rsid w:val="0082093E"/>
    <w:rsid w:val="00853DBC"/>
    <w:rsid w:val="00873EE6"/>
    <w:rsid w:val="008C0D6D"/>
    <w:rsid w:val="008C2E34"/>
    <w:rsid w:val="00916E7E"/>
    <w:rsid w:val="00945C3F"/>
    <w:rsid w:val="00952CB7"/>
    <w:rsid w:val="00953EEC"/>
    <w:rsid w:val="00961D55"/>
    <w:rsid w:val="009743CA"/>
    <w:rsid w:val="009875B6"/>
    <w:rsid w:val="009A2A8A"/>
    <w:rsid w:val="009A70ED"/>
    <w:rsid w:val="009F2FBC"/>
    <w:rsid w:val="00A005A4"/>
    <w:rsid w:val="00A0234F"/>
    <w:rsid w:val="00A13604"/>
    <w:rsid w:val="00A141F6"/>
    <w:rsid w:val="00A17806"/>
    <w:rsid w:val="00A44146"/>
    <w:rsid w:val="00A709BE"/>
    <w:rsid w:val="00A71F3C"/>
    <w:rsid w:val="00A73339"/>
    <w:rsid w:val="00AA427C"/>
    <w:rsid w:val="00AC2493"/>
    <w:rsid w:val="00B366FF"/>
    <w:rsid w:val="00B743E8"/>
    <w:rsid w:val="00B746DF"/>
    <w:rsid w:val="00B91587"/>
    <w:rsid w:val="00BA3518"/>
    <w:rsid w:val="00BC019B"/>
    <w:rsid w:val="00BE68C2"/>
    <w:rsid w:val="00BF0885"/>
    <w:rsid w:val="00C202E4"/>
    <w:rsid w:val="00C864F5"/>
    <w:rsid w:val="00CA09B2"/>
    <w:rsid w:val="00CA2C75"/>
    <w:rsid w:val="00CA7B1A"/>
    <w:rsid w:val="00CB55EC"/>
    <w:rsid w:val="00D03F3D"/>
    <w:rsid w:val="00D201DF"/>
    <w:rsid w:val="00D4496F"/>
    <w:rsid w:val="00D505FB"/>
    <w:rsid w:val="00D97FEF"/>
    <w:rsid w:val="00DA3E53"/>
    <w:rsid w:val="00DC5A7B"/>
    <w:rsid w:val="00DF466D"/>
    <w:rsid w:val="00E01F07"/>
    <w:rsid w:val="00E0359B"/>
    <w:rsid w:val="00E22753"/>
    <w:rsid w:val="00E51D2A"/>
    <w:rsid w:val="00E57C1F"/>
    <w:rsid w:val="00E72132"/>
    <w:rsid w:val="00E83A88"/>
    <w:rsid w:val="00E867E3"/>
    <w:rsid w:val="00EC544C"/>
    <w:rsid w:val="00EF2B17"/>
    <w:rsid w:val="00EF5473"/>
    <w:rsid w:val="00F06FE5"/>
    <w:rsid w:val="00F23989"/>
    <w:rsid w:val="00F349EF"/>
    <w:rsid w:val="00F456FB"/>
    <w:rsid w:val="00F45DF5"/>
    <w:rsid w:val="00F845B8"/>
    <w:rsid w:val="00F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743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74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EBA69B1944D1D8014DC9BEE2D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480E-B4EF-4910-8A57-DB86091FAB0E}"/>
      </w:docPartPr>
      <w:docPartBody>
        <w:p w:rsidR="00000000" w:rsidRDefault="007701E5">
          <w:r w:rsidRPr="007F7E3F">
            <w:rPr>
              <w:rStyle w:val="PlaceholderText"/>
            </w:rPr>
            <w:t>[Title]</w:t>
          </w:r>
        </w:p>
      </w:docPartBody>
    </w:docPart>
    <w:docPart>
      <w:docPartPr>
        <w:name w:val="47C067B03591452F80FBA975F8CD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B71F-6BF0-4103-8DFB-A2C9FE03CC18}"/>
      </w:docPartPr>
      <w:docPartBody>
        <w:p w:rsidR="00000000" w:rsidRDefault="007701E5" w:rsidP="007701E5">
          <w:pPr>
            <w:pStyle w:val="47C067B03591452F80FBA975F8CD37F1"/>
          </w:pPr>
          <w:r w:rsidRPr="007F7E3F">
            <w:rPr>
              <w:rStyle w:val="PlaceholderText"/>
            </w:rPr>
            <w:t>[Title]</w:t>
          </w:r>
        </w:p>
      </w:docPartBody>
    </w:docPart>
    <w:docPart>
      <w:docPartPr>
        <w:name w:val="09692590F6A744A5B28A6F4F720E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E235-1EEC-4C12-B90E-DDC2C6BD7FE5}"/>
      </w:docPartPr>
      <w:docPartBody>
        <w:p w:rsidR="00000000" w:rsidRDefault="007701E5" w:rsidP="007701E5">
          <w:pPr>
            <w:pStyle w:val="09692590F6A744A5B28A6F4F720E48A7"/>
          </w:pPr>
          <w:r w:rsidRPr="007F7E3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E5"/>
    <w:rsid w:val="00593C1D"/>
    <w:rsid w:val="007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1E5"/>
    <w:rPr>
      <w:color w:val="808080"/>
    </w:rPr>
  </w:style>
  <w:style w:type="paragraph" w:customStyle="1" w:styleId="47C067B03591452F80FBA975F8CD37F1">
    <w:name w:val="47C067B03591452F80FBA975F8CD37F1"/>
    <w:rsid w:val="007701E5"/>
  </w:style>
  <w:style w:type="paragraph" w:customStyle="1" w:styleId="09692590F6A744A5B28A6F4F720E48A7">
    <w:name w:val="09692590F6A744A5B28A6F4F720E48A7"/>
    <w:rsid w:val="007701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1E5"/>
    <w:rPr>
      <w:color w:val="808080"/>
    </w:rPr>
  </w:style>
  <w:style w:type="paragraph" w:customStyle="1" w:styleId="47C067B03591452F80FBA975F8CD37F1">
    <w:name w:val="47C067B03591452F80FBA975F8CD37F1"/>
    <w:rsid w:val="007701E5"/>
  </w:style>
  <w:style w:type="paragraph" w:customStyle="1" w:styleId="09692590F6A744A5B28A6F4F720E48A7">
    <w:name w:val="09692590F6A744A5B28A6F4F720E48A7"/>
    <w:rsid w:val="00770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3AD7-961B-4FFC-AA20-028F8E14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802.11-13/0783r0</vt:lpstr>
    </vt:vector>
  </TitlesOfParts>
  <Company>Some Company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802.11-13/0783r0</dc:title>
  <dc:subject>Submission</dc:subject>
  <dc:creator>mpark1</dc:creator>
  <cp:keywords>July 2013</cp:keywords>
  <dc:description>Minyoung Park, Intel Corporation</dc:description>
  <cp:lastModifiedBy>mpark1</cp:lastModifiedBy>
  <cp:revision>2</cp:revision>
  <cp:lastPrinted>2013-07-02T22:14:00Z</cp:lastPrinted>
  <dcterms:created xsi:type="dcterms:W3CDTF">2013-07-13T20:22:00Z</dcterms:created>
  <dcterms:modified xsi:type="dcterms:W3CDTF">2013-07-13T20:22:00Z</dcterms:modified>
</cp:coreProperties>
</file>