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BB5140">
            <w:pPr>
              <w:pStyle w:val="T2"/>
            </w:pPr>
            <w:r>
              <w:t>Authentication State Machine for FILS</w:t>
            </w:r>
          </w:p>
        </w:tc>
      </w:tr>
      <w:tr w:rsidR="00CA09B2">
        <w:trPr>
          <w:trHeight w:val="359"/>
          <w:jc w:val="center"/>
        </w:trPr>
        <w:tc>
          <w:tcPr>
            <w:tcW w:w="9576" w:type="dxa"/>
            <w:gridSpan w:val="5"/>
            <w:vAlign w:val="center"/>
          </w:tcPr>
          <w:p w:rsidR="00CA09B2" w:rsidRDefault="00CA09B2" w:rsidP="00BB5140">
            <w:pPr>
              <w:pStyle w:val="T2"/>
              <w:ind w:left="0"/>
              <w:rPr>
                <w:sz w:val="20"/>
              </w:rPr>
            </w:pPr>
            <w:r>
              <w:rPr>
                <w:sz w:val="20"/>
              </w:rPr>
              <w:t>Date:</w:t>
            </w:r>
            <w:r>
              <w:rPr>
                <w:b w:val="0"/>
                <w:sz w:val="20"/>
              </w:rPr>
              <w:t xml:space="preserve">  </w:t>
            </w:r>
            <w:r w:rsidR="00BB5140">
              <w:rPr>
                <w:b w:val="0"/>
                <w:sz w:val="20"/>
              </w:rPr>
              <w:t>2013-06-05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C5597">
            <w:pPr>
              <w:pStyle w:val="T2"/>
              <w:spacing w:after="0"/>
              <w:ind w:left="0" w:right="0"/>
              <w:rPr>
                <w:b w:val="0"/>
                <w:sz w:val="20"/>
              </w:rPr>
            </w:pPr>
            <w:r>
              <w:rPr>
                <w:b w:val="0"/>
                <w:sz w:val="20"/>
              </w:rPr>
              <w:t>Rob Sun</w:t>
            </w:r>
          </w:p>
          <w:p w:rsidR="00DC5597" w:rsidRDefault="00DC5597">
            <w:pPr>
              <w:pStyle w:val="T2"/>
              <w:spacing w:after="0"/>
              <w:ind w:left="0" w:right="0"/>
              <w:rPr>
                <w:b w:val="0"/>
                <w:sz w:val="20"/>
              </w:rPr>
            </w:pPr>
          </w:p>
        </w:tc>
        <w:tc>
          <w:tcPr>
            <w:tcW w:w="2064" w:type="dxa"/>
            <w:vAlign w:val="center"/>
          </w:tcPr>
          <w:p w:rsidR="00CA09B2" w:rsidRDefault="00DC5597">
            <w:pPr>
              <w:pStyle w:val="T2"/>
              <w:spacing w:after="0"/>
              <w:ind w:left="0" w:right="0"/>
              <w:rPr>
                <w:b w:val="0"/>
                <w:sz w:val="20"/>
              </w:rPr>
            </w:pPr>
            <w:r>
              <w:rPr>
                <w:b w:val="0"/>
                <w:sz w:val="20"/>
              </w:rPr>
              <w:t>Huawei Technology</w:t>
            </w:r>
          </w:p>
        </w:tc>
        <w:tc>
          <w:tcPr>
            <w:tcW w:w="2814" w:type="dxa"/>
            <w:vAlign w:val="center"/>
          </w:tcPr>
          <w:p w:rsidR="00CA09B2" w:rsidRDefault="00DC5597">
            <w:pPr>
              <w:pStyle w:val="T2"/>
              <w:spacing w:after="0"/>
              <w:ind w:left="0" w:right="0"/>
              <w:rPr>
                <w:b w:val="0"/>
                <w:sz w:val="20"/>
              </w:rPr>
            </w:pPr>
            <w:r>
              <w:rPr>
                <w:b w:val="0"/>
                <w:sz w:val="20"/>
              </w:rPr>
              <w:t xml:space="preserve">Suite 400, 303 Terry Fox drive, </w:t>
            </w:r>
          </w:p>
          <w:p w:rsidR="00DC5597" w:rsidRDefault="00DC5597">
            <w:pPr>
              <w:pStyle w:val="T2"/>
              <w:spacing w:after="0"/>
              <w:ind w:left="0" w:right="0"/>
              <w:rPr>
                <w:b w:val="0"/>
                <w:sz w:val="20"/>
              </w:rPr>
            </w:pPr>
            <w:r>
              <w:rPr>
                <w:b w:val="0"/>
                <w:sz w:val="20"/>
              </w:rPr>
              <w:t>Kanata, On</w:t>
            </w:r>
          </w:p>
        </w:tc>
        <w:tc>
          <w:tcPr>
            <w:tcW w:w="1715" w:type="dxa"/>
            <w:vAlign w:val="center"/>
          </w:tcPr>
          <w:p w:rsidR="00CA09B2" w:rsidRDefault="004454A0" w:rsidP="00DC5597">
            <w:pPr>
              <w:pStyle w:val="T2"/>
              <w:spacing w:after="0"/>
              <w:ind w:left="0" w:right="0"/>
              <w:rPr>
                <w:b w:val="0"/>
                <w:sz w:val="20"/>
              </w:rPr>
            </w:pPr>
            <w:r>
              <w:rPr>
                <w:b w:val="0"/>
                <w:sz w:val="20"/>
              </w:rPr>
              <w:t xml:space="preserve">+1 </w:t>
            </w:r>
            <w:r w:rsidR="00DC5597">
              <w:rPr>
                <w:b w:val="0"/>
                <w:sz w:val="20"/>
              </w:rPr>
              <w:t>613 2781948</w:t>
            </w:r>
          </w:p>
        </w:tc>
        <w:tc>
          <w:tcPr>
            <w:tcW w:w="1647" w:type="dxa"/>
            <w:vAlign w:val="center"/>
          </w:tcPr>
          <w:p w:rsidR="00CA09B2" w:rsidRDefault="00DC5597">
            <w:pPr>
              <w:pStyle w:val="T2"/>
              <w:spacing w:after="0"/>
              <w:ind w:left="0" w:right="0"/>
              <w:rPr>
                <w:b w:val="0"/>
                <w:sz w:val="16"/>
              </w:rPr>
            </w:pPr>
            <w:r>
              <w:rPr>
                <w:b w:val="0"/>
                <w:sz w:val="16"/>
              </w:rPr>
              <w:t>Rob.sun@huawei.com</w:t>
            </w:r>
            <w:r w:rsidR="004454A0">
              <w:rPr>
                <w:b w:val="0"/>
                <w:sz w:val="16"/>
              </w:rPr>
              <w:t xml:space="preserve"> </w:t>
            </w:r>
          </w:p>
        </w:tc>
      </w:tr>
      <w:tr w:rsidR="005E56F3">
        <w:trPr>
          <w:jc w:val="center"/>
        </w:trPr>
        <w:tc>
          <w:tcPr>
            <w:tcW w:w="1336" w:type="dxa"/>
            <w:vAlign w:val="center"/>
          </w:tcPr>
          <w:p w:rsidR="005E56F3" w:rsidRDefault="005E56F3">
            <w:pPr>
              <w:pStyle w:val="T2"/>
              <w:spacing w:after="0"/>
              <w:ind w:left="0" w:right="0"/>
              <w:rPr>
                <w:b w:val="0"/>
                <w:sz w:val="20"/>
              </w:rPr>
            </w:pPr>
            <w:r>
              <w:rPr>
                <w:b w:val="0"/>
                <w:sz w:val="20"/>
                <w:lang w:val="fi-FI"/>
              </w:rPr>
              <w:t>Lei Wang</w:t>
            </w:r>
          </w:p>
        </w:tc>
        <w:tc>
          <w:tcPr>
            <w:tcW w:w="2064" w:type="dxa"/>
            <w:vAlign w:val="center"/>
          </w:tcPr>
          <w:p w:rsidR="005E56F3" w:rsidRDefault="005E56F3">
            <w:pPr>
              <w:pStyle w:val="T2"/>
              <w:spacing w:after="0"/>
              <w:ind w:left="0" w:right="0"/>
              <w:rPr>
                <w:b w:val="0"/>
                <w:sz w:val="20"/>
              </w:rPr>
            </w:pPr>
            <w:r>
              <w:rPr>
                <w:b w:val="0"/>
                <w:sz w:val="20"/>
              </w:rPr>
              <w:t>InterDigital Communications</w:t>
            </w:r>
          </w:p>
        </w:tc>
        <w:tc>
          <w:tcPr>
            <w:tcW w:w="2814" w:type="dxa"/>
            <w:vAlign w:val="center"/>
          </w:tcPr>
          <w:p w:rsidR="005E56F3" w:rsidRDefault="005E56F3">
            <w:pPr>
              <w:pStyle w:val="T2"/>
              <w:spacing w:after="0"/>
              <w:ind w:left="0" w:right="0"/>
              <w:rPr>
                <w:b w:val="0"/>
                <w:sz w:val="20"/>
              </w:rPr>
            </w:pPr>
            <w:r w:rsidRPr="00545E0E">
              <w:rPr>
                <w:b w:val="0"/>
                <w:sz w:val="20"/>
              </w:rPr>
              <w:t>781 Third Ave.</w:t>
            </w:r>
            <w:r>
              <w:rPr>
                <w:b w:val="0"/>
                <w:sz w:val="20"/>
              </w:rPr>
              <w:t xml:space="preserve">, </w:t>
            </w:r>
            <w:r w:rsidRPr="00545E0E">
              <w:rPr>
                <w:b w:val="0"/>
                <w:sz w:val="20"/>
              </w:rPr>
              <w:t>King of Prussia, PA 19406</w:t>
            </w:r>
          </w:p>
        </w:tc>
        <w:tc>
          <w:tcPr>
            <w:tcW w:w="1715" w:type="dxa"/>
            <w:vAlign w:val="center"/>
          </w:tcPr>
          <w:p w:rsidR="005E56F3" w:rsidRDefault="005E56F3">
            <w:pPr>
              <w:pStyle w:val="T2"/>
              <w:spacing w:after="0"/>
              <w:ind w:left="0" w:right="0"/>
              <w:rPr>
                <w:b w:val="0"/>
                <w:sz w:val="20"/>
              </w:rPr>
            </w:pPr>
            <w:r>
              <w:rPr>
                <w:b w:val="0"/>
                <w:sz w:val="20"/>
              </w:rPr>
              <w:t>1 858 205 7286</w:t>
            </w:r>
          </w:p>
        </w:tc>
        <w:tc>
          <w:tcPr>
            <w:tcW w:w="1647" w:type="dxa"/>
            <w:vAlign w:val="center"/>
          </w:tcPr>
          <w:p w:rsidR="005E56F3" w:rsidRDefault="005E56F3">
            <w:pPr>
              <w:pStyle w:val="T2"/>
              <w:spacing w:after="0"/>
              <w:ind w:left="0" w:right="0"/>
              <w:rPr>
                <w:b w:val="0"/>
                <w:sz w:val="16"/>
              </w:rPr>
            </w:pPr>
            <w:r>
              <w:rPr>
                <w:b w:val="0"/>
                <w:sz w:val="16"/>
              </w:rPr>
              <w:t>leiw@billeigean.com</w:t>
            </w:r>
          </w:p>
        </w:tc>
      </w:tr>
    </w:tbl>
    <w:p w:rsidR="00CA09B2" w:rsidRDefault="009B4171">
      <w:pPr>
        <w:pStyle w:val="T1"/>
        <w:spacing w:after="120"/>
        <w:rPr>
          <w:sz w:val="22"/>
        </w:rPr>
      </w:pPr>
      <w:r w:rsidRPr="009B4171">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DD1797" w:rsidRDefault="00DD1797">
                  <w:pPr>
                    <w:pStyle w:val="T1"/>
                    <w:spacing w:after="120"/>
                  </w:pPr>
                  <w:r>
                    <w:t>Abstract</w:t>
                  </w:r>
                </w:p>
                <w:p w:rsidR="00DD1797" w:rsidRDefault="00C90881">
                  <w:pPr>
                    <w:jc w:val="both"/>
                  </w:pPr>
                  <w:r>
                    <w:t xml:space="preserve">This document presents suggested </w:t>
                  </w:r>
                  <w:r w:rsidR="00251BF4">
                    <w:t>proposal towards</w:t>
                  </w:r>
                  <w:r w:rsidR="00DC5597">
                    <w:t xml:space="preserve"> </w:t>
                  </w:r>
                  <w:r w:rsidR="00251BF4">
                    <w:t xml:space="preserve">CID 1238 and CID </w:t>
                  </w:r>
                  <w:r w:rsidR="000B4A51">
                    <w:t xml:space="preserve">1010 </w:t>
                  </w:r>
                  <w:r w:rsidR="00DC5597">
                    <w:t>for TGai</w:t>
                  </w:r>
                  <w:r w:rsidR="000B4A51">
                    <w:t>. The proposal also included updated state machine (CID 1239 which was concluded during May, 2013 meeting) as per the most recent update from P802.11REVmb_D1.4</w:t>
                  </w:r>
                </w:p>
              </w:txbxContent>
            </v:textbox>
          </v:shape>
        </w:pict>
      </w:r>
    </w:p>
    <w:p w:rsidR="004972D2" w:rsidRDefault="004972D2">
      <w:pPr>
        <w:rPr>
          <w:b/>
          <w:i/>
          <w:sz w:val="20"/>
        </w:rPr>
      </w:pPr>
      <w:r>
        <w:rPr>
          <w:b/>
          <w:i/>
          <w:sz w:val="20"/>
        </w:rPr>
        <w:t xml:space="preserve">Modify </w:t>
      </w:r>
      <w:r w:rsidR="00C90881">
        <w:rPr>
          <w:b/>
          <w:i/>
          <w:sz w:val="20"/>
        </w:rPr>
        <w:t xml:space="preserve">the following definition into </w:t>
      </w:r>
      <w:r>
        <w:rPr>
          <w:b/>
          <w:i/>
          <w:sz w:val="20"/>
        </w:rPr>
        <w:t>1</w:t>
      </w:r>
      <w:r w:rsidR="000C732A">
        <w:rPr>
          <w:b/>
          <w:i/>
          <w:sz w:val="20"/>
        </w:rPr>
        <w:t>0.3.1</w:t>
      </w:r>
      <w:r>
        <w:rPr>
          <w:b/>
          <w:i/>
          <w:sz w:val="20"/>
        </w:rPr>
        <w:t xml:space="preserve"> as </w:t>
      </w:r>
      <w:r w:rsidR="006E561C">
        <w:rPr>
          <w:b/>
          <w:i/>
          <w:sz w:val="20"/>
        </w:rPr>
        <w:t>highlighted in red texts</w:t>
      </w:r>
      <w:r>
        <w:rPr>
          <w:b/>
          <w:i/>
          <w:sz w:val="20"/>
        </w:rPr>
        <w:t>:</w:t>
      </w:r>
    </w:p>
    <w:p w:rsidR="004972D2" w:rsidRDefault="004972D2" w:rsidP="004972D2">
      <w:pPr>
        <w:autoSpaceDE w:val="0"/>
        <w:autoSpaceDN w:val="0"/>
        <w:adjustRightInd w:val="0"/>
        <w:rPr>
          <w:rFonts w:ascii="TimesNewRoman" w:hAnsi="TimesNewRoman" w:cs="TimesNewRoman"/>
          <w:sz w:val="20"/>
          <w:lang w:val="en-CA"/>
        </w:rPr>
      </w:pPr>
    </w:p>
    <w:p w:rsidR="00A54DE1" w:rsidRDefault="00A54DE1" w:rsidP="00C70B53">
      <w:pPr>
        <w:jc w:val="center"/>
        <w:rPr>
          <w:lang w:val="en-US"/>
        </w:rPr>
      </w:pPr>
    </w:p>
    <w:p w:rsidR="00A91C76" w:rsidRPr="00ED488F" w:rsidRDefault="00A91C76" w:rsidP="00FC0DF3">
      <w:pPr>
        <w:pStyle w:val="ListParagraph"/>
        <w:ind w:left="405"/>
        <w:rPr>
          <w:lang w:val="en-US"/>
        </w:rPr>
      </w:pPr>
    </w:p>
    <w:p w:rsidR="00FC4C5D" w:rsidRDefault="00FC4C5D" w:rsidP="00FC4C5D">
      <w:pPr>
        <w:pStyle w:val="H2"/>
        <w:numPr>
          <w:ilvl w:val="0"/>
          <w:numId w:val="54"/>
        </w:numPr>
        <w:rPr>
          <w:w w:val="100"/>
        </w:rPr>
      </w:pPr>
      <w:r>
        <w:rPr>
          <w:w w:val="100"/>
        </w:rPr>
        <w:t>STA authentication and association</w:t>
      </w:r>
      <w:r w:rsidR="00C25406">
        <w:rPr>
          <w:w w:val="100"/>
        </w:rPr>
        <w:t xml:space="preserve">    </w:t>
      </w: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Default="00C25406" w:rsidP="00C25406">
      <w:pPr>
        <w:pStyle w:val="T"/>
      </w:pPr>
    </w:p>
    <w:p w:rsidR="00C25406" w:rsidRPr="00C25406" w:rsidRDefault="00C25406" w:rsidP="00C25406">
      <w:pPr>
        <w:rPr>
          <w:b/>
          <w:i/>
          <w:color w:val="FF0000"/>
          <w:sz w:val="20"/>
        </w:rPr>
      </w:pPr>
      <w:r w:rsidRPr="00C25406">
        <w:rPr>
          <w:b/>
          <w:i/>
          <w:color w:val="FF0000"/>
          <w:sz w:val="20"/>
        </w:rPr>
        <w:lastRenderedPageBreak/>
        <w:t>Modify the following definition into 10.3.1 as highlighted in red texts:</w:t>
      </w:r>
    </w:p>
    <w:p w:rsidR="00C25406" w:rsidRPr="00C25406" w:rsidRDefault="00C25406" w:rsidP="00C25406">
      <w:pPr>
        <w:pStyle w:val="T"/>
        <w:rPr>
          <w:lang w:val="en-GB"/>
        </w:rPr>
      </w:pPr>
    </w:p>
    <w:p w:rsidR="00C25406" w:rsidRDefault="00C25406" w:rsidP="00C25406">
      <w:pPr>
        <w:pStyle w:val="T"/>
      </w:pPr>
    </w:p>
    <w:p w:rsidR="00C25406" w:rsidRDefault="00C25406" w:rsidP="00C25406">
      <w:pPr>
        <w:pStyle w:val="H2"/>
        <w:numPr>
          <w:ilvl w:val="0"/>
          <w:numId w:val="54"/>
        </w:numPr>
        <w:rPr>
          <w:w w:val="100"/>
        </w:rPr>
      </w:pPr>
      <w:r>
        <w:rPr>
          <w:w w:val="100"/>
        </w:rPr>
        <w:t>STA authentication and association</w:t>
      </w:r>
    </w:p>
    <w:p w:rsidR="00C25406" w:rsidRPr="00C25406" w:rsidRDefault="00C25406" w:rsidP="00C25406">
      <w:pPr>
        <w:pStyle w:val="T"/>
      </w:pPr>
    </w:p>
    <w:p w:rsidR="00FC4C5D" w:rsidRDefault="00FC4C5D" w:rsidP="00FC4C5D">
      <w:pPr>
        <w:pStyle w:val="H3"/>
        <w:numPr>
          <w:ilvl w:val="0"/>
          <w:numId w:val="55"/>
        </w:numPr>
        <w:rPr>
          <w:w w:val="100"/>
        </w:rPr>
      </w:pPr>
      <w:r>
        <w:rPr>
          <w:w w:val="100"/>
        </w:rPr>
        <w:t>State variables</w:t>
      </w:r>
    </w:p>
    <w:p w:rsidR="00FC4C5D" w:rsidRDefault="00FC4C5D" w:rsidP="00FC4C5D">
      <w:pPr>
        <w:pStyle w:val="T"/>
        <w:rPr>
          <w:w w:val="100"/>
        </w:rPr>
      </w:pPr>
      <w:r>
        <w:rPr>
          <w:w w:val="100"/>
        </w:rPr>
        <w:t>A STA (local) for which dot11OCBActivated is false keeps an enumerated state variable for each STA (remote) with which direct communication via the WM is needed. In this context, direct communication refers to the transmission of any class 2 or class 3 frame with an Address 1 field that matches the MAC address of the remote STA.</w:t>
      </w:r>
    </w:p>
    <w:p w:rsidR="00FC4C5D" w:rsidRPr="00BB5140" w:rsidRDefault="00FC4C5D" w:rsidP="00FC4C5D">
      <w:pPr>
        <w:pStyle w:val="T"/>
        <w:rPr>
          <w:color w:val="FF0000"/>
          <w:w w:val="100"/>
        </w:rPr>
      </w:pPr>
      <w:r w:rsidRPr="00BB5140">
        <w:rPr>
          <w:color w:val="FF0000"/>
          <w:w w:val="100"/>
        </w:rPr>
        <w:t xml:space="preserve">A </w:t>
      </w:r>
      <w:r w:rsidR="006E7CEE">
        <w:rPr>
          <w:color w:val="FF0000"/>
          <w:w w:val="100"/>
        </w:rPr>
        <w:t xml:space="preserve">FILS </w:t>
      </w:r>
      <w:r w:rsidRPr="00BB5140">
        <w:rPr>
          <w:color w:val="FF0000"/>
          <w:w w:val="100"/>
        </w:rPr>
        <w:t xml:space="preserve">STA for which </w:t>
      </w:r>
      <w:r w:rsidR="00BB5140" w:rsidRPr="00BB5140">
        <w:rPr>
          <w:color w:val="FF0000"/>
          <w:w w:val="100"/>
        </w:rPr>
        <w:t>dot11OCBActivated is false</w:t>
      </w:r>
      <w:r w:rsidRPr="00BB5140">
        <w:rPr>
          <w:color w:val="FF0000"/>
          <w:w w:val="100"/>
        </w:rPr>
        <w:t xml:space="preserve"> </w:t>
      </w:r>
      <w:r w:rsidR="00C03A74">
        <w:rPr>
          <w:color w:val="FF0000"/>
          <w:w w:val="100"/>
        </w:rPr>
        <w:t xml:space="preserve">and dot11FILSActivated is true </w:t>
      </w:r>
      <w:r w:rsidRPr="00BB5140">
        <w:rPr>
          <w:color w:val="FF0000"/>
          <w:w w:val="100"/>
        </w:rPr>
        <w:t xml:space="preserve">uses the state transition as described in section 10.3.2, in which the STA keeps </w:t>
      </w:r>
      <w:r w:rsidR="005C4D96">
        <w:rPr>
          <w:color w:val="FF0000"/>
          <w:w w:val="100"/>
        </w:rPr>
        <w:t>an</w:t>
      </w:r>
      <w:r w:rsidRPr="00BB5140">
        <w:rPr>
          <w:color w:val="FF0000"/>
          <w:w w:val="100"/>
        </w:rPr>
        <w:t xml:space="preserve"> </w:t>
      </w:r>
      <w:r w:rsidR="005C4D96">
        <w:rPr>
          <w:color w:val="FF0000"/>
          <w:w w:val="100"/>
        </w:rPr>
        <w:t>en</w:t>
      </w:r>
      <w:r w:rsidRPr="00BB5140">
        <w:rPr>
          <w:color w:val="FF0000"/>
          <w:w w:val="100"/>
        </w:rPr>
        <w:t xml:space="preserve">umerated state variable. </w:t>
      </w:r>
    </w:p>
    <w:p w:rsidR="00FC4C5D" w:rsidRDefault="00FC4C5D" w:rsidP="00FC4C5D">
      <w:pPr>
        <w:pStyle w:val="T"/>
        <w:rPr>
          <w:w w:val="100"/>
        </w:rPr>
      </w:pPr>
      <w:r>
        <w:rPr>
          <w:w w:val="100"/>
        </w:rPr>
        <w:t xml:space="preserve">A STA for which dot11MeshActivated is true (i.e., a mesh STA) does not use procedures described in </w:t>
      </w:r>
      <w:r w:rsidR="009B4171">
        <w:rPr>
          <w:w w:val="100"/>
        </w:rPr>
        <w:fldChar w:fldCharType="begin"/>
      </w:r>
      <w:r>
        <w:rPr>
          <w:w w:val="100"/>
        </w:rPr>
        <w:instrText xml:space="preserve"> REF  RTF36313736343a2048322c312e \h</w:instrText>
      </w:r>
      <w:r w:rsidR="009B4171">
        <w:rPr>
          <w:w w:val="100"/>
        </w:rPr>
      </w:r>
      <w:r w:rsidR="009B4171">
        <w:rPr>
          <w:w w:val="100"/>
        </w:rPr>
        <w:fldChar w:fldCharType="separate"/>
      </w:r>
      <w:r>
        <w:rPr>
          <w:w w:val="100"/>
        </w:rPr>
        <w:t xml:space="preserve">10.3.5 (Association, </w:t>
      </w:r>
      <w:proofErr w:type="spellStart"/>
      <w:r>
        <w:rPr>
          <w:w w:val="100"/>
        </w:rPr>
        <w:t>reassociation</w:t>
      </w:r>
      <w:proofErr w:type="spellEnd"/>
      <w:r>
        <w:rPr>
          <w:w w:val="100"/>
        </w:rPr>
        <w:t>, and disassociation)</w:t>
      </w:r>
      <w:r w:rsidR="009B4171">
        <w:rPr>
          <w:w w:val="100"/>
        </w:rPr>
        <w:fldChar w:fldCharType="end"/>
      </w:r>
      <w:r>
        <w:rPr>
          <w:w w:val="100"/>
        </w:rPr>
        <w:t>. Instead, a mesh STA uses a mesh peering management protocol (MPM) or a authenticated mesh peering exchange (AMPE) to manage states and state variables for each peer STA. See 13.3 (Mesh peering management (MPM)) and 13.5 (Authenticated mesh peering exchange (AMPE)) for details.</w:t>
      </w:r>
    </w:p>
    <w:p w:rsidR="00FC4C5D" w:rsidRDefault="00FC4C5D" w:rsidP="00FC4C5D">
      <w:pPr>
        <w:pStyle w:val="T"/>
        <w:rPr>
          <w:w w:val="100"/>
        </w:rPr>
      </w:pPr>
      <w:r>
        <w:rPr>
          <w:w w:val="100"/>
        </w:rPr>
        <w:t>A STA for which dot11OCBActivated is true does not use MAC sublayer authentication or association and does not keep this state variable.</w:t>
      </w:r>
    </w:p>
    <w:p w:rsidR="00FC4C5D" w:rsidRDefault="00FC4C5D" w:rsidP="00FC4C5D">
      <w:pPr>
        <w:pStyle w:val="T"/>
        <w:rPr>
          <w:w w:val="100"/>
        </w:rPr>
      </w:pPr>
      <w:r>
        <w:rPr>
          <w:w w:val="100"/>
        </w:rPr>
        <w:t>For nonmesh STAs, this state variable expresses the relationship between the local STA and the remote STA. It takes on the following values:</w:t>
      </w:r>
    </w:p>
    <w:p w:rsidR="00FC4C5D" w:rsidRDefault="00FC4C5D" w:rsidP="00FC4C5D">
      <w:pPr>
        <w:pStyle w:val="DL"/>
        <w:numPr>
          <w:ilvl w:val="0"/>
          <w:numId w:val="42"/>
        </w:numPr>
        <w:ind w:left="640" w:hanging="440"/>
        <w:rPr>
          <w:w w:val="100"/>
        </w:rPr>
      </w:pPr>
      <w:r>
        <w:rPr>
          <w:i/>
          <w:iCs/>
          <w:w w:val="100"/>
        </w:rPr>
        <w:t>State 1:</w:t>
      </w:r>
      <w:r>
        <w:rPr>
          <w:w w:val="100"/>
        </w:rPr>
        <w:t xml:space="preserve"> Initial start state for non-DMG STAs.(11ad) Unauthenticated, unassociated. State 1 is not used by DMG STAs.(11ad)</w:t>
      </w:r>
    </w:p>
    <w:p w:rsidR="00FC4C5D" w:rsidRDefault="00FC4C5D" w:rsidP="00FC4C5D">
      <w:pPr>
        <w:pStyle w:val="DL"/>
        <w:numPr>
          <w:ilvl w:val="0"/>
          <w:numId w:val="42"/>
        </w:numPr>
        <w:ind w:left="640" w:hanging="440"/>
        <w:rPr>
          <w:w w:val="100"/>
        </w:rPr>
      </w:pPr>
      <w:r>
        <w:rPr>
          <w:i/>
          <w:iCs/>
          <w:w w:val="100"/>
        </w:rPr>
        <w:t>State 2:</w:t>
      </w:r>
      <w:r>
        <w:rPr>
          <w:w w:val="100"/>
        </w:rPr>
        <w:t xml:space="preserve"> Initial start state for DMG STAs.(11ad) Authenticated (non-DMG STAs only)(11ad), not associated.</w:t>
      </w:r>
    </w:p>
    <w:p w:rsidR="00FC4C5D" w:rsidRDefault="00FC4C5D" w:rsidP="00FC4C5D">
      <w:pPr>
        <w:pStyle w:val="DL"/>
        <w:numPr>
          <w:ilvl w:val="0"/>
          <w:numId w:val="42"/>
        </w:numPr>
        <w:ind w:left="640" w:hanging="440"/>
        <w:rPr>
          <w:w w:val="100"/>
        </w:rPr>
      </w:pPr>
      <w:r>
        <w:rPr>
          <w:i/>
          <w:iCs/>
          <w:w w:val="100"/>
        </w:rPr>
        <w:t>State 3:</w:t>
      </w:r>
      <w:r>
        <w:rPr>
          <w:w w:val="100"/>
        </w:rPr>
        <w:t xml:space="preserve"> Authenticated (non-DMG STAs only)(11ad) and associated (Pending RSN Authentication).</w:t>
      </w:r>
    </w:p>
    <w:p w:rsidR="00FC4C5D" w:rsidRDefault="00FC4C5D" w:rsidP="00FC4C5D">
      <w:pPr>
        <w:pStyle w:val="DL"/>
        <w:numPr>
          <w:ilvl w:val="0"/>
          <w:numId w:val="42"/>
        </w:numPr>
        <w:ind w:left="640" w:hanging="440"/>
        <w:rPr>
          <w:w w:val="100"/>
        </w:rPr>
      </w:pPr>
      <w:r>
        <w:rPr>
          <w:i/>
          <w:iCs/>
          <w:w w:val="100"/>
        </w:rPr>
        <w:t>State 4:</w:t>
      </w:r>
      <w:r>
        <w:rPr>
          <w:w w:val="100"/>
        </w:rPr>
        <w:t xml:space="preserve"> For Infrastructure BSS and PBSS only, RSNA Established or Not Required.(11ad)</w:t>
      </w:r>
    </w:p>
    <w:p w:rsidR="00FC4C5D" w:rsidRPr="00BB5140" w:rsidRDefault="00FC4C5D" w:rsidP="00FC4C5D">
      <w:pPr>
        <w:pStyle w:val="DL"/>
        <w:numPr>
          <w:ilvl w:val="0"/>
          <w:numId w:val="42"/>
        </w:numPr>
        <w:ind w:left="640" w:hanging="440"/>
        <w:rPr>
          <w:color w:val="FF0000"/>
          <w:w w:val="100"/>
        </w:rPr>
      </w:pPr>
      <w:r w:rsidRPr="00BB5140">
        <w:rPr>
          <w:i/>
          <w:iCs/>
          <w:color w:val="FF0000"/>
          <w:w w:val="100"/>
        </w:rPr>
        <w:t>State 5:</w:t>
      </w:r>
      <w:r w:rsidRPr="00BB5140">
        <w:rPr>
          <w:color w:val="FF0000"/>
          <w:w w:val="100"/>
        </w:rPr>
        <w:t xml:space="preserve"> FILS authenticated and unassociated. State 5 is designed for </w:t>
      </w:r>
      <w:r w:rsidR="005C4D96">
        <w:rPr>
          <w:color w:val="FF0000"/>
          <w:w w:val="100"/>
        </w:rPr>
        <w:t xml:space="preserve">the </w:t>
      </w:r>
      <w:r w:rsidRPr="00BB5140">
        <w:rPr>
          <w:color w:val="FF0000"/>
          <w:w w:val="100"/>
        </w:rPr>
        <w:t xml:space="preserve">FILS authentication and </w:t>
      </w:r>
      <w:r w:rsidR="006E7CEE">
        <w:rPr>
          <w:color w:val="FF0000"/>
          <w:w w:val="100"/>
        </w:rPr>
        <w:t xml:space="preserve">FILS </w:t>
      </w:r>
      <w:r w:rsidRPr="00BB5140">
        <w:rPr>
          <w:color w:val="FF0000"/>
          <w:w w:val="100"/>
        </w:rPr>
        <w:t xml:space="preserve">association protocol </w:t>
      </w:r>
    </w:p>
    <w:p w:rsidR="00FC4C5D" w:rsidRDefault="00FC4C5D" w:rsidP="00FC4C5D">
      <w:pPr>
        <w:pStyle w:val="T"/>
        <w:rPr>
          <w:w w:val="100"/>
        </w:rPr>
      </w:pPr>
      <w:r>
        <w:rPr>
          <w:w w:val="100"/>
        </w:rPr>
        <w:t>State 1 is not used by DMG STAs, and the state machine starts in State 2.(11ad)</w:t>
      </w:r>
    </w:p>
    <w:p w:rsidR="00FC4C5D" w:rsidRDefault="00FC4C5D" w:rsidP="00FC4C5D">
      <w:pPr>
        <w:pStyle w:val="T"/>
        <w:rPr>
          <w:w w:val="100"/>
        </w:rPr>
      </w:pPr>
      <w:r>
        <w:rPr>
          <w:w w:val="100"/>
        </w:rPr>
        <w:t>The state variable is kept within the MLME (i.e., is written and read by the MLME). The SME may also read this variable.</w:t>
      </w:r>
    </w:p>
    <w:p w:rsidR="00FC4C5D" w:rsidRDefault="00FC4C5D" w:rsidP="00FC4C5D">
      <w:pPr>
        <w:pStyle w:val="T"/>
        <w:rPr>
          <w:w w:val="100"/>
        </w:rPr>
      </w:pPr>
      <w:r>
        <w:rPr>
          <w:w w:val="100"/>
        </w:rPr>
        <w:t>Mesh STAs manage the state variable as described in 13.3.2 (State variable management).</w:t>
      </w:r>
    </w:p>
    <w:p w:rsidR="00FC4C5D" w:rsidRDefault="00FC4C5D" w:rsidP="00FC4C5D">
      <w:pPr>
        <w:pStyle w:val="H3"/>
        <w:numPr>
          <w:ilvl w:val="0"/>
          <w:numId w:val="56"/>
        </w:numPr>
        <w:rPr>
          <w:w w:val="100"/>
        </w:rPr>
      </w:pPr>
      <w:r>
        <w:rPr>
          <w:w w:val="100"/>
        </w:rPr>
        <w:t>State transition diagram for nonmesh STAs</w:t>
      </w:r>
    </w:p>
    <w:p w:rsidR="00FC4C5D" w:rsidRDefault="009B4171" w:rsidP="00FC4C5D">
      <w:pPr>
        <w:pStyle w:val="T"/>
        <w:rPr>
          <w:w w:val="100"/>
        </w:rPr>
      </w:pPr>
      <w:r>
        <w:rPr>
          <w:w w:val="100"/>
        </w:rPr>
        <w:fldChar w:fldCharType="begin"/>
      </w:r>
      <w:r w:rsidR="00FC4C5D">
        <w:rPr>
          <w:w w:val="100"/>
        </w:rPr>
        <w:instrText xml:space="preserve"> REF  RTF33333732323a204669675469 \h</w:instrText>
      </w:r>
      <w:r>
        <w:rPr>
          <w:w w:val="100"/>
        </w:rPr>
      </w:r>
      <w:r>
        <w:rPr>
          <w:w w:val="100"/>
        </w:rPr>
        <w:fldChar w:fldCharType="separate"/>
      </w:r>
      <w:r w:rsidR="00FC4C5D">
        <w:rPr>
          <w:w w:val="100"/>
        </w:rPr>
        <w:t xml:space="preserve">Figure 10-12 (Relationship between state and services between a given pair of non-mesh </w:t>
      </w:r>
      <w:proofErr w:type="gramStart"/>
      <w:r w:rsidR="00FC4C5D">
        <w:rPr>
          <w:w w:val="100"/>
        </w:rPr>
        <w:t>STAs(</w:t>
      </w:r>
      <w:proofErr w:type="gramEnd"/>
      <w:r w:rsidR="00FC4C5D">
        <w:rPr>
          <w:w w:val="100"/>
        </w:rPr>
        <w:t>#80))</w:t>
      </w:r>
      <w:r>
        <w:rPr>
          <w:w w:val="100"/>
        </w:rPr>
        <w:fldChar w:fldCharType="end"/>
      </w:r>
      <w:r w:rsidR="00FC4C5D">
        <w:rPr>
          <w:w w:val="100"/>
        </w:rPr>
        <w:t xml:space="preserve"> shows the state transition diagram for nonmesh STA states. Note that only events causing state changes are shown. The state of the sending STA given by </w:t>
      </w:r>
      <w:r>
        <w:rPr>
          <w:w w:val="100"/>
        </w:rPr>
        <w:fldChar w:fldCharType="begin"/>
      </w:r>
      <w:r w:rsidR="00FC4C5D">
        <w:rPr>
          <w:w w:val="100"/>
        </w:rPr>
        <w:instrText xml:space="preserve"> REF  RTF33333732323a204669675469 \h</w:instrText>
      </w:r>
      <w:r>
        <w:rPr>
          <w:w w:val="100"/>
        </w:rPr>
      </w:r>
      <w:r>
        <w:rPr>
          <w:w w:val="100"/>
        </w:rPr>
        <w:fldChar w:fldCharType="separate"/>
      </w:r>
      <w:r w:rsidR="00FC4C5D">
        <w:rPr>
          <w:w w:val="100"/>
        </w:rPr>
        <w:t xml:space="preserve">Figure 10-12 (Relationship between state and services between a given pair of non-mesh </w:t>
      </w:r>
      <w:proofErr w:type="gramStart"/>
      <w:r w:rsidR="00FC4C5D">
        <w:rPr>
          <w:w w:val="100"/>
        </w:rPr>
        <w:t>STAs(</w:t>
      </w:r>
      <w:proofErr w:type="gramEnd"/>
      <w:r w:rsidR="00FC4C5D">
        <w:rPr>
          <w:w w:val="100"/>
        </w:rPr>
        <w:t>#80))</w:t>
      </w:r>
      <w:r>
        <w:rPr>
          <w:w w:val="100"/>
        </w:rPr>
        <w:fldChar w:fldCharType="end"/>
      </w:r>
      <w:r w:rsidR="00FC4C5D">
        <w:rPr>
          <w:w w:val="100"/>
        </w:rPr>
        <w:t xml:space="preserve"> is with respect to the intended receiving STA.</w:t>
      </w:r>
    </w:p>
    <w:p w:rsidR="00FC4C5D" w:rsidRPr="00BB5140" w:rsidRDefault="00BB5140" w:rsidP="00FC4C5D">
      <w:pPr>
        <w:pStyle w:val="EditorNote"/>
        <w:numPr>
          <w:ilvl w:val="0"/>
          <w:numId w:val="18"/>
        </w:numPr>
        <w:rPr>
          <w:w w:val="100"/>
        </w:rPr>
      </w:pPr>
      <w:r w:rsidRPr="00BB5140">
        <w:rPr>
          <w:w w:val="100"/>
        </w:rPr>
        <w:t xml:space="preserve">Modify the figure as per </w:t>
      </w:r>
      <w:r>
        <w:rPr>
          <w:w w:val="100"/>
        </w:rPr>
        <w:t>figure 10-12</w:t>
      </w:r>
    </w:p>
    <w:p w:rsidR="00BB5140" w:rsidRDefault="00FC4C5D" w:rsidP="00FC4C5D">
      <w:pPr>
        <w:pStyle w:val="T"/>
        <w:rPr>
          <w:w w:val="100"/>
        </w:rPr>
      </w:pPr>
      <w:r>
        <w:rPr>
          <w:w w:val="100"/>
        </w:rPr>
        <w:lastRenderedPageBreak/>
        <w:t>     </w:t>
      </w:r>
    </w:p>
    <w:p w:rsidR="00BB5140" w:rsidRDefault="00BB5140" w:rsidP="00FC4C5D">
      <w:pPr>
        <w:pStyle w:val="T"/>
        <w:rPr>
          <w:w w:val="100"/>
        </w:rPr>
      </w:pPr>
    </w:p>
    <w:p w:rsidR="00C25406" w:rsidRDefault="00BB5140" w:rsidP="00FC4C5D">
      <w:pPr>
        <w:pStyle w:val="T"/>
        <w:rPr>
          <w:color w:val="FF0000"/>
          <w:w w:val="100"/>
        </w:rPr>
      </w:pPr>
      <w:r w:rsidRPr="00BB5140">
        <w:rPr>
          <w:color w:val="FF0000"/>
          <w:w w:val="100"/>
        </w:rPr>
        <w:t xml:space="preserve">      </w:t>
      </w:r>
    </w:p>
    <w:p w:rsidR="00C25406" w:rsidRDefault="006E7CEE" w:rsidP="00FC4C5D">
      <w:pPr>
        <w:pStyle w:val="T"/>
        <w:rPr>
          <w:color w:val="FF0000"/>
          <w:w w:val="100"/>
        </w:rPr>
      </w:pPr>
      <w:r w:rsidRPr="006E7CEE">
        <w:rPr>
          <w:color w:val="FF0000"/>
          <w:w w:val="100"/>
          <w:lang w:val="en-GB"/>
        </w:rPr>
        <w:drawing>
          <wp:inline distT="0" distB="0" distL="0" distR="0">
            <wp:extent cx="5943600" cy="4951730"/>
            <wp:effectExtent l="0" t="0" r="0" b="0"/>
            <wp:docPr id="6"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84780" cy="5069460"/>
                      <a:chOff x="1979720" y="1201510"/>
                      <a:chExt cx="6084780" cy="5069460"/>
                    </a:xfrm>
                  </a:grpSpPr>
                  <a:sp>
                    <a:nvSpPr>
                      <a:cNvPr id="6" name="Slide Number Placeholder 5"/>
                      <a:cNvSpPr>
                        <a:spLocks noGrp="1"/>
                      </a:cNvSpPr>
                    </a:nvSpPr>
                    <a:spPr bwMode="auto">
                      <a:xfrm>
                        <a:off x="4344988" y="6071028"/>
                        <a:ext cx="530225" cy="182562"/>
                      </a:xfrm>
                      <a:prstGeom prst="rect">
                        <a:avLst/>
                      </a:prstGeom>
                      <a:noFill/>
                      <a:ln w="9525">
                        <a:noFill/>
                        <a:miter lim="800000"/>
                        <a:headEnd/>
                        <a:tailEnd/>
                      </a:ln>
                      <a:effectLst/>
                    </a:spPr>
                    <a:txSp>
                      <a:txBody>
                        <a:bodyPr vert="horz" wrap="none" lIns="0" tIns="0" rIns="0" bIns="0" numCol="1" anchor="t" anchorCtr="0" compatLnSpc="1">
                          <a:prstTxWarp prst="textNoShape">
                            <a:avLst/>
                          </a:prstTxWarp>
                          <a:spAutoFit/>
                        </a:bodyPr>
                        <a:lstStyle>
                          <a:defPPr>
                            <a:defRPr lang="en-US"/>
                          </a:defPPr>
                          <a:lvl1pPr algn="ctr" rtl="0" eaLnBrk="0" fontAlgn="base" hangingPunct="0">
                            <a:spcBef>
                              <a:spcPct val="0"/>
                            </a:spcBef>
                            <a:spcAft>
                              <a:spcPct val="0"/>
                            </a:spcAft>
                            <a:defRPr sz="1200" kern="1200">
                              <a:solidFill>
                                <a:schemeClr val="tx1"/>
                              </a:solidFill>
                              <a:latin typeface="Times New Roman" pitchFamily="18" charset="0"/>
                              <a:ea typeface="MS PGothic" pitchFamily="34" charset="-128"/>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a:defRPr/>
                          </a:pPr>
                          <a:r>
                            <a:rPr lang="en-US" altLang="ja-JP" smtClean="0"/>
                            <a:t>Slide </a:t>
                          </a:r>
                          <a:fld id="{F849415C-ECDB-492C-B7EB-181F05134429}" type="slidenum">
                            <a:rPr lang="en-US" altLang="ja-JP" smtClean="0"/>
                            <a:pPr>
                              <a:defRPr/>
                            </a:pPr>
                            <a:t>16</a:t>
                          </a:fld>
                          <a:endParaRPr lang="en-US" altLang="ja-JP"/>
                        </a:p>
                      </a:txBody>
                      <a:useSpRect/>
                    </a:txSp>
                  </a:sp>
                  <a:sp>
                    <a:nvSpPr>
                      <a:cNvPr id="8" name="Rectangle 7"/>
                      <a:cNvSpPr/>
                    </a:nvSpPr>
                    <a:spPr bwMode="auto">
                      <a:xfrm>
                        <a:off x="3611875" y="1224930"/>
                        <a:ext cx="1574606" cy="77679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9" name="TextBox 8"/>
                      <a:cNvSpPr txBox="1"/>
                    </a:nvSpPr>
                    <a:spPr>
                      <a:xfrm>
                        <a:off x="3650280" y="1201510"/>
                        <a:ext cx="1399742"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1-Non-DMG STA Only</a:t>
                          </a:r>
                          <a:endParaRPr lang="en-CA" sz="800" dirty="0" smtClean="0"/>
                        </a:p>
                      </a:txBody>
                      <a:useSpRect/>
                    </a:txSp>
                  </a:sp>
                  <a:cxnSp>
                    <a:nvCxnSpPr>
                      <a:cNvPr id="11" name="Straight Connector 10"/>
                      <a:cNvCxnSpPr/>
                    </a:nvCxnSpPr>
                    <a:spPr bwMode="auto">
                      <a:xfrm>
                        <a:off x="3611875" y="1416954"/>
                        <a:ext cx="1574606"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12" name="TextBox 11"/>
                      <a:cNvSpPr txBox="1"/>
                    </a:nvSpPr>
                    <a:spPr>
                      <a:xfrm>
                        <a:off x="3904803" y="1416954"/>
                        <a:ext cx="880369" cy="58477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Unauthenticated,</a:t>
                          </a:r>
                        </a:p>
                        <a:p>
                          <a:r>
                            <a:rPr lang="en-US" sz="800" dirty="0" smtClean="0"/>
                            <a:t>Unassociated</a:t>
                          </a:r>
                        </a:p>
                        <a:p>
                          <a:endParaRPr lang="en-US" sz="800" dirty="0" smtClean="0"/>
                        </a:p>
                        <a:p>
                          <a:r>
                            <a:rPr lang="en-US" sz="800" dirty="0" smtClean="0"/>
                            <a:t>Class 1 Frames</a:t>
                          </a:r>
                        </a:p>
                      </a:txBody>
                      <a:useSpRect/>
                    </a:txSp>
                  </a:sp>
                  <a:sp>
                    <a:nvSpPr>
                      <a:cNvPr id="19" name="Rectangle 18"/>
                      <a:cNvSpPr/>
                    </a:nvSpPr>
                    <a:spPr bwMode="auto">
                      <a:xfrm>
                        <a:off x="3650280" y="2439841"/>
                        <a:ext cx="1574606" cy="77679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20" name="TextBox 19"/>
                      <a:cNvSpPr txBox="1"/>
                    </a:nvSpPr>
                    <a:spPr>
                      <a:xfrm>
                        <a:off x="4187950" y="2416421"/>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2</a:t>
                          </a:r>
                          <a:endParaRPr lang="en-CA" sz="800" dirty="0" smtClean="0"/>
                        </a:p>
                      </a:txBody>
                      <a:useSpRect/>
                    </a:txSp>
                  </a:sp>
                  <a:cxnSp>
                    <a:nvCxnSpPr>
                      <a:cNvPr id="21" name="Straight Connector 20"/>
                      <a:cNvCxnSpPr/>
                    </a:nvCxnSpPr>
                    <a:spPr bwMode="auto">
                      <a:xfrm>
                        <a:off x="3650280" y="2631865"/>
                        <a:ext cx="1574606"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22" name="TextBox 21"/>
                      <a:cNvSpPr txBox="1"/>
                    </a:nvSpPr>
                    <a:spPr>
                      <a:xfrm>
                        <a:off x="3611875" y="2609118"/>
                        <a:ext cx="1728358" cy="58477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Authenticated (Non-DMG STA only)</a:t>
                          </a:r>
                        </a:p>
                        <a:p>
                          <a:r>
                            <a:rPr lang="en-US" sz="800" dirty="0" smtClean="0"/>
                            <a:t>             Unassociated</a:t>
                          </a:r>
                        </a:p>
                        <a:p>
                          <a:endParaRPr lang="en-US" sz="800" dirty="0" smtClean="0"/>
                        </a:p>
                        <a:p>
                          <a:r>
                            <a:rPr lang="en-US" sz="800" dirty="0" smtClean="0"/>
                            <a:t>Class 1 &amp; 2 Frames</a:t>
                          </a:r>
                        </a:p>
                      </a:txBody>
                      <a:useSpRect/>
                    </a:txSp>
                  </a:sp>
                  <a:sp>
                    <a:nvSpPr>
                      <a:cNvPr id="23" name="Rectangle 22"/>
                      <a:cNvSpPr/>
                    </a:nvSpPr>
                    <a:spPr bwMode="auto">
                      <a:xfrm>
                        <a:off x="3381445" y="3691414"/>
                        <a:ext cx="2112275" cy="100722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24" name="TextBox 23"/>
                      <a:cNvSpPr txBox="1"/>
                    </a:nvSpPr>
                    <a:spPr>
                      <a:xfrm>
                        <a:off x="4226354" y="3667994"/>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3</a:t>
                          </a:r>
                          <a:endParaRPr lang="en-CA" sz="800" dirty="0" smtClean="0"/>
                        </a:p>
                      </a:txBody>
                      <a:useSpRect/>
                    </a:txSp>
                  </a:sp>
                  <a:cxnSp>
                    <a:nvCxnSpPr>
                      <a:cNvPr id="25" name="Straight Connector 24"/>
                      <a:cNvCxnSpPr/>
                    </a:nvCxnSpPr>
                    <a:spPr bwMode="auto">
                      <a:xfrm>
                        <a:off x="3381445" y="3883438"/>
                        <a:ext cx="2112275"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26" name="TextBox 25"/>
                      <a:cNvSpPr txBox="1"/>
                    </a:nvSpPr>
                    <a:spPr>
                      <a:xfrm>
                        <a:off x="3813854" y="3883438"/>
                        <a:ext cx="1765227" cy="830997"/>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Authenticated(Non-DMG STA only)</a:t>
                          </a:r>
                        </a:p>
                        <a:p>
                          <a:r>
                            <a:rPr lang="en-US" sz="800" dirty="0" smtClean="0"/>
                            <a:t>            Associated </a:t>
                          </a:r>
                        </a:p>
                        <a:p>
                          <a:r>
                            <a:rPr lang="en-US" sz="800" dirty="0" smtClean="0"/>
                            <a:t>(Pending RSN Authentication)</a:t>
                          </a:r>
                        </a:p>
                        <a:p>
                          <a:endParaRPr lang="en-US" sz="800" dirty="0" smtClean="0"/>
                        </a:p>
                        <a:p>
                          <a:r>
                            <a:rPr lang="en-US" sz="800" dirty="0" smtClean="0"/>
                            <a:t>Class 1 ,2  &amp; 3 Frames</a:t>
                          </a:r>
                        </a:p>
                        <a:p>
                          <a:r>
                            <a:rPr lang="en-US" sz="800" dirty="0" smtClean="0"/>
                            <a:t>IEEE 802.1X Controlled Port Blocked</a:t>
                          </a:r>
                        </a:p>
                      </a:txBody>
                      <a:useSpRect/>
                    </a:txSp>
                  </a:sp>
                  <a:sp>
                    <a:nvSpPr>
                      <a:cNvPr id="29" name="Rectangle 28"/>
                      <a:cNvSpPr/>
                    </a:nvSpPr>
                    <a:spPr bwMode="auto">
                      <a:xfrm>
                        <a:off x="3381445" y="5247949"/>
                        <a:ext cx="2112275" cy="1007229"/>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30" name="TextBox 29"/>
                      <a:cNvSpPr txBox="1"/>
                    </a:nvSpPr>
                    <a:spPr>
                      <a:xfrm>
                        <a:off x="4226354" y="5224529"/>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State 4</a:t>
                          </a:r>
                          <a:endParaRPr lang="en-CA" sz="800" dirty="0" smtClean="0"/>
                        </a:p>
                      </a:txBody>
                      <a:useSpRect/>
                    </a:txSp>
                  </a:sp>
                  <a:cxnSp>
                    <a:nvCxnSpPr>
                      <a:cNvPr id="31" name="Straight Connector 30"/>
                      <a:cNvCxnSpPr/>
                    </a:nvCxnSpPr>
                    <a:spPr bwMode="auto">
                      <a:xfrm>
                        <a:off x="3381445" y="5439973"/>
                        <a:ext cx="2112275"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32" name="TextBox 31"/>
                      <a:cNvSpPr txBox="1"/>
                    </a:nvSpPr>
                    <a:spPr>
                      <a:xfrm>
                        <a:off x="3813854" y="5439973"/>
                        <a:ext cx="1423788" cy="830997"/>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RSNA Authenticated,</a:t>
                          </a:r>
                        </a:p>
                        <a:p>
                          <a:r>
                            <a:rPr lang="en-US" sz="800" dirty="0" smtClean="0"/>
                            <a:t> or Not Required</a:t>
                          </a:r>
                        </a:p>
                        <a:p>
                          <a:endParaRPr lang="en-US" sz="800" dirty="0" smtClean="0"/>
                        </a:p>
                        <a:p>
                          <a:r>
                            <a:rPr lang="en-US" sz="800" dirty="0" smtClean="0"/>
                            <a:t>Class 1 ,2  &amp; 3 Frames</a:t>
                          </a:r>
                        </a:p>
                        <a:p>
                          <a:r>
                            <a:rPr lang="en-US" sz="800" dirty="0" smtClean="0"/>
                            <a:t>IEEE 802.1X Controlled Port </a:t>
                          </a:r>
                        </a:p>
                        <a:p>
                          <a:r>
                            <a:rPr lang="en-US" sz="800" dirty="0" err="1" smtClean="0"/>
                            <a:t>UnBlocked</a:t>
                          </a:r>
                          <a:endParaRPr lang="en-US" sz="800" dirty="0" smtClean="0"/>
                        </a:p>
                      </a:txBody>
                      <a:useSpRect/>
                    </a:txSp>
                  </a:sp>
                  <a:cxnSp>
                    <a:nvCxnSpPr>
                      <a:cNvPr id="34" name="Straight Arrow Connector 33"/>
                      <a:cNvCxnSpPr>
                        <a:stCxn id="12" idx="2"/>
                      </a:cNvCxnSpPr>
                    </a:nvCxnSpPr>
                    <a:spPr bwMode="auto">
                      <a:xfrm>
                        <a:off x="4344988" y="2001729"/>
                        <a:ext cx="0" cy="414692"/>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35" name="Straight Arrow Connector 34"/>
                      <a:cNvCxnSpPr/>
                    </a:nvCxnSpPr>
                    <a:spPr bwMode="auto">
                      <a:xfrm>
                        <a:off x="4341570" y="3236975"/>
                        <a:ext cx="0" cy="414692"/>
                      </a:xfrm>
                      <a:prstGeom prst="straightConnector1">
                        <a:avLst/>
                      </a:prstGeom>
                      <a:solidFill>
                        <a:schemeClr val="accent1"/>
                      </a:solidFill>
                      <a:ln w="12700" cap="flat" cmpd="sng" algn="ctr">
                        <a:solidFill>
                          <a:schemeClr val="tx1"/>
                        </a:solidFill>
                        <a:prstDash val="solid"/>
                        <a:round/>
                        <a:headEnd type="none" w="sm" len="sm"/>
                        <a:tailEnd type="arrow"/>
                      </a:ln>
                      <a:effectLst/>
                    </a:spPr>
                  </a:cxnSp>
                  <a:cxnSp>
                    <a:nvCxnSpPr>
                      <a:cNvPr id="36" name="Straight Arrow Connector 35"/>
                      <a:cNvCxnSpPr/>
                    </a:nvCxnSpPr>
                    <a:spPr bwMode="auto">
                      <a:xfrm>
                        <a:off x="4341570" y="4780938"/>
                        <a:ext cx="0" cy="414692"/>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37" name="TextBox 36"/>
                      <a:cNvSpPr txBox="1"/>
                    </a:nvSpPr>
                    <a:spPr>
                      <a:xfrm>
                        <a:off x="3439342" y="2077867"/>
                        <a:ext cx="1863011"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          Successful </a:t>
                          </a:r>
                        </a:p>
                        <a:p>
                          <a:r>
                            <a:rPr lang="en-US" sz="800" dirty="0" smtClean="0"/>
                            <a:t>802.11 Authentication (Non-DMG STA)</a:t>
                          </a:r>
                          <a:endParaRPr lang="en-CA" sz="800" dirty="0" smtClean="0"/>
                        </a:p>
                      </a:txBody>
                      <a:useSpRect/>
                    </a:txSp>
                  </a:sp>
                  <a:sp>
                    <a:nvSpPr>
                      <a:cNvPr id="38" name="TextBox 37"/>
                      <a:cNvSpPr txBox="1"/>
                    </a:nvSpPr>
                    <a:spPr>
                      <a:xfrm>
                        <a:off x="3794196" y="3236975"/>
                        <a:ext cx="1601721"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Successful </a:t>
                          </a:r>
                        </a:p>
                        <a:p>
                          <a:r>
                            <a:rPr lang="en-US" sz="800" dirty="0" smtClean="0"/>
                            <a:t>(Re)Association –RSNA Required</a:t>
                          </a:r>
                          <a:endParaRPr lang="en-CA" sz="800" dirty="0" smtClean="0"/>
                        </a:p>
                      </a:txBody>
                      <a:useSpRect/>
                    </a:txSp>
                  </a:sp>
                  <a:sp>
                    <a:nvSpPr>
                      <a:cNvPr id="39" name="TextBox 38"/>
                      <a:cNvSpPr txBox="1"/>
                    </a:nvSpPr>
                    <a:spPr>
                      <a:xfrm>
                        <a:off x="3794196" y="4780938"/>
                        <a:ext cx="1407758"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4- way Handshake Successful</a:t>
                          </a:r>
                          <a:endParaRPr lang="en-CA" sz="800" dirty="0" smtClean="0"/>
                        </a:p>
                      </a:txBody>
                      <a:useSpRect/>
                    </a:txSp>
                  </a:sp>
                  <a:sp>
                    <a:nvSpPr>
                      <a:cNvPr id="52" name="TextBox 51"/>
                      <a:cNvSpPr txBox="1"/>
                    </a:nvSpPr>
                    <a:spPr>
                      <a:xfrm>
                        <a:off x="2330544" y="2416421"/>
                        <a:ext cx="946093"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err="1" smtClean="0"/>
                            <a:t>Deauthentication</a:t>
                          </a:r>
                          <a:endParaRPr lang="en-US" sz="800" dirty="0" smtClean="0"/>
                        </a:p>
                        <a:p>
                          <a:r>
                            <a:rPr lang="en-US" sz="800" dirty="0" smtClean="0"/>
                            <a:t> (Non-DMG STA)</a:t>
                          </a:r>
                          <a:endParaRPr lang="en-CA" sz="800" dirty="0" smtClean="0"/>
                        </a:p>
                      </a:txBody>
                      <a:useSpRect/>
                    </a:txSp>
                  </a:sp>
                  <a:sp>
                    <a:nvSpPr>
                      <a:cNvPr id="63" name="TextBox 62"/>
                      <a:cNvSpPr txBox="1"/>
                    </a:nvSpPr>
                    <a:spPr>
                      <a:xfrm>
                        <a:off x="2417106" y="4996382"/>
                        <a:ext cx="849913" cy="46166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1. Unsuccessful</a:t>
                          </a:r>
                        </a:p>
                        <a:p>
                          <a:r>
                            <a:rPr lang="en-US" sz="800" dirty="0" smtClean="0"/>
                            <a:t>(Re)Association</a:t>
                          </a:r>
                        </a:p>
                        <a:p>
                          <a:r>
                            <a:rPr lang="en-US" sz="800" dirty="0" smtClean="0"/>
                            <a:t>(Non-AP STA)</a:t>
                          </a:r>
                          <a:endParaRPr lang="en-CA" sz="800" dirty="0" smtClean="0"/>
                        </a:p>
                      </a:txBody>
                      <a:useSpRect/>
                    </a:txSp>
                  </a:sp>
                  <a:sp>
                    <a:nvSpPr>
                      <a:cNvPr id="65" name="TextBox 64"/>
                      <a:cNvSpPr txBox="1"/>
                    </a:nvSpPr>
                    <a:spPr>
                      <a:xfrm>
                        <a:off x="2417106" y="5439973"/>
                        <a:ext cx="859531"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2.Disassociation</a:t>
                          </a:r>
                          <a:endParaRPr lang="en-CA" sz="800" dirty="0" smtClean="0"/>
                        </a:p>
                      </a:txBody>
                      <a:useSpRect/>
                    </a:txSp>
                  </a:sp>
                  <a:sp>
                    <a:nvSpPr>
                      <a:cNvPr id="70" name="Rectangle 69"/>
                      <a:cNvSpPr/>
                    </a:nvSpPr>
                    <a:spPr bwMode="auto">
                      <a:xfrm>
                        <a:off x="6120156" y="3236975"/>
                        <a:ext cx="1574606" cy="1216362"/>
                      </a:xfrm>
                      <a:prstGeom prst="rect">
                        <a:avLst/>
                      </a:prstGeom>
                      <a:solidFill>
                        <a:schemeClr val="bg1"/>
                      </a:solidFill>
                      <a:ln w="3175">
                        <a:headEnd type="none" w="sm" len="sm"/>
                        <a:tailEnd type="none" w="sm" len="sm"/>
                      </a:ln>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dk1"/>
                              </a:solidFill>
                              <a:latin typeface="+mn-lt"/>
                              <a:ea typeface="+mn-ea"/>
                              <a:cs typeface="+mn-cs"/>
                            </a:defRPr>
                          </a:lvl1pPr>
                          <a:lvl2pPr marL="457200" algn="l" rtl="0" fontAlgn="base">
                            <a:spcBef>
                              <a:spcPct val="0"/>
                            </a:spcBef>
                            <a:spcAft>
                              <a:spcPct val="0"/>
                            </a:spcAft>
                            <a:defRPr sz="1200" kern="1200">
                              <a:solidFill>
                                <a:schemeClr val="dk1"/>
                              </a:solidFill>
                              <a:latin typeface="+mn-lt"/>
                              <a:ea typeface="+mn-ea"/>
                              <a:cs typeface="+mn-cs"/>
                            </a:defRPr>
                          </a:lvl2pPr>
                          <a:lvl3pPr marL="914400" algn="l" rtl="0" fontAlgn="base">
                            <a:spcBef>
                              <a:spcPct val="0"/>
                            </a:spcBef>
                            <a:spcAft>
                              <a:spcPct val="0"/>
                            </a:spcAft>
                            <a:defRPr sz="1200" kern="1200">
                              <a:solidFill>
                                <a:schemeClr val="dk1"/>
                              </a:solidFill>
                              <a:latin typeface="+mn-lt"/>
                              <a:ea typeface="+mn-ea"/>
                              <a:cs typeface="+mn-cs"/>
                            </a:defRPr>
                          </a:lvl3pPr>
                          <a:lvl4pPr marL="1371600" algn="l" rtl="0" fontAlgn="base">
                            <a:spcBef>
                              <a:spcPct val="0"/>
                            </a:spcBef>
                            <a:spcAft>
                              <a:spcPct val="0"/>
                            </a:spcAft>
                            <a:defRPr sz="1200" kern="1200">
                              <a:solidFill>
                                <a:schemeClr val="dk1"/>
                              </a:solidFill>
                              <a:latin typeface="+mn-lt"/>
                              <a:ea typeface="+mn-ea"/>
                              <a:cs typeface="+mn-cs"/>
                            </a:defRPr>
                          </a:lvl4pPr>
                          <a:lvl5pPr marL="1828800" algn="l" rtl="0" fontAlgn="base">
                            <a:spcBef>
                              <a:spcPct val="0"/>
                            </a:spcBef>
                            <a:spcAft>
                              <a:spcPct val="0"/>
                            </a:spcAft>
                            <a:defRPr sz="1200" kern="1200">
                              <a:solidFill>
                                <a:schemeClr val="dk1"/>
                              </a:solidFill>
                              <a:latin typeface="+mn-lt"/>
                              <a:ea typeface="+mn-ea"/>
                              <a:cs typeface="+mn-cs"/>
                            </a:defRPr>
                          </a:lvl5pPr>
                          <a:lvl6pPr marL="2286000" algn="l" defTabSz="914400" rtl="0" eaLnBrk="1" latinLnBrk="0" hangingPunct="1">
                            <a:defRPr sz="1200" kern="1200">
                              <a:solidFill>
                                <a:schemeClr val="dk1"/>
                              </a:solidFill>
                              <a:latin typeface="+mn-lt"/>
                              <a:ea typeface="+mn-ea"/>
                              <a:cs typeface="+mn-cs"/>
                            </a:defRPr>
                          </a:lvl6pPr>
                          <a:lvl7pPr marL="2743200" algn="l" defTabSz="914400" rtl="0" eaLnBrk="1" latinLnBrk="0" hangingPunct="1">
                            <a:defRPr sz="1200" kern="1200">
                              <a:solidFill>
                                <a:schemeClr val="dk1"/>
                              </a:solidFill>
                              <a:latin typeface="+mn-lt"/>
                              <a:ea typeface="+mn-ea"/>
                              <a:cs typeface="+mn-cs"/>
                            </a:defRPr>
                          </a:lvl7pPr>
                          <a:lvl8pPr marL="3200400" algn="l" defTabSz="914400" rtl="0" eaLnBrk="1" latinLnBrk="0" hangingPunct="1">
                            <a:defRPr sz="1200" kern="1200">
                              <a:solidFill>
                                <a:schemeClr val="dk1"/>
                              </a:solidFill>
                              <a:latin typeface="+mn-lt"/>
                              <a:ea typeface="+mn-ea"/>
                              <a:cs typeface="+mn-cs"/>
                            </a:defRPr>
                          </a:lvl8pPr>
                          <a:lvl9pPr marL="3657600" algn="l" defTabSz="914400" rtl="0" eaLnBrk="1" latinLnBrk="0" hangingPunct="1">
                            <a:defRPr sz="1200" kern="1200">
                              <a:solidFill>
                                <a:schemeClr val="dk1"/>
                              </a:solidFill>
                              <a:latin typeface="+mn-lt"/>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tyle>
                      <a:lnRef idx="2">
                        <a:schemeClr val="dk1"/>
                      </a:lnRef>
                      <a:fillRef idx="1">
                        <a:schemeClr val="lt1"/>
                      </a:fillRef>
                      <a:effectRef idx="0">
                        <a:schemeClr val="dk1"/>
                      </a:effectRef>
                      <a:fontRef idx="minor">
                        <a:schemeClr val="dk1"/>
                      </a:fontRef>
                    </a:style>
                  </a:sp>
                  <a:sp>
                    <a:nvSpPr>
                      <a:cNvPr id="71" name="TextBox 70"/>
                      <a:cNvSpPr txBox="1"/>
                    </a:nvSpPr>
                    <a:spPr>
                      <a:xfrm>
                        <a:off x="6657826" y="3187465"/>
                        <a:ext cx="466794"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solidFill>
                                <a:srgbClr val="FF3300"/>
                              </a:solidFill>
                            </a:rPr>
                            <a:t>State 5</a:t>
                          </a:r>
                          <a:endParaRPr lang="en-CA" sz="800" dirty="0" smtClean="0">
                            <a:solidFill>
                              <a:srgbClr val="FF3300"/>
                            </a:solidFill>
                          </a:endParaRPr>
                        </a:p>
                      </a:txBody>
                      <a:useSpRect/>
                    </a:txSp>
                  </a:sp>
                  <a:cxnSp>
                    <a:nvCxnSpPr>
                      <a:cNvPr id="72" name="Straight Connector 71"/>
                      <a:cNvCxnSpPr/>
                    </a:nvCxnSpPr>
                    <a:spPr bwMode="auto">
                      <a:xfrm>
                        <a:off x="6120156" y="3402909"/>
                        <a:ext cx="1574606" cy="0"/>
                      </a:xfrm>
                      <a:prstGeom prst="line">
                        <a:avLst/>
                      </a:prstGeom>
                      <a:solidFill>
                        <a:schemeClr val="accent1"/>
                      </a:solidFill>
                      <a:ln w="12700" cap="flat" cmpd="sng" algn="ctr">
                        <a:solidFill>
                          <a:schemeClr val="tx1"/>
                        </a:solidFill>
                        <a:prstDash val="solid"/>
                        <a:round/>
                        <a:headEnd type="none" w="sm" len="sm"/>
                        <a:tailEnd type="none" w="sm" len="sm"/>
                      </a:ln>
                      <a:effectLst/>
                    </a:spPr>
                  </a:cxnSp>
                  <a:sp>
                    <a:nvSpPr>
                      <a:cNvPr id="73" name="TextBox 72"/>
                      <a:cNvSpPr txBox="1"/>
                    </a:nvSpPr>
                    <a:spPr>
                      <a:xfrm>
                        <a:off x="6207708" y="3402909"/>
                        <a:ext cx="1377300" cy="1077218"/>
                      </a:xfrm>
                      <a:prstGeom prst="rect">
                        <a:avLst/>
                      </a:prstGeom>
                      <a:noFill/>
                      <a:ln>
                        <a:noFill/>
                      </a:ln>
                    </a:spPr>
                    <a:txSp>
                      <a:txBody>
                        <a:bodyPr wrap="none" rtlCol="0">
                          <a:spAutoFit/>
                        </a:bodyPr>
                        <a:lstStyle>
                          <a:defPPr>
                            <a:defRPr lang="en-US"/>
                          </a:defPPr>
                          <a:lvl1pPr algn="l" rtl="0" fontAlgn="base">
                            <a:spcBef>
                              <a:spcPct val="0"/>
                            </a:spcBef>
                            <a:spcAft>
                              <a:spcPct val="0"/>
                            </a:spcAft>
                            <a:defRPr sz="1200" kern="1200">
                              <a:solidFill>
                                <a:schemeClr val="lt1"/>
                              </a:solidFill>
                              <a:latin typeface="+mn-lt"/>
                              <a:ea typeface="+mn-ea"/>
                              <a:cs typeface="+mn-cs"/>
                            </a:defRPr>
                          </a:lvl1pPr>
                          <a:lvl2pPr marL="457200" algn="l" rtl="0" fontAlgn="base">
                            <a:spcBef>
                              <a:spcPct val="0"/>
                            </a:spcBef>
                            <a:spcAft>
                              <a:spcPct val="0"/>
                            </a:spcAft>
                            <a:defRPr sz="1200" kern="1200">
                              <a:solidFill>
                                <a:schemeClr val="lt1"/>
                              </a:solidFill>
                              <a:latin typeface="+mn-lt"/>
                              <a:ea typeface="+mn-ea"/>
                              <a:cs typeface="+mn-cs"/>
                            </a:defRPr>
                          </a:lvl2pPr>
                          <a:lvl3pPr marL="914400" algn="l" rtl="0" fontAlgn="base">
                            <a:spcBef>
                              <a:spcPct val="0"/>
                            </a:spcBef>
                            <a:spcAft>
                              <a:spcPct val="0"/>
                            </a:spcAft>
                            <a:defRPr sz="1200" kern="1200">
                              <a:solidFill>
                                <a:schemeClr val="lt1"/>
                              </a:solidFill>
                              <a:latin typeface="+mn-lt"/>
                              <a:ea typeface="+mn-ea"/>
                              <a:cs typeface="+mn-cs"/>
                            </a:defRPr>
                          </a:lvl3pPr>
                          <a:lvl4pPr marL="1371600" algn="l" rtl="0" fontAlgn="base">
                            <a:spcBef>
                              <a:spcPct val="0"/>
                            </a:spcBef>
                            <a:spcAft>
                              <a:spcPct val="0"/>
                            </a:spcAft>
                            <a:defRPr sz="1200" kern="1200">
                              <a:solidFill>
                                <a:schemeClr val="lt1"/>
                              </a:solidFill>
                              <a:latin typeface="+mn-lt"/>
                              <a:ea typeface="+mn-ea"/>
                              <a:cs typeface="+mn-cs"/>
                            </a:defRPr>
                          </a:lvl4pPr>
                          <a:lvl5pPr marL="1828800" algn="l" rtl="0" fontAlgn="base">
                            <a:spcBef>
                              <a:spcPct val="0"/>
                            </a:spcBef>
                            <a:spcAft>
                              <a:spcPct val="0"/>
                            </a:spcAft>
                            <a:defRPr sz="1200" kern="1200">
                              <a:solidFill>
                                <a:schemeClr val="lt1"/>
                              </a:solidFill>
                              <a:latin typeface="+mn-lt"/>
                              <a:ea typeface="+mn-ea"/>
                              <a:cs typeface="+mn-cs"/>
                            </a:defRPr>
                          </a:lvl5pPr>
                          <a:lvl6pPr marL="2286000" algn="l" defTabSz="914400" rtl="0" eaLnBrk="1" latinLnBrk="0" hangingPunct="1">
                            <a:defRPr sz="1200" kern="1200">
                              <a:solidFill>
                                <a:schemeClr val="lt1"/>
                              </a:solidFill>
                              <a:latin typeface="+mn-lt"/>
                              <a:ea typeface="+mn-ea"/>
                              <a:cs typeface="+mn-cs"/>
                            </a:defRPr>
                          </a:lvl6pPr>
                          <a:lvl7pPr marL="2743200" algn="l" defTabSz="914400" rtl="0" eaLnBrk="1" latinLnBrk="0" hangingPunct="1">
                            <a:defRPr sz="1200" kern="1200">
                              <a:solidFill>
                                <a:schemeClr val="lt1"/>
                              </a:solidFill>
                              <a:latin typeface="+mn-lt"/>
                              <a:ea typeface="+mn-ea"/>
                              <a:cs typeface="+mn-cs"/>
                            </a:defRPr>
                          </a:lvl7pPr>
                          <a:lvl8pPr marL="3200400" algn="l" defTabSz="914400" rtl="0" eaLnBrk="1" latinLnBrk="0" hangingPunct="1">
                            <a:defRPr sz="1200" kern="1200">
                              <a:solidFill>
                                <a:schemeClr val="lt1"/>
                              </a:solidFill>
                              <a:latin typeface="+mn-lt"/>
                              <a:ea typeface="+mn-ea"/>
                              <a:cs typeface="+mn-cs"/>
                            </a:defRPr>
                          </a:lvl8pPr>
                          <a:lvl9pPr marL="3657600" algn="l" defTabSz="914400" rtl="0" eaLnBrk="1" latinLnBrk="0" hangingPunct="1">
                            <a:defRPr sz="1200" kern="1200">
                              <a:solidFill>
                                <a:schemeClr val="lt1"/>
                              </a:solidFill>
                              <a:latin typeface="+mn-lt"/>
                              <a:ea typeface="+mn-ea"/>
                              <a:cs typeface="+mn-cs"/>
                            </a:defRPr>
                          </a:lvl9pPr>
                        </a:lstStyle>
                        <a:p>
                          <a:r>
                            <a:rPr lang="en-US" sz="800" dirty="0" smtClean="0">
                              <a:solidFill>
                                <a:srgbClr val="FF3300"/>
                              </a:solidFill>
                            </a:rPr>
                            <a:t>   </a:t>
                          </a:r>
                          <a:r>
                            <a:rPr lang="en-US" sz="800" dirty="0" smtClean="0">
                              <a:solidFill>
                                <a:srgbClr val="FF3300"/>
                              </a:solidFill>
                            </a:rPr>
                            <a:t>FILS </a:t>
                          </a:r>
                          <a:r>
                            <a:rPr lang="en-US" sz="800" dirty="0" smtClean="0">
                              <a:solidFill>
                                <a:srgbClr val="FF3300"/>
                              </a:solidFill>
                            </a:rPr>
                            <a:t>Authenticated  </a:t>
                          </a:r>
                          <a:endParaRPr lang="en-US" sz="800" dirty="0" smtClean="0">
                            <a:solidFill>
                              <a:srgbClr val="FF3300"/>
                            </a:solidFill>
                          </a:endParaRPr>
                        </a:p>
                        <a:p>
                          <a:r>
                            <a:rPr lang="en-US" sz="800" dirty="0" smtClean="0">
                              <a:solidFill>
                                <a:srgbClr val="FF3300"/>
                              </a:solidFill>
                            </a:rPr>
                            <a:t> </a:t>
                          </a:r>
                          <a:r>
                            <a:rPr lang="en-US" sz="800" dirty="0" smtClean="0">
                              <a:solidFill>
                                <a:srgbClr val="FF3300"/>
                              </a:solidFill>
                            </a:rPr>
                            <a:t>   Unassociated</a:t>
                          </a:r>
                          <a:endParaRPr lang="en-US" sz="800" dirty="0" smtClean="0">
                            <a:solidFill>
                              <a:srgbClr val="FF3300"/>
                            </a:solidFill>
                          </a:endParaRPr>
                        </a:p>
                        <a:p>
                          <a:r>
                            <a:rPr lang="en-US" sz="800" dirty="0" smtClean="0">
                              <a:solidFill>
                                <a:srgbClr val="FF3300"/>
                              </a:solidFill>
                            </a:rPr>
                            <a:t> (FILS capable STA only)</a:t>
                          </a:r>
                        </a:p>
                        <a:p>
                          <a:r>
                            <a:rPr lang="en-US" sz="800" dirty="0" smtClean="0">
                              <a:solidFill>
                                <a:srgbClr val="FF3300"/>
                              </a:solidFill>
                            </a:rPr>
                            <a:t>  </a:t>
                          </a:r>
                        </a:p>
                        <a:p>
                          <a:r>
                            <a:rPr lang="en-US" sz="800" dirty="0" smtClean="0">
                              <a:solidFill>
                                <a:srgbClr val="FF3300"/>
                              </a:solidFill>
                            </a:rPr>
                            <a:t> Class 1, 2 Frames</a:t>
                          </a:r>
                        </a:p>
                        <a:p>
                          <a:endParaRPr lang="en-US" sz="800" dirty="0" smtClean="0">
                            <a:solidFill>
                              <a:srgbClr val="FF3300"/>
                            </a:solidFill>
                          </a:endParaRPr>
                        </a:p>
                        <a:p>
                          <a:r>
                            <a:rPr lang="en-US" sz="800" dirty="0" smtClean="0">
                              <a:solidFill>
                                <a:srgbClr val="FF3300"/>
                              </a:solidFill>
                            </a:rPr>
                            <a:t>IEEE 802.1x controlled Port </a:t>
                          </a:r>
                        </a:p>
                        <a:p>
                          <a:r>
                            <a:rPr lang="en-US" sz="800" dirty="0" smtClean="0">
                              <a:solidFill>
                                <a:srgbClr val="FF3300"/>
                              </a:solidFill>
                            </a:rPr>
                            <a:t>blocked</a:t>
                          </a:r>
                        </a:p>
                      </a:txBody>
                      <a:useSpRect/>
                    </a:txSp>
                    <a:style>
                      <a:lnRef idx="3">
                        <a:schemeClr val="lt1"/>
                      </a:lnRef>
                      <a:fillRef idx="1">
                        <a:schemeClr val="accent1"/>
                      </a:fillRef>
                      <a:effectRef idx="1">
                        <a:schemeClr val="accent1"/>
                      </a:effectRef>
                      <a:fontRef idx="minor">
                        <a:schemeClr val="lt1"/>
                      </a:fontRef>
                    </a:style>
                  </a:sp>
                  <a:sp>
                    <a:nvSpPr>
                      <a:cNvPr id="74" name="Freeform 73"/>
                      <a:cNvSpPr/>
                    </a:nvSpPr>
                    <a:spPr bwMode="auto">
                      <a:xfrm>
                        <a:off x="5186481" y="1617327"/>
                        <a:ext cx="1338877" cy="1619648"/>
                      </a:xfrm>
                      <a:custGeom>
                        <a:avLst/>
                        <a:gdLst>
                          <a:gd name="connsiteX0" fmla="*/ 0 w 2199736"/>
                          <a:gd name="connsiteY0" fmla="*/ 0 h 923027"/>
                          <a:gd name="connsiteX1" fmla="*/ 2199736 w 2199736"/>
                          <a:gd name="connsiteY1" fmla="*/ 0 h 923027"/>
                          <a:gd name="connsiteX2" fmla="*/ 2191110 w 2199736"/>
                          <a:gd name="connsiteY2" fmla="*/ 923027 h 923027"/>
                        </a:gdLst>
                        <a:ahLst/>
                        <a:cxnLst>
                          <a:cxn ang="0">
                            <a:pos x="connsiteX0" y="connsiteY0"/>
                          </a:cxn>
                          <a:cxn ang="0">
                            <a:pos x="connsiteX1" y="connsiteY1"/>
                          </a:cxn>
                          <a:cxn ang="0">
                            <a:pos x="connsiteX2" y="connsiteY2"/>
                          </a:cxn>
                        </a:cxnLst>
                        <a:rect l="l" t="t" r="r" b="b"/>
                        <a:pathLst>
                          <a:path w="2199736" h="923027">
                            <a:moveTo>
                              <a:pt x="0" y="0"/>
                            </a:moveTo>
                            <a:lnTo>
                              <a:pt x="2199736" y="0"/>
                            </a:lnTo>
                            <a:cubicBezTo>
                              <a:pt x="2196861" y="307676"/>
                              <a:pt x="2193985" y="615351"/>
                              <a:pt x="2191110" y="923027"/>
                            </a:cubicBez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75" name="TextBox 74"/>
                      <a:cNvSpPr txBox="1"/>
                    </a:nvSpPr>
                    <a:spPr>
                      <a:xfrm>
                        <a:off x="6036827" y="2247144"/>
                        <a:ext cx="859531"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solidFill>
                                <a:srgbClr val="FF3300"/>
                              </a:solidFill>
                            </a:rPr>
                            <a:t>Successful FILS</a:t>
                          </a:r>
                        </a:p>
                        <a:p>
                          <a:r>
                            <a:rPr lang="en-US" sz="800" dirty="0" smtClean="0">
                              <a:solidFill>
                                <a:srgbClr val="FF3300"/>
                              </a:solidFill>
                            </a:rPr>
                            <a:t> Authentication </a:t>
                          </a:r>
                          <a:endParaRPr lang="en-CA" sz="800" dirty="0" smtClean="0">
                            <a:solidFill>
                              <a:srgbClr val="FF3300"/>
                            </a:solidFill>
                          </a:endParaRPr>
                        </a:p>
                      </a:txBody>
                      <a:useSpRect/>
                    </a:txSp>
                  </a:sp>
                  <a:sp>
                    <a:nvSpPr>
                      <a:cNvPr id="76" name="Freeform 75"/>
                      <a:cNvSpPr/>
                    </a:nvSpPr>
                    <a:spPr bwMode="auto">
                      <a:xfrm>
                        <a:off x="5201728" y="1466490"/>
                        <a:ext cx="1922892" cy="1740417"/>
                      </a:xfrm>
                      <a:custGeom>
                        <a:avLst/>
                        <a:gdLst>
                          <a:gd name="connsiteX0" fmla="*/ 2493034 w 2493034"/>
                          <a:gd name="connsiteY0" fmla="*/ 1043796 h 1043796"/>
                          <a:gd name="connsiteX1" fmla="*/ 2484408 w 2493034"/>
                          <a:gd name="connsiteY1" fmla="*/ 0 h 1043796"/>
                          <a:gd name="connsiteX2" fmla="*/ 0 w 2493034"/>
                          <a:gd name="connsiteY2" fmla="*/ 0 h 1043796"/>
                        </a:gdLst>
                        <a:ahLst/>
                        <a:cxnLst>
                          <a:cxn ang="0">
                            <a:pos x="connsiteX0" y="connsiteY0"/>
                          </a:cxn>
                          <a:cxn ang="0">
                            <a:pos x="connsiteX1" y="connsiteY1"/>
                          </a:cxn>
                          <a:cxn ang="0">
                            <a:pos x="connsiteX2" y="connsiteY2"/>
                          </a:cxn>
                        </a:cxnLst>
                        <a:rect l="l" t="t" r="r" b="b"/>
                        <a:pathLst>
                          <a:path w="2493034" h="1043796">
                            <a:moveTo>
                              <a:pt x="2493034" y="1043796"/>
                            </a:moveTo>
                            <a:cubicBezTo>
                              <a:pt x="2490159" y="695864"/>
                              <a:pt x="2487283" y="347932"/>
                              <a:pt x="2484408" y="0"/>
                            </a:cubicBezTo>
                            <a:lnTo>
                              <a:pt x="0"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77" name="TextBox 76"/>
                      <a:cNvSpPr txBox="1"/>
                    </a:nvSpPr>
                    <a:spPr>
                      <a:xfrm>
                        <a:off x="6896358" y="1908590"/>
                        <a:ext cx="934871"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solidFill>
                                <a:srgbClr val="FF3300"/>
                              </a:solidFill>
                            </a:rPr>
                            <a:t> </a:t>
                          </a:r>
                          <a:endParaRPr lang="en-US" sz="800" dirty="0" smtClean="0">
                            <a:solidFill>
                              <a:srgbClr val="FF3300"/>
                            </a:solidFill>
                          </a:endParaRPr>
                        </a:p>
                        <a:p>
                          <a:r>
                            <a:rPr lang="en-US" sz="800" dirty="0" err="1" smtClean="0">
                              <a:solidFill>
                                <a:srgbClr val="FF3300"/>
                              </a:solidFill>
                            </a:rPr>
                            <a:t>Deauthentication</a:t>
                          </a:r>
                          <a:r>
                            <a:rPr lang="en-US" sz="800" dirty="0" smtClean="0">
                              <a:solidFill>
                                <a:srgbClr val="FF3300"/>
                              </a:solidFill>
                            </a:rPr>
                            <a:t>  </a:t>
                          </a:r>
                        </a:p>
                      </a:txBody>
                      <a:useSpRect/>
                    </a:txSp>
                  </a:sp>
                  <a:sp>
                    <a:nvSpPr>
                      <a:cNvPr id="79" name="TextBox 78"/>
                      <a:cNvSpPr txBox="1"/>
                    </a:nvSpPr>
                    <a:spPr>
                      <a:xfrm>
                        <a:off x="6959710" y="5026353"/>
                        <a:ext cx="1104790"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solidFill>
                                <a:srgbClr val="FF3300"/>
                              </a:solidFill>
                            </a:rPr>
                            <a:t>FILS  Association </a:t>
                          </a:r>
                          <a:r>
                            <a:rPr lang="en-US" sz="800" dirty="0" smtClean="0">
                              <a:solidFill>
                                <a:srgbClr val="FF3300"/>
                              </a:solidFill>
                            </a:rPr>
                            <a:t>and</a:t>
                          </a:r>
                        </a:p>
                        <a:p>
                          <a:r>
                            <a:rPr lang="en-US" sz="800" dirty="0" smtClean="0">
                              <a:solidFill>
                                <a:srgbClr val="FF3300"/>
                              </a:solidFill>
                            </a:rPr>
                            <a:t> </a:t>
                          </a:r>
                          <a:r>
                            <a:rPr lang="en-US" sz="800" dirty="0" smtClean="0">
                              <a:solidFill>
                                <a:srgbClr val="FF3300"/>
                              </a:solidFill>
                            </a:rPr>
                            <a:t>Key confirmation</a:t>
                          </a:r>
                          <a:endParaRPr lang="en-CA" sz="800" dirty="0" smtClean="0">
                            <a:solidFill>
                              <a:srgbClr val="FF3300"/>
                            </a:solidFill>
                          </a:endParaRPr>
                        </a:p>
                      </a:txBody>
                      <a:useSpRect/>
                    </a:txSp>
                  </a:sp>
                  <a:sp>
                    <a:nvSpPr>
                      <a:cNvPr id="80" name="Freeform 79"/>
                      <a:cNvSpPr/>
                    </a:nvSpPr>
                    <a:spPr bwMode="auto">
                      <a:xfrm>
                        <a:off x="5520907" y="4453337"/>
                        <a:ext cx="1375451" cy="1334988"/>
                      </a:xfrm>
                      <a:custGeom>
                        <a:avLst/>
                        <a:gdLst>
                          <a:gd name="connsiteX0" fmla="*/ 1923690 w 1932317"/>
                          <a:gd name="connsiteY0" fmla="*/ 0 h 2329133"/>
                          <a:gd name="connsiteX1" fmla="*/ 1932317 w 1932317"/>
                          <a:gd name="connsiteY1" fmla="*/ 2329133 h 2329133"/>
                          <a:gd name="connsiteX2" fmla="*/ 0 w 1932317"/>
                          <a:gd name="connsiteY2" fmla="*/ 2329133 h 2329133"/>
                        </a:gdLst>
                        <a:ahLst/>
                        <a:cxnLst>
                          <a:cxn ang="0">
                            <a:pos x="connsiteX0" y="connsiteY0"/>
                          </a:cxn>
                          <a:cxn ang="0">
                            <a:pos x="connsiteX1" y="connsiteY1"/>
                          </a:cxn>
                          <a:cxn ang="0">
                            <a:pos x="connsiteX2" y="connsiteY2"/>
                          </a:cxn>
                        </a:cxnLst>
                        <a:rect l="l" t="t" r="r" b="b"/>
                        <a:pathLst>
                          <a:path w="1932317" h="2329133">
                            <a:moveTo>
                              <a:pt x="1923690" y="0"/>
                            </a:moveTo>
                            <a:cubicBezTo>
                              <a:pt x="1926566" y="776378"/>
                              <a:pt x="1929441" y="1552755"/>
                              <a:pt x="1932317" y="2329133"/>
                            </a:cubicBezTo>
                            <a:lnTo>
                              <a:pt x="0" y="2329133"/>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cxnSp>
                    <a:nvCxnSpPr>
                      <a:cNvPr id="82" name="Straight Arrow Connector 81"/>
                      <a:cNvCxnSpPr/>
                    </a:nvCxnSpPr>
                    <a:spPr bwMode="auto">
                      <a:xfrm flipH="1">
                        <a:off x="1979720" y="2609118"/>
                        <a:ext cx="1670561"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83" name="Freeform 82"/>
                      <a:cNvSpPr/>
                    </a:nvSpPr>
                    <a:spPr bwMode="auto">
                      <a:xfrm>
                        <a:off x="1979720" y="1633491"/>
                        <a:ext cx="1624614" cy="4332303"/>
                      </a:xfrm>
                      <a:custGeom>
                        <a:avLst/>
                        <a:gdLst>
                          <a:gd name="connsiteX0" fmla="*/ 1393795 w 1624614"/>
                          <a:gd name="connsiteY0" fmla="*/ 4332303 h 4332303"/>
                          <a:gd name="connsiteX1" fmla="*/ 17756 w 1624614"/>
                          <a:gd name="connsiteY1" fmla="*/ 4332303 h 4332303"/>
                          <a:gd name="connsiteX2" fmla="*/ 0 w 1624614"/>
                          <a:gd name="connsiteY2" fmla="*/ 0 h 4332303"/>
                          <a:gd name="connsiteX3" fmla="*/ 1624614 w 1624614"/>
                          <a:gd name="connsiteY3" fmla="*/ 0 h 4332303"/>
                        </a:gdLst>
                        <a:ahLst/>
                        <a:cxnLst>
                          <a:cxn ang="0">
                            <a:pos x="connsiteX0" y="connsiteY0"/>
                          </a:cxn>
                          <a:cxn ang="0">
                            <a:pos x="connsiteX1" y="connsiteY1"/>
                          </a:cxn>
                          <a:cxn ang="0">
                            <a:pos x="connsiteX2" y="connsiteY2"/>
                          </a:cxn>
                          <a:cxn ang="0">
                            <a:pos x="connsiteX3" y="connsiteY3"/>
                          </a:cxn>
                        </a:cxnLst>
                        <a:rect l="l" t="t" r="r" b="b"/>
                        <a:pathLst>
                          <a:path w="1624614" h="4332303">
                            <a:moveTo>
                              <a:pt x="1393795" y="4332303"/>
                            </a:moveTo>
                            <a:lnTo>
                              <a:pt x="17756" y="4332303"/>
                            </a:lnTo>
                            <a:cubicBezTo>
                              <a:pt x="11837" y="2888202"/>
                              <a:pt x="5919" y="1444101"/>
                              <a:pt x="0" y="0"/>
                            </a:cubicBezTo>
                            <a:lnTo>
                              <a:pt x="1624614"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85" name="Freeform 84"/>
                      <a:cNvSpPr/>
                    </a:nvSpPr>
                    <a:spPr bwMode="auto">
                      <a:xfrm>
                        <a:off x="2246050" y="2814221"/>
                        <a:ext cx="1393795" cy="2796466"/>
                      </a:xfrm>
                      <a:custGeom>
                        <a:avLst/>
                        <a:gdLst>
                          <a:gd name="connsiteX0" fmla="*/ 1136342 w 1393795"/>
                          <a:gd name="connsiteY0" fmla="*/ 2796466 h 2796466"/>
                          <a:gd name="connsiteX1" fmla="*/ 8878 w 1393795"/>
                          <a:gd name="connsiteY1" fmla="*/ 2796466 h 2796466"/>
                          <a:gd name="connsiteX2" fmla="*/ 0 w 1393795"/>
                          <a:gd name="connsiteY2" fmla="*/ 0 h 2796466"/>
                          <a:gd name="connsiteX3" fmla="*/ 1393795 w 1393795"/>
                          <a:gd name="connsiteY3" fmla="*/ 0 h 2796466"/>
                        </a:gdLst>
                        <a:ahLst/>
                        <a:cxnLst>
                          <a:cxn ang="0">
                            <a:pos x="connsiteX0" y="connsiteY0"/>
                          </a:cxn>
                          <a:cxn ang="0">
                            <a:pos x="connsiteX1" y="connsiteY1"/>
                          </a:cxn>
                          <a:cxn ang="0">
                            <a:pos x="connsiteX2" y="connsiteY2"/>
                          </a:cxn>
                          <a:cxn ang="0">
                            <a:pos x="connsiteX3" y="connsiteY3"/>
                          </a:cxn>
                        </a:cxnLst>
                        <a:rect l="l" t="t" r="r" b="b"/>
                        <a:pathLst>
                          <a:path w="1393795" h="2796466">
                            <a:moveTo>
                              <a:pt x="1136342" y="2796466"/>
                            </a:moveTo>
                            <a:lnTo>
                              <a:pt x="8878" y="2796466"/>
                            </a:lnTo>
                            <a:cubicBezTo>
                              <a:pt x="5919" y="1864311"/>
                              <a:pt x="2959" y="932155"/>
                              <a:pt x="0" y="0"/>
                            </a:cubicBezTo>
                            <a:lnTo>
                              <a:pt x="1393795" y="0"/>
                            </a:lnTo>
                          </a:path>
                        </a:pathLst>
                      </a:custGeom>
                      <a:noFill/>
                      <a:ln w="12700" cap="flat" cmpd="sng" algn="ctr">
                        <a:solidFill>
                          <a:schemeClr val="tx1"/>
                        </a:solidFill>
                        <a:prstDash val="solid"/>
                        <a:round/>
                        <a:headEnd type="none" w="med" len="med"/>
                        <a:tailEnd type="arrow"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86" name="TextBox 85"/>
                      <a:cNvSpPr txBox="1"/>
                    </a:nvSpPr>
                    <a:spPr>
                      <a:xfrm>
                        <a:off x="2320926" y="5796517"/>
                        <a:ext cx="946093"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err="1" smtClean="0"/>
                            <a:t>Deauthentication</a:t>
                          </a:r>
                          <a:endParaRPr lang="en-US" sz="800" dirty="0" smtClean="0"/>
                        </a:p>
                        <a:p>
                          <a:r>
                            <a:rPr lang="en-US" sz="800" dirty="0" smtClean="0"/>
                            <a:t> (Non-DMG STA)</a:t>
                          </a:r>
                          <a:endParaRPr lang="en-CA" sz="800" dirty="0" smtClean="0"/>
                        </a:p>
                      </a:txBody>
                      <a:useSpRect/>
                    </a:txSp>
                  </a:sp>
                  <a:cxnSp>
                    <a:nvCxnSpPr>
                      <a:cNvPr id="88" name="Straight Arrow Connector 87"/>
                      <a:cNvCxnSpPr/>
                    </a:nvCxnSpPr>
                    <a:spPr bwMode="auto">
                      <a:xfrm flipH="1">
                        <a:off x="1958487" y="4423270"/>
                        <a:ext cx="1422958"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90" name="TextBox 89"/>
                      <a:cNvSpPr txBox="1"/>
                    </a:nvSpPr>
                    <a:spPr>
                      <a:xfrm>
                        <a:off x="2337758" y="4253993"/>
                        <a:ext cx="946093" cy="33855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err="1" smtClean="0"/>
                            <a:t>Deauthentication</a:t>
                          </a:r>
                          <a:endParaRPr lang="en-US" sz="800" dirty="0" smtClean="0"/>
                        </a:p>
                        <a:p>
                          <a:r>
                            <a:rPr lang="en-US" sz="800" dirty="0" smtClean="0"/>
                            <a:t> (Non-DMG STA)</a:t>
                          </a:r>
                          <a:endParaRPr lang="en-CA" sz="800" dirty="0" smtClean="0"/>
                        </a:p>
                      </a:txBody>
                      <a:useSpRect/>
                    </a:txSp>
                  </a:sp>
                  <a:cxnSp>
                    <a:nvCxnSpPr>
                      <a:cNvPr id="92" name="Straight Arrow Connector 91"/>
                      <a:cNvCxnSpPr/>
                    </a:nvCxnSpPr>
                    <a:spPr bwMode="auto">
                      <a:xfrm flipH="1">
                        <a:off x="2246051" y="4089137"/>
                        <a:ext cx="1117148" cy="0"/>
                      </a:xfrm>
                      <a:prstGeom prst="straightConnector1">
                        <a:avLst/>
                      </a:prstGeom>
                      <a:solidFill>
                        <a:schemeClr val="accent1"/>
                      </a:solidFill>
                      <a:ln w="12700" cap="flat" cmpd="sng" algn="ctr">
                        <a:solidFill>
                          <a:schemeClr val="tx1"/>
                        </a:solidFill>
                        <a:prstDash val="solid"/>
                        <a:round/>
                        <a:headEnd type="none" w="sm" len="sm"/>
                        <a:tailEnd type="arrow"/>
                      </a:ln>
                      <a:effectLst/>
                    </a:spPr>
                  </a:cxnSp>
                  <a:sp>
                    <a:nvSpPr>
                      <a:cNvPr id="94" name="TextBox 93"/>
                      <a:cNvSpPr txBox="1"/>
                    </a:nvSpPr>
                    <a:spPr>
                      <a:xfrm>
                        <a:off x="2320926" y="3372842"/>
                        <a:ext cx="849913" cy="461665"/>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1. Unsuccessful</a:t>
                          </a:r>
                        </a:p>
                        <a:p>
                          <a:r>
                            <a:rPr lang="en-US" sz="800" dirty="0" smtClean="0"/>
                            <a:t>(Re)Association</a:t>
                          </a:r>
                        </a:p>
                        <a:p>
                          <a:r>
                            <a:rPr lang="en-US" sz="800" dirty="0" smtClean="0"/>
                            <a:t>(Non-AP STA)</a:t>
                          </a:r>
                          <a:endParaRPr lang="en-CA" sz="800" dirty="0" smtClean="0"/>
                        </a:p>
                      </a:txBody>
                      <a:useSpRect/>
                    </a:txSp>
                  </a:sp>
                  <a:sp>
                    <a:nvSpPr>
                      <a:cNvPr id="95" name="TextBox 94"/>
                      <a:cNvSpPr txBox="1"/>
                    </a:nvSpPr>
                    <a:spPr>
                      <a:xfrm>
                        <a:off x="2337758" y="3873693"/>
                        <a:ext cx="859531"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t>2.Disassociation</a:t>
                          </a:r>
                          <a:endParaRPr lang="en-CA" sz="800" dirty="0" smtClean="0"/>
                        </a:p>
                      </a:txBody>
                      <a:useSpRect/>
                    </a:txSp>
                  </a:sp>
                  <a:sp>
                    <a:nvSpPr>
                      <a:cNvPr id="54" name="Freeform 53"/>
                      <a:cNvSpPr/>
                    </a:nvSpPr>
                    <a:spPr bwMode="auto">
                      <a:xfrm>
                        <a:off x="5493720" y="4453336"/>
                        <a:ext cx="883315" cy="1210539"/>
                      </a:xfrm>
                      <a:custGeom>
                        <a:avLst/>
                        <a:gdLst>
                          <a:gd name="connsiteX0" fmla="*/ 1923690 w 1932317"/>
                          <a:gd name="connsiteY0" fmla="*/ 0 h 2329133"/>
                          <a:gd name="connsiteX1" fmla="*/ 1932317 w 1932317"/>
                          <a:gd name="connsiteY1" fmla="*/ 2329133 h 2329133"/>
                          <a:gd name="connsiteX2" fmla="*/ 0 w 1932317"/>
                          <a:gd name="connsiteY2" fmla="*/ 2329133 h 2329133"/>
                        </a:gdLst>
                        <a:ahLst/>
                        <a:cxnLst>
                          <a:cxn ang="0">
                            <a:pos x="connsiteX0" y="connsiteY0"/>
                          </a:cxn>
                          <a:cxn ang="0">
                            <a:pos x="connsiteX1" y="connsiteY1"/>
                          </a:cxn>
                          <a:cxn ang="0">
                            <a:pos x="connsiteX2" y="connsiteY2"/>
                          </a:cxn>
                        </a:cxnLst>
                        <a:rect l="l" t="t" r="r" b="b"/>
                        <a:pathLst>
                          <a:path w="1932317" h="2329133">
                            <a:moveTo>
                              <a:pt x="1923690" y="0"/>
                            </a:moveTo>
                            <a:cubicBezTo>
                              <a:pt x="1926566" y="776378"/>
                              <a:pt x="1929441" y="1552755"/>
                              <a:pt x="1932317" y="2329133"/>
                            </a:cubicBezTo>
                            <a:lnTo>
                              <a:pt x="0" y="2329133"/>
                            </a:lnTo>
                          </a:path>
                        </a:pathLst>
                      </a:custGeom>
                      <a:noFill/>
                      <a:ln w="12700" cap="flat" cmpd="sng" algn="ctr">
                        <a:solidFill>
                          <a:schemeClr val="tx1"/>
                        </a:solidFill>
                        <a:prstDash val="solid"/>
                        <a:round/>
                        <a:headEnd type="arrow"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CA" sz="1200" b="0" i="0" u="none" strike="noStrike" cap="none" normalizeH="0" baseline="0">
                            <a:ln>
                              <a:noFill/>
                            </a:ln>
                            <a:solidFill>
                              <a:schemeClr val="tx1"/>
                            </a:solidFill>
                            <a:effectLst/>
                            <a:latin typeface="Times New Roman" charset="0"/>
                          </a:endParaRPr>
                        </a:p>
                      </a:txBody>
                      <a:useSpRect/>
                    </a:txSp>
                  </a:sp>
                  <a:sp>
                    <a:nvSpPr>
                      <a:cNvPr id="55" name="TextBox 54"/>
                      <a:cNvSpPr txBox="1"/>
                    </a:nvSpPr>
                    <a:spPr>
                      <a:xfrm>
                        <a:off x="5331556" y="4827105"/>
                        <a:ext cx="1045479" cy="215444"/>
                      </a:xfrm>
                      <a:prstGeom prst="rect">
                        <a:avLst/>
                      </a:prstGeom>
                      <a:noFill/>
                    </a:spPr>
                    <a:txSp>
                      <a:txBody>
                        <a:bodyPr wrap="none" rtlCol="0">
                          <a:spAutoFit/>
                        </a:bodyPr>
                        <a:lstStyle>
                          <a:defPPr>
                            <a:defRPr lang="en-US"/>
                          </a:defPPr>
                          <a:lvl1pPr algn="l" rtl="0" fontAlgn="base">
                            <a:spcBef>
                              <a:spcPct val="0"/>
                            </a:spcBef>
                            <a:spcAft>
                              <a:spcPct val="0"/>
                            </a:spcAft>
                            <a:defRPr sz="1200" kern="1200">
                              <a:solidFill>
                                <a:schemeClr val="tx1"/>
                              </a:solidFill>
                              <a:latin typeface="Times New Roman" pitchFamily="18" charset="0"/>
                              <a:ea typeface="宋体" pitchFamily="2" charset="-122"/>
                              <a:cs typeface="+mn-cs"/>
                            </a:defRPr>
                          </a:lvl1pPr>
                          <a:lvl2pPr marL="457200" algn="l" rtl="0" fontAlgn="base">
                            <a:spcBef>
                              <a:spcPct val="0"/>
                            </a:spcBef>
                            <a:spcAft>
                              <a:spcPct val="0"/>
                            </a:spcAft>
                            <a:defRPr sz="1200" kern="1200">
                              <a:solidFill>
                                <a:schemeClr val="tx1"/>
                              </a:solidFill>
                              <a:latin typeface="Times New Roman" pitchFamily="18" charset="0"/>
                              <a:ea typeface="宋体" pitchFamily="2" charset="-122"/>
                              <a:cs typeface="+mn-cs"/>
                            </a:defRPr>
                          </a:lvl2pPr>
                          <a:lvl3pPr marL="914400" algn="l" rtl="0" fontAlgn="base">
                            <a:spcBef>
                              <a:spcPct val="0"/>
                            </a:spcBef>
                            <a:spcAft>
                              <a:spcPct val="0"/>
                            </a:spcAft>
                            <a:defRPr sz="1200" kern="1200">
                              <a:solidFill>
                                <a:schemeClr val="tx1"/>
                              </a:solidFill>
                              <a:latin typeface="Times New Roman" pitchFamily="18" charset="0"/>
                              <a:ea typeface="宋体" pitchFamily="2" charset="-122"/>
                              <a:cs typeface="+mn-cs"/>
                            </a:defRPr>
                          </a:lvl3pPr>
                          <a:lvl4pPr marL="1371600" algn="l" rtl="0" fontAlgn="base">
                            <a:spcBef>
                              <a:spcPct val="0"/>
                            </a:spcBef>
                            <a:spcAft>
                              <a:spcPct val="0"/>
                            </a:spcAft>
                            <a:defRPr sz="1200" kern="1200">
                              <a:solidFill>
                                <a:schemeClr val="tx1"/>
                              </a:solidFill>
                              <a:latin typeface="Times New Roman" pitchFamily="18" charset="0"/>
                              <a:ea typeface="宋体" pitchFamily="2" charset="-122"/>
                              <a:cs typeface="+mn-cs"/>
                            </a:defRPr>
                          </a:lvl4pPr>
                          <a:lvl5pPr marL="1828800" algn="l" rtl="0" fontAlgn="base">
                            <a:spcBef>
                              <a:spcPct val="0"/>
                            </a:spcBef>
                            <a:spcAft>
                              <a:spcPct val="0"/>
                            </a:spcAft>
                            <a:defRPr sz="1200" kern="1200">
                              <a:solidFill>
                                <a:schemeClr val="tx1"/>
                              </a:solidFill>
                              <a:latin typeface="Times New Roman" pitchFamily="18" charset="0"/>
                              <a:ea typeface="宋体" pitchFamily="2" charset="-122"/>
                              <a:cs typeface="+mn-cs"/>
                            </a:defRPr>
                          </a:lvl5pPr>
                          <a:lvl6pPr marL="2286000" algn="l" defTabSz="914400" rtl="0" eaLnBrk="1" latinLnBrk="0" hangingPunct="1">
                            <a:defRPr sz="1200" kern="1200">
                              <a:solidFill>
                                <a:schemeClr val="tx1"/>
                              </a:solidFill>
                              <a:latin typeface="Times New Roman" pitchFamily="18" charset="0"/>
                              <a:ea typeface="宋体" pitchFamily="2" charset="-122"/>
                              <a:cs typeface="+mn-cs"/>
                            </a:defRPr>
                          </a:lvl6pPr>
                          <a:lvl7pPr marL="2743200" algn="l" defTabSz="914400" rtl="0" eaLnBrk="1" latinLnBrk="0" hangingPunct="1">
                            <a:defRPr sz="1200" kern="1200">
                              <a:solidFill>
                                <a:schemeClr val="tx1"/>
                              </a:solidFill>
                              <a:latin typeface="Times New Roman" pitchFamily="18" charset="0"/>
                              <a:ea typeface="宋体" pitchFamily="2" charset="-122"/>
                              <a:cs typeface="+mn-cs"/>
                            </a:defRPr>
                          </a:lvl7pPr>
                          <a:lvl8pPr marL="3200400" algn="l" defTabSz="914400" rtl="0" eaLnBrk="1" latinLnBrk="0" hangingPunct="1">
                            <a:defRPr sz="1200" kern="1200">
                              <a:solidFill>
                                <a:schemeClr val="tx1"/>
                              </a:solidFill>
                              <a:latin typeface="Times New Roman" pitchFamily="18" charset="0"/>
                              <a:ea typeface="宋体" pitchFamily="2" charset="-122"/>
                              <a:cs typeface="+mn-cs"/>
                            </a:defRPr>
                          </a:lvl8pPr>
                          <a:lvl9pPr marL="3657600" algn="l" defTabSz="914400" rtl="0" eaLnBrk="1" latinLnBrk="0" hangingPunct="1">
                            <a:defRPr sz="1200" kern="1200">
                              <a:solidFill>
                                <a:schemeClr val="tx1"/>
                              </a:solidFill>
                              <a:latin typeface="Times New Roman" pitchFamily="18" charset="0"/>
                              <a:ea typeface="宋体" pitchFamily="2" charset="-122"/>
                              <a:cs typeface="+mn-cs"/>
                            </a:defRPr>
                          </a:lvl9pPr>
                        </a:lstStyle>
                        <a:p>
                          <a:r>
                            <a:rPr lang="en-US" sz="800" dirty="0" smtClean="0">
                              <a:solidFill>
                                <a:srgbClr val="FF3300"/>
                              </a:solidFill>
                            </a:rPr>
                            <a:t>FILS  </a:t>
                          </a:r>
                          <a:r>
                            <a:rPr lang="en-US" sz="800" dirty="0" smtClean="0">
                              <a:solidFill>
                                <a:srgbClr val="FF3300"/>
                              </a:solidFill>
                            </a:rPr>
                            <a:t>Disassociation</a:t>
                          </a:r>
                          <a:endParaRPr lang="en-CA" sz="800" dirty="0" smtClean="0">
                            <a:solidFill>
                              <a:srgbClr val="FF3300"/>
                            </a:solidFill>
                          </a:endParaRPr>
                        </a:p>
                      </a:txBody>
                      <a:useSpRect/>
                    </a:txSp>
                  </a:sp>
                </lc:lockedCanvas>
              </a:graphicData>
            </a:graphic>
          </wp:inline>
        </w:drawing>
      </w:r>
    </w:p>
    <w:p w:rsidR="00C25406" w:rsidRDefault="00C25406" w:rsidP="00FC4C5D">
      <w:pPr>
        <w:pStyle w:val="T"/>
        <w:rPr>
          <w:color w:val="FF0000"/>
          <w:w w:val="100"/>
        </w:rPr>
      </w:pPr>
    </w:p>
    <w:p w:rsidR="00FC4C5D" w:rsidRDefault="00BB5140" w:rsidP="00FC4C5D">
      <w:pPr>
        <w:pStyle w:val="T"/>
        <w:rPr>
          <w:w w:val="100"/>
        </w:rPr>
      </w:pPr>
      <w:r w:rsidRPr="00BB5140">
        <w:rPr>
          <w:color w:val="FF0000"/>
          <w:w w:val="100"/>
        </w:rPr>
        <w:t>Figure 10-12- Relationship between State and Services between a given pair of non-mesh STA</w:t>
      </w:r>
    </w:p>
    <w:p w:rsidR="00FC4C5D" w:rsidRDefault="00FC4C5D" w:rsidP="00FC4C5D">
      <w:pPr>
        <w:pStyle w:val="H3"/>
        <w:numPr>
          <w:ilvl w:val="0"/>
          <w:numId w:val="57"/>
        </w:numPr>
        <w:rPr>
          <w:w w:val="100"/>
        </w:rPr>
      </w:pPr>
      <w:bookmarkStart w:id="0" w:name="RTF32373238323a2048332c312e"/>
      <w:r>
        <w:rPr>
          <w:w w:val="100"/>
        </w:rPr>
        <w:t>Frame filtering based on STA state</w:t>
      </w:r>
      <w:bookmarkEnd w:id="0"/>
    </w:p>
    <w:p w:rsidR="00FC4C5D" w:rsidRDefault="00FC4C5D" w:rsidP="00FC4C5D">
      <w:pPr>
        <w:pStyle w:val="T"/>
        <w:rPr>
          <w:rStyle w:val="editorinsertion"/>
        </w:rPr>
      </w:pPr>
      <w:r>
        <w:rPr>
          <w:w w:val="100"/>
        </w:rPr>
        <w:t xml:space="preserve">The current state existing between the transmitter and receiver STAs determines the IEEE Std(#130) 802.11 frame types that may be exchanged between that pair of STAs (see Clause 8 (Frame formats)). A unique state exists for each pair of transmitter and receiver STAs. The allowed frame types are grouped into classes and the classes correspond to the STA state. In State 1, only Class 1 frames are allowed. In State 2, either Class 1 or Class 2 frames are allowed. In State 3 and State 4, all frames are allowed (Classes 1, 2, and 3). </w:t>
      </w:r>
      <w:r>
        <w:rPr>
          <w:rStyle w:val="editorinsertion"/>
        </w:rPr>
        <w:t>In the definition of frame classes, the following terms are used:(11ad)</w:t>
      </w:r>
    </w:p>
    <w:p w:rsidR="00FC4C5D" w:rsidRDefault="00FC4C5D" w:rsidP="00FC4C5D">
      <w:pPr>
        <w:pStyle w:val="DL"/>
        <w:numPr>
          <w:ilvl w:val="0"/>
          <w:numId w:val="42"/>
        </w:numPr>
        <w:ind w:left="640" w:hanging="440"/>
        <w:rPr>
          <w:rStyle w:val="editorinsertion"/>
        </w:rPr>
      </w:pPr>
      <w:r>
        <w:rPr>
          <w:rStyle w:val="editorinsertion"/>
          <w:i/>
          <w:iCs/>
        </w:rPr>
        <w:t>Within an infrastructure BSS:</w:t>
      </w:r>
      <w:r>
        <w:rPr>
          <w:rStyle w:val="editorinsertion"/>
        </w:rPr>
        <w:t xml:space="preserve"> both the transmitting STA and the recipient STA participate in the same infrastructure BSS</w:t>
      </w:r>
    </w:p>
    <w:p w:rsidR="00FC4C5D" w:rsidRDefault="00FC4C5D" w:rsidP="00FC4C5D">
      <w:pPr>
        <w:pStyle w:val="DL"/>
        <w:numPr>
          <w:ilvl w:val="0"/>
          <w:numId w:val="42"/>
        </w:numPr>
        <w:ind w:left="640" w:hanging="440"/>
        <w:rPr>
          <w:rStyle w:val="editorinsertion"/>
        </w:rPr>
      </w:pPr>
      <w:r>
        <w:rPr>
          <w:rStyle w:val="editorinsertion"/>
          <w:i/>
          <w:iCs/>
        </w:rPr>
        <w:t>Within a PBSS:</w:t>
      </w:r>
      <w:r>
        <w:rPr>
          <w:rStyle w:val="editorinsertion"/>
        </w:rPr>
        <w:t xml:space="preserve"> both the transmitting STA and the recipient STA participate in the same PBSS</w:t>
      </w:r>
    </w:p>
    <w:p w:rsidR="00FC4C5D" w:rsidRDefault="00FC4C5D" w:rsidP="00FC4C5D">
      <w:pPr>
        <w:pStyle w:val="DL"/>
        <w:numPr>
          <w:ilvl w:val="0"/>
          <w:numId w:val="42"/>
        </w:numPr>
        <w:ind w:left="640" w:hanging="440"/>
        <w:rPr>
          <w:rStyle w:val="editorinsertion"/>
        </w:rPr>
      </w:pPr>
      <w:r>
        <w:rPr>
          <w:rStyle w:val="editorinsertion"/>
          <w:i/>
          <w:iCs/>
        </w:rPr>
        <w:t>Within an IBSS:</w:t>
      </w:r>
      <w:r>
        <w:rPr>
          <w:rStyle w:val="editorinsertion"/>
        </w:rPr>
        <w:t xml:space="preserve"> both the transmitting STA and the recipient STA participate in the same IBSS</w:t>
      </w:r>
    </w:p>
    <w:p w:rsidR="00FC4C5D" w:rsidRDefault="00FC4C5D" w:rsidP="00FC4C5D">
      <w:pPr>
        <w:pStyle w:val="DL"/>
        <w:numPr>
          <w:ilvl w:val="0"/>
          <w:numId w:val="42"/>
        </w:numPr>
        <w:ind w:left="640" w:hanging="440"/>
        <w:rPr>
          <w:rStyle w:val="editorinsertion"/>
        </w:rPr>
      </w:pPr>
      <w:r>
        <w:rPr>
          <w:rStyle w:val="editorinsertion"/>
          <w:i/>
          <w:iCs/>
        </w:rPr>
        <w:lastRenderedPageBreak/>
        <w:t>dot11RSNAEnabled:</w:t>
      </w:r>
      <w:r>
        <w:rPr>
          <w:rStyle w:val="editorinsertion"/>
        </w:rPr>
        <w:t xml:space="preserve"> reference to the setting of dot11RSNAEnabled at the STA that needs to determine whether a transmission or reception is permitted.</w:t>
      </w:r>
    </w:p>
    <w:p w:rsidR="00FC4C5D" w:rsidRDefault="00FC4C5D" w:rsidP="00FC4C5D">
      <w:pPr>
        <w:pStyle w:val="Note"/>
        <w:rPr>
          <w:w w:val="100"/>
        </w:rPr>
      </w:pPr>
      <w:r>
        <w:rPr>
          <w:w w:val="100"/>
        </w:rPr>
        <w:t>NOTE—The phrase “within a BSS” comprises “within a PBSS,” “within an IBSS,” “within a MBSS,” or “within an infrastructure BSS.” (11ad)</w:t>
      </w:r>
    </w:p>
    <w:p w:rsidR="00FC4C5D" w:rsidRDefault="00FC4C5D" w:rsidP="00FC4C5D">
      <w:pPr>
        <w:pStyle w:val="T"/>
        <w:rPr>
          <w:rStyle w:val="editorinsertion"/>
        </w:rPr>
      </w:pPr>
      <w:r>
        <w:rPr>
          <w:rStyle w:val="editorinsertion"/>
        </w:rPr>
        <w:t>STA A participates in the same infrastructure BSS as STA B if at least one of the following conditions is met:(11ad)</w:t>
      </w:r>
    </w:p>
    <w:p w:rsidR="00FC4C5D" w:rsidRDefault="00FC4C5D" w:rsidP="00FC4C5D">
      <w:pPr>
        <w:pStyle w:val="DL"/>
        <w:numPr>
          <w:ilvl w:val="0"/>
          <w:numId w:val="42"/>
        </w:numPr>
        <w:ind w:left="640" w:hanging="440"/>
        <w:rPr>
          <w:rStyle w:val="editorinsertion"/>
        </w:rPr>
      </w:pPr>
      <w:r>
        <w:rPr>
          <w:rStyle w:val="editorinsertion"/>
        </w:rPr>
        <w:t>STA A is associated with STA B, and either STA A or STA B is an AP.</w:t>
      </w:r>
    </w:p>
    <w:p w:rsidR="00FC4C5D" w:rsidRDefault="00FC4C5D" w:rsidP="00FC4C5D">
      <w:pPr>
        <w:pStyle w:val="DL"/>
        <w:numPr>
          <w:ilvl w:val="0"/>
          <w:numId w:val="42"/>
        </w:numPr>
        <w:ind w:left="640" w:hanging="440"/>
        <w:rPr>
          <w:rStyle w:val="editorinsertion"/>
        </w:rPr>
      </w:pPr>
      <w:r>
        <w:rPr>
          <w:rStyle w:val="editorinsertion"/>
        </w:rPr>
        <w:t>STA A receives a frame with the value of its TA field equal to the MAC address of STA B and with the value of its BSSID field equal to the BSSID of the BSS with which STA A is associated.</w:t>
      </w:r>
    </w:p>
    <w:p w:rsidR="00FC4C5D" w:rsidRDefault="00FC4C5D" w:rsidP="00FC4C5D">
      <w:pPr>
        <w:pStyle w:val="DL"/>
        <w:numPr>
          <w:ilvl w:val="0"/>
          <w:numId w:val="42"/>
        </w:numPr>
        <w:ind w:left="640" w:hanging="440"/>
        <w:rPr>
          <w:rStyle w:val="editorinsertion"/>
        </w:rPr>
      </w:pPr>
      <w:r>
        <w:rPr>
          <w:rStyle w:val="editorinsertion"/>
        </w:rPr>
        <w:t xml:space="preserve">STA A receives an Information Response frame from the AP with which it is associated containing an explicit indication that STA B is a member of the BSS with which STA A is associated. </w:t>
      </w:r>
    </w:p>
    <w:p w:rsidR="00FC4C5D" w:rsidRDefault="00FC4C5D" w:rsidP="00FC4C5D">
      <w:pPr>
        <w:pStyle w:val="T"/>
        <w:rPr>
          <w:rStyle w:val="editorinsertion"/>
        </w:rPr>
      </w:pPr>
      <w:r>
        <w:rPr>
          <w:rStyle w:val="editorinsertion"/>
        </w:rPr>
        <w:t>STA A participates in the same PBSS as STA B if at least one of the following conditions is met:(11ad)</w:t>
      </w:r>
    </w:p>
    <w:p w:rsidR="00FC4C5D" w:rsidRDefault="00FC4C5D" w:rsidP="00FC4C5D">
      <w:pPr>
        <w:pStyle w:val="DL"/>
        <w:numPr>
          <w:ilvl w:val="0"/>
          <w:numId w:val="42"/>
        </w:numPr>
        <w:ind w:left="640" w:hanging="440"/>
        <w:rPr>
          <w:rStyle w:val="editorinsertion"/>
        </w:rPr>
      </w:pPr>
      <w:r>
        <w:rPr>
          <w:rStyle w:val="editorinsertion"/>
        </w:rPr>
        <w:t>STA A is associated with STA B, and either STA A or STA B is a PCP.</w:t>
      </w:r>
    </w:p>
    <w:p w:rsidR="00FC4C5D" w:rsidRDefault="00FC4C5D" w:rsidP="00FC4C5D">
      <w:pPr>
        <w:pStyle w:val="DL"/>
        <w:numPr>
          <w:ilvl w:val="0"/>
          <w:numId w:val="42"/>
        </w:numPr>
        <w:ind w:left="640" w:hanging="440"/>
        <w:rPr>
          <w:rStyle w:val="editorinsertion"/>
        </w:rPr>
      </w:pPr>
      <w:r>
        <w:rPr>
          <w:rStyle w:val="editorinsertion"/>
        </w:rPr>
        <w:t>STA A receives a frame with the value of its TA field equal to the MAC address of STA B and with the value of its BSSID field equal to the BSSID of the PBSS that STA A has joined or started.</w:t>
      </w:r>
    </w:p>
    <w:p w:rsidR="00FC4C5D" w:rsidRDefault="00FC4C5D" w:rsidP="00FC4C5D">
      <w:pPr>
        <w:pStyle w:val="DL"/>
        <w:numPr>
          <w:ilvl w:val="0"/>
          <w:numId w:val="42"/>
        </w:numPr>
        <w:ind w:left="640" w:hanging="440"/>
        <w:rPr>
          <w:rStyle w:val="editorinsertion"/>
        </w:rPr>
      </w:pPr>
      <w:r>
        <w:rPr>
          <w:rStyle w:val="editorinsertion"/>
        </w:rPr>
        <w:t>STA A receives a frame, i.e.</w:t>
      </w:r>
      <w:r>
        <w:rPr>
          <w:spacing w:val="-2"/>
          <w:w w:val="100"/>
        </w:rPr>
        <w:t>,(#1559)</w:t>
      </w:r>
      <w:r>
        <w:rPr>
          <w:rStyle w:val="editorinsertion"/>
        </w:rPr>
        <w:t xml:space="preserve"> an Information Response frame, from its PCP containing an explicit indication that STA B is a member of the PBSS that STA A has joined.</w:t>
      </w:r>
    </w:p>
    <w:p w:rsidR="00FC4C5D" w:rsidRDefault="00FC4C5D" w:rsidP="00FC4C5D">
      <w:pPr>
        <w:pStyle w:val="T"/>
        <w:rPr>
          <w:rStyle w:val="editorinsertion"/>
        </w:rPr>
      </w:pPr>
      <w:r>
        <w:rPr>
          <w:rStyle w:val="editorinsertion"/>
        </w:rPr>
        <w:t>STA A participates in the same IBSS as STA B if STA A receives a frame with the value of its TA field equal to the MAC address of STA B and with the value of its BSSID field equal to the BSSID of the IBSS that STA A has joined or started.(11ad)</w:t>
      </w:r>
    </w:p>
    <w:p w:rsidR="00FC4C5D" w:rsidRDefault="00FC4C5D" w:rsidP="00FC4C5D">
      <w:pPr>
        <w:pStyle w:val="T"/>
        <w:rPr>
          <w:w w:val="100"/>
        </w:rPr>
      </w:pPr>
      <w:r>
        <w:rPr>
          <w:w w:val="100"/>
        </w:rPr>
        <w:t>The frame classes are defined as follows:</w:t>
      </w:r>
    </w:p>
    <w:p w:rsidR="00FC4C5D" w:rsidRDefault="00FC4C5D" w:rsidP="00FC4C5D">
      <w:pPr>
        <w:pStyle w:val="L1"/>
        <w:numPr>
          <w:ilvl w:val="0"/>
          <w:numId w:val="43"/>
        </w:numPr>
        <w:ind w:left="640" w:hanging="440"/>
        <w:rPr>
          <w:w w:val="100"/>
        </w:rPr>
      </w:pPr>
      <w:r>
        <w:rPr>
          <w:w w:val="100"/>
        </w:rPr>
        <w:t>Class 1 frames</w:t>
      </w:r>
    </w:p>
    <w:p w:rsidR="00FC4C5D" w:rsidRDefault="00FC4C5D" w:rsidP="00FC4C5D">
      <w:pPr>
        <w:pStyle w:val="Ll1"/>
        <w:numPr>
          <w:ilvl w:val="0"/>
          <w:numId w:val="49"/>
        </w:numPr>
        <w:ind w:left="1040" w:hanging="400"/>
        <w:rPr>
          <w:w w:val="100"/>
        </w:rPr>
      </w:pPr>
      <w:r>
        <w:rPr>
          <w:w w:val="100"/>
        </w:rPr>
        <w:t>Control frames</w:t>
      </w:r>
    </w:p>
    <w:p w:rsidR="00FC4C5D" w:rsidRDefault="00FC4C5D" w:rsidP="00FC4C5D">
      <w:pPr>
        <w:pStyle w:val="Lll1"/>
        <w:numPr>
          <w:ilvl w:val="0"/>
          <w:numId w:val="53"/>
        </w:numPr>
        <w:ind w:left="1440" w:hanging="400"/>
        <w:rPr>
          <w:w w:val="100"/>
        </w:rPr>
      </w:pPr>
      <w:r>
        <w:rPr>
          <w:w w:val="100"/>
        </w:rPr>
        <w:t>RTS</w:t>
      </w:r>
    </w:p>
    <w:p w:rsidR="00FC4C5D" w:rsidRDefault="00FC4C5D" w:rsidP="00FC4C5D">
      <w:pPr>
        <w:pStyle w:val="Lll"/>
        <w:numPr>
          <w:ilvl w:val="0"/>
          <w:numId w:val="58"/>
        </w:numPr>
        <w:ind w:left="1440" w:hanging="400"/>
        <w:rPr>
          <w:w w:val="100"/>
        </w:rPr>
      </w:pPr>
      <w:r>
        <w:rPr>
          <w:w w:val="100"/>
        </w:rPr>
        <w:t>CTS</w:t>
      </w:r>
    </w:p>
    <w:p w:rsidR="00FC4C5D" w:rsidRDefault="00FC4C5D" w:rsidP="00FC4C5D">
      <w:pPr>
        <w:pStyle w:val="Lll"/>
        <w:numPr>
          <w:ilvl w:val="0"/>
          <w:numId w:val="59"/>
        </w:numPr>
        <w:ind w:left="1440" w:hanging="400"/>
        <w:rPr>
          <w:w w:val="100"/>
        </w:rPr>
      </w:pPr>
      <w:r>
        <w:rPr>
          <w:w w:val="100"/>
        </w:rPr>
        <w:t>DMG Clear to send (DMG CTS)(11ad)(Ed)</w:t>
      </w:r>
    </w:p>
    <w:p w:rsidR="00FC4C5D" w:rsidRDefault="00FC4C5D" w:rsidP="00FC4C5D">
      <w:pPr>
        <w:pStyle w:val="Lll"/>
        <w:numPr>
          <w:ilvl w:val="0"/>
          <w:numId w:val="60"/>
        </w:numPr>
        <w:ind w:left="1440" w:hanging="400"/>
        <w:rPr>
          <w:w w:val="100"/>
        </w:rPr>
      </w:pPr>
      <w:r>
        <w:rPr>
          <w:w w:val="100"/>
        </w:rPr>
        <w:t>(#1198)Ack</w:t>
      </w:r>
    </w:p>
    <w:p w:rsidR="00FC4C5D" w:rsidRDefault="00FC4C5D" w:rsidP="00FC4C5D">
      <w:pPr>
        <w:pStyle w:val="Lll"/>
        <w:numPr>
          <w:ilvl w:val="0"/>
          <w:numId w:val="61"/>
        </w:numPr>
        <w:ind w:left="1440" w:hanging="400"/>
        <w:rPr>
          <w:w w:val="100"/>
        </w:rPr>
      </w:pPr>
      <w:r>
        <w:rPr>
          <w:w w:val="100"/>
        </w:rPr>
        <w:t>Grant(11ad)</w:t>
      </w:r>
    </w:p>
    <w:p w:rsidR="00FC4C5D" w:rsidRDefault="00FC4C5D" w:rsidP="00FC4C5D">
      <w:pPr>
        <w:pStyle w:val="Lll"/>
        <w:numPr>
          <w:ilvl w:val="0"/>
          <w:numId w:val="62"/>
        </w:numPr>
        <w:ind w:left="1440" w:hanging="400"/>
        <w:rPr>
          <w:w w:val="100"/>
        </w:rPr>
      </w:pPr>
      <w:r>
        <w:rPr>
          <w:w w:val="100"/>
        </w:rPr>
        <w:t>SSW(11ad)</w:t>
      </w:r>
    </w:p>
    <w:p w:rsidR="00FC4C5D" w:rsidRDefault="00FC4C5D" w:rsidP="00FC4C5D">
      <w:pPr>
        <w:pStyle w:val="Lll"/>
        <w:numPr>
          <w:ilvl w:val="0"/>
          <w:numId w:val="63"/>
        </w:numPr>
        <w:ind w:left="1440" w:hanging="400"/>
        <w:rPr>
          <w:w w:val="100"/>
        </w:rPr>
      </w:pPr>
      <w:r>
        <w:rPr>
          <w:w w:val="100"/>
        </w:rPr>
        <w:t>SSW-Feedback(11ad)</w:t>
      </w:r>
    </w:p>
    <w:p w:rsidR="00FC4C5D" w:rsidRDefault="00FC4C5D" w:rsidP="00FC4C5D">
      <w:pPr>
        <w:pStyle w:val="Lll"/>
        <w:numPr>
          <w:ilvl w:val="0"/>
          <w:numId w:val="64"/>
        </w:numPr>
        <w:ind w:left="1440" w:hanging="400"/>
        <w:rPr>
          <w:w w:val="100"/>
        </w:rPr>
      </w:pPr>
      <w:r>
        <w:rPr>
          <w:w w:val="100"/>
        </w:rPr>
        <w:t>SSW-(#1198)Ack(11ad)</w:t>
      </w:r>
    </w:p>
    <w:p w:rsidR="00FC4C5D" w:rsidRDefault="00FC4C5D" w:rsidP="00FC4C5D">
      <w:pPr>
        <w:pStyle w:val="Lll"/>
        <w:numPr>
          <w:ilvl w:val="0"/>
          <w:numId w:val="65"/>
        </w:numPr>
        <w:ind w:left="1440" w:hanging="400"/>
        <w:rPr>
          <w:w w:val="100"/>
        </w:rPr>
      </w:pPr>
      <w:r>
        <w:rPr>
          <w:w w:val="100"/>
        </w:rPr>
        <w:t>Grant (#1198)Ack(11ad)</w:t>
      </w:r>
    </w:p>
    <w:p w:rsidR="00FC4C5D" w:rsidRDefault="00FC4C5D" w:rsidP="00FC4C5D">
      <w:pPr>
        <w:pStyle w:val="Lll"/>
        <w:numPr>
          <w:ilvl w:val="0"/>
          <w:numId w:val="66"/>
        </w:numPr>
        <w:ind w:left="1440" w:hanging="400"/>
        <w:rPr>
          <w:w w:val="100"/>
        </w:rPr>
      </w:pPr>
      <w:r>
        <w:rPr>
          <w:w w:val="100"/>
        </w:rPr>
        <w:t>CF-End+CF-Ack(Ed)</w:t>
      </w:r>
    </w:p>
    <w:p w:rsidR="00FC4C5D" w:rsidRDefault="00FC4C5D" w:rsidP="00FC4C5D">
      <w:pPr>
        <w:pStyle w:val="Lll"/>
        <w:numPr>
          <w:ilvl w:val="0"/>
          <w:numId w:val="67"/>
        </w:numPr>
        <w:ind w:left="1440" w:hanging="400"/>
        <w:rPr>
          <w:w w:val="100"/>
        </w:rPr>
      </w:pPr>
      <w:r>
        <w:rPr>
          <w:w w:val="100"/>
        </w:rPr>
        <w:t>CF-End</w:t>
      </w:r>
    </w:p>
    <w:p w:rsidR="00FC4C5D" w:rsidRDefault="00FC4C5D" w:rsidP="00FC4C5D">
      <w:pPr>
        <w:pStyle w:val="Lll"/>
        <w:numPr>
          <w:ilvl w:val="0"/>
          <w:numId w:val="68"/>
        </w:numPr>
        <w:ind w:left="1440" w:hanging="400"/>
        <w:rPr>
          <w:w w:val="100"/>
        </w:rPr>
      </w:pPr>
      <w:r>
        <w:rPr>
          <w:w w:val="100"/>
        </w:rPr>
        <w:t>Within an IBSS and within a PBSS when dot11RSNAEnabled is false(11ad), Block Ack (BlockAck)</w:t>
      </w:r>
    </w:p>
    <w:p w:rsidR="00FC4C5D" w:rsidRDefault="00FC4C5D" w:rsidP="00FC4C5D">
      <w:pPr>
        <w:pStyle w:val="Lll"/>
        <w:numPr>
          <w:ilvl w:val="0"/>
          <w:numId w:val="69"/>
        </w:numPr>
        <w:ind w:left="1440" w:hanging="400"/>
        <w:rPr>
          <w:w w:val="100"/>
        </w:rPr>
      </w:pPr>
      <w:r>
        <w:rPr>
          <w:w w:val="100"/>
        </w:rPr>
        <w:t>Within an IBSS and within a PBSS when dot11RSNAEnabled is false(11ad), Block Ack Request (BlockAckReq)</w:t>
      </w:r>
    </w:p>
    <w:p w:rsidR="00FC4C5D" w:rsidRDefault="00FC4C5D" w:rsidP="00FC4C5D">
      <w:pPr>
        <w:pStyle w:val="Ll"/>
        <w:numPr>
          <w:ilvl w:val="0"/>
          <w:numId w:val="50"/>
        </w:numPr>
        <w:ind w:left="1040" w:hanging="400"/>
        <w:rPr>
          <w:w w:val="100"/>
        </w:rPr>
      </w:pPr>
      <w:r>
        <w:rPr>
          <w:w w:val="100"/>
        </w:rPr>
        <w:t>Management frames</w:t>
      </w:r>
    </w:p>
    <w:p w:rsidR="00FC4C5D" w:rsidRDefault="00FC4C5D" w:rsidP="00FC4C5D">
      <w:pPr>
        <w:pStyle w:val="Lll1"/>
        <w:numPr>
          <w:ilvl w:val="0"/>
          <w:numId w:val="53"/>
        </w:numPr>
        <w:ind w:left="1440" w:hanging="400"/>
        <w:rPr>
          <w:w w:val="100"/>
        </w:rPr>
      </w:pPr>
      <w:r>
        <w:rPr>
          <w:w w:val="100"/>
        </w:rPr>
        <w:t>Probe Request/Response</w:t>
      </w:r>
    </w:p>
    <w:p w:rsidR="00BB5140" w:rsidRPr="00BB5140" w:rsidRDefault="00FC4C5D" w:rsidP="00BB5140">
      <w:pPr>
        <w:pStyle w:val="Lll"/>
        <w:numPr>
          <w:ilvl w:val="0"/>
          <w:numId w:val="58"/>
        </w:numPr>
        <w:ind w:left="1440" w:hanging="400"/>
        <w:rPr>
          <w:w w:val="100"/>
        </w:rPr>
      </w:pPr>
      <w:r>
        <w:rPr>
          <w:w w:val="100"/>
        </w:rPr>
        <w:t>Beacon</w:t>
      </w:r>
    </w:p>
    <w:p w:rsidR="00F57FD0" w:rsidRPr="00BB5140" w:rsidRDefault="00F57FD0" w:rsidP="00FC4C5D">
      <w:pPr>
        <w:pStyle w:val="Lll"/>
        <w:numPr>
          <w:ilvl w:val="0"/>
          <w:numId w:val="58"/>
        </w:numPr>
        <w:ind w:left="1440" w:hanging="400"/>
        <w:rPr>
          <w:color w:val="FF0000"/>
          <w:w w:val="100"/>
        </w:rPr>
      </w:pPr>
      <w:r w:rsidRPr="00BB5140">
        <w:rPr>
          <w:color w:val="FF0000"/>
          <w:w w:val="100"/>
        </w:rPr>
        <w:t>FILS Discovery Frame</w:t>
      </w:r>
    </w:p>
    <w:p w:rsidR="00FC4C5D" w:rsidRDefault="00FC4C5D" w:rsidP="00FC4C5D">
      <w:pPr>
        <w:pStyle w:val="Lll"/>
        <w:numPr>
          <w:ilvl w:val="0"/>
          <w:numId w:val="60"/>
        </w:numPr>
        <w:ind w:left="1440" w:hanging="400"/>
        <w:rPr>
          <w:w w:val="100"/>
        </w:rPr>
      </w:pPr>
      <w:r w:rsidRPr="00BB5140">
        <w:rPr>
          <w:w w:val="100"/>
        </w:rPr>
        <w:t>Authentication</w:t>
      </w:r>
      <w:r w:rsidR="00BB5140" w:rsidRPr="00BB5140">
        <w:rPr>
          <w:w w:val="100"/>
        </w:rPr>
        <w:t xml:space="preserve"> </w:t>
      </w:r>
      <w:r w:rsidRPr="00BB5140">
        <w:rPr>
          <w:w w:val="100"/>
        </w:rPr>
        <w:t>Deauthentication</w:t>
      </w:r>
      <w:r w:rsidR="00BB5140" w:rsidRPr="00BB5140">
        <w:rPr>
          <w:w w:val="100"/>
        </w:rPr>
        <w:t xml:space="preserve">  </w:t>
      </w:r>
    </w:p>
    <w:p w:rsidR="006C2926" w:rsidRDefault="006C2926">
      <w:pPr>
        <w:pStyle w:val="Lll"/>
        <w:rPr>
          <w:w w:val="100"/>
        </w:rPr>
      </w:pPr>
    </w:p>
    <w:p w:rsidR="00FC4C5D" w:rsidRDefault="00FC4C5D" w:rsidP="00FC4C5D">
      <w:pPr>
        <w:pStyle w:val="Lll"/>
        <w:numPr>
          <w:ilvl w:val="0"/>
          <w:numId w:val="61"/>
        </w:numPr>
        <w:ind w:left="1440" w:hanging="400"/>
        <w:rPr>
          <w:w w:val="100"/>
        </w:rPr>
      </w:pPr>
      <w:r>
        <w:rPr>
          <w:w w:val="100"/>
        </w:rPr>
        <w:t>ATIM</w:t>
      </w:r>
    </w:p>
    <w:p w:rsidR="00FC4C5D" w:rsidRDefault="00FC4C5D" w:rsidP="00FC4C5D">
      <w:pPr>
        <w:pStyle w:val="Lll"/>
        <w:numPr>
          <w:ilvl w:val="0"/>
          <w:numId w:val="62"/>
        </w:numPr>
        <w:ind w:left="1440" w:hanging="400"/>
        <w:rPr>
          <w:w w:val="100"/>
        </w:rPr>
      </w:pPr>
      <w:r>
        <w:rPr>
          <w:w w:val="100"/>
        </w:rPr>
        <w:t>Public Action</w:t>
      </w:r>
    </w:p>
    <w:p w:rsidR="00FC4C5D" w:rsidRDefault="00FC4C5D" w:rsidP="00FC4C5D">
      <w:pPr>
        <w:pStyle w:val="Lll"/>
        <w:numPr>
          <w:ilvl w:val="0"/>
          <w:numId w:val="63"/>
        </w:numPr>
        <w:ind w:left="1440" w:hanging="400"/>
        <w:rPr>
          <w:w w:val="100"/>
        </w:rPr>
      </w:pPr>
      <w:r>
        <w:rPr>
          <w:w w:val="100"/>
        </w:rPr>
        <w:lastRenderedPageBreak/>
        <w:t>Self-protected Action</w:t>
      </w:r>
    </w:p>
    <w:p w:rsidR="00FC4C5D" w:rsidRDefault="00FC4C5D" w:rsidP="00FC4C5D">
      <w:pPr>
        <w:pStyle w:val="Lll"/>
        <w:numPr>
          <w:ilvl w:val="0"/>
          <w:numId w:val="64"/>
        </w:numPr>
        <w:ind w:left="1440" w:hanging="400"/>
        <w:rPr>
          <w:w w:val="100"/>
        </w:rPr>
      </w:pPr>
      <w:r>
        <w:rPr>
          <w:w w:val="100"/>
        </w:rPr>
        <w:t>Within an IBSS, all Action frames and all Action No Ack frames</w:t>
      </w:r>
    </w:p>
    <w:p w:rsidR="00FC4C5D" w:rsidRDefault="00FC4C5D" w:rsidP="00FC4C5D">
      <w:pPr>
        <w:pStyle w:val="Lll"/>
        <w:numPr>
          <w:ilvl w:val="0"/>
          <w:numId w:val="62"/>
        </w:numPr>
        <w:ind w:left="1440" w:hanging="400"/>
        <w:rPr>
          <w:rStyle w:val="editorinsertion"/>
        </w:rPr>
      </w:pPr>
      <w:r>
        <w:rPr>
          <w:rStyle w:val="editorinsertion"/>
        </w:rPr>
        <w:t>Unprotected DMG Action frames(11ad)</w:t>
      </w:r>
    </w:p>
    <w:p w:rsidR="00FC4C5D" w:rsidRDefault="00FC4C5D" w:rsidP="00FC4C5D">
      <w:pPr>
        <w:pStyle w:val="Lll"/>
        <w:numPr>
          <w:ilvl w:val="0"/>
          <w:numId w:val="63"/>
        </w:numPr>
        <w:ind w:left="1440" w:hanging="400"/>
        <w:rPr>
          <w:rStyle w:val="editorinsertion"/>
        </w:rPr>
      </w:pPr>
      <w:r>
        <w:rPr>
          <w:rStyle w:val="editorinsertion"/>
        </w:rPr>
        <w:t>DMG: Link Measurement Request and Link Measurement Report frames(11ad)</w:t>
      </w:r>
    </w:p>
    <w:p w:rsidR="00FC4C5D" w:rsidRDefault="00FC4C5D" w:rsidP="00FC4C5D">
      <w:pPr>
        <w:pStyle w:val="Lll"/>
        <w:numPr>
          <w:ilvl w:val="0"/>
          <w:numId w:val="64"/>
        </w:numPr>
        <w:ind w:left="1440" w:hanging="400"/>
        <w:rPr>
          <w:rStyle w:val="editorinsertion"/>
        </w:rPr>
      </w:pPr>
      <w:r>
        <w:rPr>
          <w:rStyle w:val="editorinsertion"/>
        </w:rPr>
        <w:t>Within a PBSS when dot11RSNAEnabled is false, all Action and Action No Ack frames except the following frames:(11ad)</w:t>
      </w:r>
    </w:p>
    <w:p w:rsidR="00FC4C5D" w:rsidRDefault="00FC4C5D" w:rsidP="00FC4C5D">
      <w:pPr>
        <w:pStyle w:val="Ll1"/>
        <w:numPr>
          <w:ilvl w:val="0"/>
          <w:numId w:val="49"/>
        </w:numPr>
        <w:tabs>
          <w:tab w:val="clear" w:pos="1040"/>
          <w:tab w:val="left" w:pos="1840"/>
        </w:tabs>
        <w:ind w:left="1840" w:hanging="400"/>
        <w:rPr>
          <w:rStyle w:val="editorinsertion"/>
        </w:rPr>
      </w:pPr>
      <w:r>
        <w:rPr>
          <w:rStyle w:val="editorinsertion"/>
        </w:rPr>
        <w:t>ADDTS Request</w:t>
      </w:r>
    </w:p>
    <w:p w:rsidR="00FC4C5D" w:rsidRDefault="00FC4C5D" w:rsidP="00FC4C5D">
      <w:pPr>
        <w:pStyle w:val="Ll"/>
        <w:numPr>
          <w:ilvl w:val="0"/>
          <w:numId w:val="50"/>
        </w:numPr>
        <w:tabs>
          <w:tab w:val="clear" w:pos="1040"/>
          <w:tab w:val="left" w:pos="1840"/>
        </w:tabs>
        <w:ind w:left="1840" w:hanging="400"/>
        <w:rPr>
          <w:rStyle w:val="editorinsertion"/>
        </w:rPr>
      </w:pPr>
      <w:r>
        <w:rPr>
          <w:rStyle w:val="editorinsertion"/>
        </w:rPr>
        <w:t>ADDTS Response</w:t>
      </w:r>
    </w:p>
    <w:p w:rsidR="00FC4C5D" w:rsidRDefault="00FC4C5D" w:rsidP="00FC4C5D">
      <w:pPr>
        <w:pStyle w:val="Ll"/>
        <w:numPr>
          <w:ilvl w:val="0"/>
          <w:numId w:val="70"/>
        </w:numPr>
        <w:tabs>
          <w:tab w:val="clear" w:pos="1040"/>
          <w:tab w:val="left" w:pos="1840"/>
        </w:tabs>
        <w:ind w:left="1840" w:hanging="400"/>
        <w:rPr>
          <w:rStyle w:val="editorinsertion"/>
        </w:rPr>
      </w:pPr>
      <w:r>
        <w:rPr>
          <w:rStyle w:val="editorinsertion"/>
        </w:rPr>
        <w:t>DELTS(Ed)</w:t>
      </w:r>
    </w:p>
    <w:p w:rsidR="006C2926" w:rsidRDefault="006C2926">
      <w:pPr>
        <w:pStyle w:val="Ll"/>
        <w:tabs>
          <w:tab w:val="clear" w:pos="1040"/>
          <w:tab w:val="left" w:pos="1840"/>
        </w:tabs>
        <w:ind w:left="1840" w:firstLine="0"/>
        <w:rPr>
          <w:rStyle w:val="editorinsertion"/>
        </w:rPr>
      </w:pPr>
    </w:p>
    <w:p w:rsidR="00FC4C5D" w:rsidRDefault="00FC4C5D" w:rsidP="00FC4C5D">
      <w:pPr>
        <w:pStyle w:val="Ll"/>
        <w:keepNext/>
        <w:numPr>
          <w:ilvl w:val="0"/>
          <w:numId w:val="70"/>
        </w:numPr>
        <w:ind w:left="1040" w:hanging="400"/>
        <w:rPr>
          <w:w w:val="100"/>
        </w:rPr>
      </w:pPr>
      <w:r>
        <w:rPr>
          <w:w w:val="100"/>
        </w:rPr>
        <w:t>Data frames</w:t>
      </w:r>
    </w:p>
    <w:p w:rsidR="00FC4C5D" w:rsidRDefault="00FC4C5D" w:rsidP="00FC4C5D">
      <w:pPr>
        <w:pStyle w:val="Lll1"/>
        <w:numPr>
          <w:ilvl w:val="0"/>
          <w:numId w:val="53"/>
        </w:numPr>
        <w:ind w:left="1440" w:hanging="400"/>
        <w:rPr>
          <w:rStyle w:val="editornote0"/>
        </w:rPr>
      </w:pPr>
      <w:r>
        <w:rPr>
          <w:w w:val="100"/>
        </w:rPr>
        <w:t xml:space="preserve">Data frames between STAs </w:t>
      </w:r>
      <w:r w:rsidRPr="00BB5140">
        <w:rPr>
          <w:rStyle w:val="editornote0"/>
          <w:color w:val="000000" w:themeColor="text1"/>
        </w:rPr>
        <w:t>in an IBSS</w:t>
      </w:r>
    </w:p>
    <w:p w:rsidR="00FC4C5D" w:rsidRDefault="00FC4C5D" w:rsidP="00FC4C5D">
      <w:pPr>
        <w:pStyle w:val="Lll"/>
        <w:numPr>
          <w:ilvl w:val="0"/>
          <w:numId w:val="58"/>
        </w:numPr>
        <w:ind w:left="1440" w:hanging="400"/>
        <w:rPr>
          <w:w w:val="100"/>
        </w:rPr>
      </w:pPr>
      <w:r>
        <w:rPr>
          <w:w w:val="100"/>
        </w:rPr>
        <w:t>Data frames between peers using DLS</w:t>
      </w:r>
    </w:p>
    <w:p w:rsidR="00FC4C5D" w:rsidRDefault="00FC4C5D" w:rsidP="00FC4C5D">
      <w:pPr>
        <w:pStyle w:val="Lll"/>
        <w:numPr>
          <w:ilvl w:val="0"/>
          <w:numId w:val="59"/>
        </w:numPr>
        <w:ind w:left="1440" w:hanging="400"/>
        <w:rPr>
          <w:w w:val="100"/>
        </w:rPr>
      </w:pPr>
      <w:r>
        <w:rPr>
          <w:w w:val="100"/>
        </w:rPr>
        <w:t>Data frames within a PBSS(11ad)</w:t>
      </w:r>
    </w:p>
    <w:p w:rsidR="00FC4C5D" w:rsidRDefault="00FC4C5D" w:rsidP="00FC4C5D">
      <w:pPr>
        <w:pStyle w:val="Ll"/>
        <w:numPr>
          <w:ilvl w:val="0"/>
          <w:numId w:val="71"/>
        </w:numPr>
        <w:ind w:left="1040" w:hanging="400"/>
        <w:rPr>
          <w:rStyle w:val="editorinsertion"/>
        </w:rPr>
      </w:pPr>
      <w:r>
        <w:rPr>
          <w:rStyle w:val="editorinsertion"/>
        </w:rPr>
        <w:t>Extension frames(11ad)</w:t>
      </w:r>
    </w:p>
    <w:p w:rsidR="00FC4C5D" w:rsidRDefault="00FC4C5D" w:rsidP="00FC4C5D">
      <w:pPr>
        <w:pStyle w:val="Lll1"/>
        <w:numPr>
          <w:ilvl w:val="0"/>
          <w:numId w:val="53"/>
        </w:numPr>
        <w:ind w:left="1440" w:hanging="400"/>
        <w:rPr>
          <w:rStyle w:val="editorinsertion"/>
        </w:rPr>
      </w:pPr>
      <w:r>
        <w:rPr>
          <w:rStyle w:val="editorinsertion"/>
        </w:rPr>
        <w:t>DMG Beacon(11ad)</w:t>
      </w:r>
    </w:p>
    <w:p w:rsidR="00FC4C5D" w:rsidRDefault="00FC4C5D" w:rsidP="00FC4C5D">
      <w:pPr>
        <w:pStyle w:val="L"/>
        <w:numPr>
          <w:ilvl w:val="0"/>
          <w:numId w:val="44"/>
        </w:numPr>
        <w:ind w:left="640" w:hanging="440"/>
        <w:rPr>
          <w:w w:val="100"/>
        </w:rPr>
      </w:pPr>
      <w:r>
        <w:rPr>
          <w:w w:val="100"/>
        </w:rPr>
        <w:t>Class 2 frames</w:t>
      </w:r>
    </w:p>
    <w:p w:rsidR="00FC4C5D" w:rsidRDefault="00FC4C5D" w:rsidP="00FC4C5D">
      <w:pPr>
        <w:pStyle w:val="Ll1"/>
        <w:numPr>
          <w:ilvl w:val="0"/>
          <w:numId w:val="49"/>
        </w:numPr>
        <w:ind w:left="1040" w:hanging="400"/>
        <w:rPr>
          <w:w w:val="100"/>
        </w:rPr>
      </w:pPr>
      <w:r>
        <w:rPr>
          <w:w w:val="100"/>
        </w:rPr>
        <w:t>Management frames</w:t>
      </w:r>
    </w:p>
    <w:p w:rsidR="00FC4C5D" w:rsidRDefault="00FC4C5D" w:rsidP="00FC4C5D">
      <w:pPr>
        <w:pStyle w:val="Lll"/>
        <w:numPr>
          <w:ilvl w:val="0"/>
          <w:numId w:val="58"/>
        </w:numPr>
        <w:ind w:left="1440" w:hanging="400"/>
        <w:rPr>
          <w:w w:val="100"/>
        </w:rPr>
      </w:pPr>
      <w:r w:rsidRPr="00BB5140">
        <w:rPr>
          <w:w w:val="100"/>
        </w:rPr>
        <w:t>Association Request/Response</w:t>
      </w:r>
      <w:r w:rsidR="00BB5140" w:rsidRPr="00BB5140">
        <w:rPr>
          <w:w w:val="100"/>
        </w:rPr>
        <w:t xml:space="preserve">  </w:t>
      </w:r>
      <w:r w:rsidRPr="00BB5140">
        <w:rPr>
          <w:w w:val="100"/>
        </w:rPr>
        <w:t>Reassociation Request/Response</w:t>
      </w:r>
    </w:p>
    <w:p w:rsidR="00FC4C5D" w:rsidRDefault="00FC4C5D" w:rsidP="00FC4C5D">
      <w:pPr>
        <w:pStyle w:val="Lll"/>
        <w:numPr>
          <w:ilvl w:val="0"/>
          <w:numId w:val="59"/>
        </w:numPr>
        <w:ind w:left="1440" w:hanging="400"/>
        <w:rPr>
          <w:w w:val="100"/>
        </w:rPr>
      </w:pPr>
      <w:r>
        <w:rPr>
          <w:w w:val="100"/>
        </w:rPr>
        <w:t>Disassociation</w:t>
      </w:r>
    </w:p>
    <w:p w:rsidR="00FC4C5D" w:rsidRDefault="00FC4C5D" w:rsidP="00FC4C5D">
      <w:pPr>
        <w:pStyle w:val="L"/>
        <w:numPr>
          <w:ilvl w:val="0"/>
          <w:numId w:val="45"/>
        </w:numPr>
        <w:ind w:left="640" w:hanging="440"/>
        <w:rPr>
          <w:w w:val="100"/>
        </w:rPr>
      </w:pPr>
      <w:r>
        <w:rPr>
          <w:w w:val="100"/>
        </w:rPr>
        <w:t>Class 3 frames</w:t>
      </w:r>
    </w:p>
    <w:p w:rsidR="00FC4C5D" w:rsidRDefault="00FC4C5D" w:rsidP="00FC4C5D">
      <w:pPr>
        <w:pStyle w:val="Ll1"/>
        <w:numPr>
          <w:ilvl w:val="0"/>
          <w:numId w:val="49"/>
        </w:numPr>
        <w:ind w:left="1040" w:hanging="400"/>
        <w:rPr>
          <w:w w:val="100"/>
        </w:rPr>
      </w:pPr>
      <w:r>
        <w:rPr>
          <w:w w:val="100"/>
        </w:rPr>
        <w:t>Data frames</w:t>
      </w:r>
    </w:p>
    <w:p w:rsidR="00FC4C5D" w:rsidRDefault="00FC4C5D" w:rsidP="00FC4C5D">
      <w:pPr>
        <w:pStyle w:val="Lll1"/>
        <w:numPr>
          <w:ilvl w:val="0"/>
          <w:numId w:val="53"/>
        </w:numPr>
        <w:ind w:left="1440" w:hanging="400"/>
        <w:rPr>
          <w:w w:val="100"/>
        </w:rPr>
      </w:pPr>
      <w:r>
        <w:rPr>
          <w:w w:val="100"/>
        </w:rPr>
        <w:t>Data frames between STAs in an infrastructure BSS or in an MBSS</w:t>
      </w:r>
    </w:p>
    <w:p w:rsidR="00FC4C5D" w:rsidRDefault="00FC4C5D" w:rsidP="00FC4C5D">
      <w:pPr>
        <w:pStyle w:val="Ll"/>
        <w:numPr>
          <w:ilvl w:val="0"/>
          <w:numId w:val="50"/>
        </w:numPr>
        <w:ind w:left="1040" w:hanging="400"/>
        <w:rPr>
          <w:w w:val="100"/>
        </w:rPr>
      </w:pPr>
      <w:r>
        <w:rPr>
          <w:w w:val="100"/>
        </w:rPr>
        <w:t>Management frames</w:t>
      </w:r>
    </w:p>
    <w:p w:rsidR="00FC4C5D" w:rsidRDefault="00FC4C5D" w:rsidP="00FC4C5D">
      <w:pPr>
        <w:pStyle w:val="Lll1"/>
        <w:numPr>
          <w:ilvl w:val="0"/>
          <w:numId w:val="53"/>
        </w:numPr>
        <w:ind w:left="1440" w:hanging="400"/>
        <w:rPr>
          <w:w w:val="100"/>
        </w:rPr>
      </w:pPr>
      <w:r>
        <w:rPr>
          <w:w w:val="100"/>
        </w:rPr>
        <w:t>Within an infrastructure BSS, an MBSS, or a PBSS(11ad), all Action and Action No Ack frames except those that are declared to be Class 1 or Class 2 frames(Ed)</w:t>
      </w:r>
    </w:p>
    <w:p w:rsidR="00FC4C5D" w:rsidRDefault="00FC4C5D" w:rsidP="00FC4C5D">
      <w:pPr>
        <w:pStyle w:val="Ll"/>
        <w:numPr>
          <w:ilvl w:val="0"/>
          <w:numId w:val="70"/>
        </w:numPr>
        <w:ind w:left="1040" w:hanging="400"/>
        <w:rPr>
          <w:w w:val="100"/>
        </w:rPr>
      </w:pPr>
      <w:r>
        <w:rPr>
          <w:w w:val="100"/>
        </w:rPr>
        <w:t>Control frames</w:t>
      </w:r>
    </w:p>
    <w:p w:rsidR="00FC4C5D" w:rsidRDefault="00FC4C5D" w:rsidP="00FC4C5D">
      <w:pPr>
        <w:pStyle w:val="Lll1"/>
        <w:numPr>
          <w:ilvl w:val="0"/>
          <w:numId w:val="53"/>
        </w:numPr>
        <w:ind w:left="1440" w:hanging="400"/>
        <w:rPr>
          <w:w w:val="100"/>
        </w:rPr>
      </w:pPr>
      <w:r>
        <w:rPr>
          <w:w w:val="100"/>
        </w:rPr>
        <w:t>PS-Poll</w:t>
      </w:r>
    </w:p>
    <w:p w:rsidR="00FC4C5D" w:rsidRDefault="00FC4C5D" w:rsidP="00FC4C5D">
      <w:pPr>
        <w:pStyle w:val="Lll"/>
        <w:numPr>
          <w:ilvl w:val="0"/>
          <w:numId w:val="58"/>
        </w:numPr>
        <w:ind w:left="1440" w:hanging="400"/>
        <w:rPr>
          <w:w w:val="100"/>
        </w:rPr>
      </w:pPr>
      <w:r>
        <w:rPr>
          <w:w w:val="100"/>
        </w:rPr>
        <w:t>Poll(11ad)</w:t>
      </w:r>
    </w:p>
    <w:p w:rsidR="00FC4C5D" w:rsidRDefault="00FC4C5D" w:rsidP="00FC4C5D">
      <w:pPr>
        <w:pStyle w:val="Lll"/>
        <w:numPr>
          <w:ilvl w:val="0"/>
          <w:numId w:val="59"/>
        </w:numPr>
        <w:ind w:left="1440" w:hanging="400"/>
        <w:rPr>
          <w:w w:val="100"/>
        </w:rPr>
      </w:pPr>
      <w:r>
        <w:rPr>
          <w:w w:val="100"/>
        </w:rPr>
        <w:t>SPR(11ad)</w:t>
      </w:r>
    </w:p>
    <w:p w:rsidR="00FC4C5D" w:rsidRDefault="00FC4C5D" w:rsidP="00FC4C5D">
      <w:pPr>
        <w:pStyle w:val="Lll"/>
        <w:numPr>
          <w:ilvl w:val="0"/>
          <w:numId w:val="60"/>
        </w:numPr>
        <w:ind w:left="1440" w:hanging="400"/>
        <w:rPr>
          <w:w w:val="100"/>
        </w:rPr>
      </w:pPr>
      <w:r>
        <w:rPr>
          <w:w w:val="100"/>
        </w:rPr>
        <w:t>DMG DTS(11ad)</w:t>
      </w:r>
    </w:p>
    <w:p w:rsidR="00FC4C5D" w:rsidRDefault="00FC4C5D" w:rsidP="00FC4C5D">
      <w:pPr>
        <w:pStyle w:val="Lll"/>
        <w:numPr>
          <w:ilvl w:val="0"/>
          <w:numId w:val="61"/>
        </w:numPr>
        <w:ind w:left="1440" w:hanging="400"/>
        <w:rPr>
          <w:w w:val="100"/>
        </w:rPr>
      </w:pPr>
      <w:r>
        <w:rPr>
          <w:w w:val="100"/>
        </w:rPr>
        <w:t>Block Ack (BlockAck), except those that are declared to be Class 1(11ad)(Ed)</w:t>
      </w:r>
    </w:p>
    <w:p w:rsidR="00FC4C5D" w:rsidRDefault="00FC4C5D" w:rsidP="00FC4C5D">
      <w:pPr>
        <w:pStyle w:val="Lll"/>
        <w:numPr>
          <w:ilvl w:val="0"/>
          <w:numId w:val="62"/>
        </w:numPr>
        <w:ind w:left="1440" w:hanging="400"/>
        <w:rPr>
          <w:w w:val="100"/>
        </w:rPr>
      </w:pPr>
      <w:r>
        <w:rPr>
          <w:w w:val="100"/>
        </w:rPr>
        <w:t>Block Ack Request (BlockAckReq), except those that are declared to be Class 1 (above)(11ad)</w:t>
      </w:r>
    </w:p>
    <w:p w:rsidR="00FC4C5D" w:rsidRDefault="00FC4C5D" w:rsidP="00FC4C5D">
      <w:pPr>
        <w:pStyle w:val="T"/>
        <w:rPr>
          <w:w w:val="100"/>
        </w:rPr>
      </w:pPr>
      <w:r>
        <w:rPr>
          <w:w w:val="100"/>
        </w:rPr>
        <w:t>Class 2 and Class 3 frames are not allowed in an IBSS. If a STA in an IBSS receives a Class 2 or Class 3 frame, it shall ignore the frame.</w:t>
      </w:r>
    </w:p>
    <w:p w:rsidR="00FC4C5D" w:rsidRDefault="00FC4C5D" w:rsidP="00FC4C5D">
      <w:pPr>
        <w:pStyle w:val="T"/>
        <w:rPr>
          <w:w w:val="100"/>
        </w:rPr>
      </w:pPr>
      <w:r>
        <w:rPr>
          <w:w w:val="100"/>
        </w:rPr>
        <w:t>A STA shall not transmit Class 2 frames unless in State 2 or State 3 or State 4.(11ad)</w:t>
      </w:r>
    </w:p>
    <w:p w:rsidR="00FC4C5D" w:rsidRDefault="00FC4C5D" w:rsidP="00FC4C5D">
      <w:pPr>
        <w:pStyle w:val="T"/>
        <w:rPr>
          <w:w w:val="100"/>
        </w:rPr>
      </w:pPr>
      <w:r>
        <w:rPr>
          <w:w w:val="100"/>
        </w:rPr>
        <w:t>A STA shall not transmit Class 3 frames unless in State 3 or State 4.(11ad)</w:t>
      </w:r>
    </w:p>
    <w:p w:rsidR="00BB5140" w:rsidRPr="00BB5140" w:rsidRDefault="00BB5140" w:rsidP="00FC4C5D">
      <w:pPr>
        <w:pStyle w:val="T"/>
        <w:rPr>
          <w:color w:val="FF0000"/>
          <w:w w:val="100"/>
        </w:rPr>
      </w:pPr>
      <w:r w:rsidRPr="00BB5140">
        <w:rPr>
          <w:color w:val="FF0000"/>
          <w:w w:val="100"/>
        </w:rPr>
        <w:t>A FILS STA shall not transmit Class 3 frames unless in state 4.</w:t>
      </w:r>
    </w:p>
    <w:p w:rsidR="00FC4C5D" w:rsidRDefault="00FC4C5D" w:rsidP="00FC4C5D">
      <w:pPr>
        <w:pStyle w:val="T"/>
        <w:rPr>
          <w:w w:val="100"/>
        </w:rPr>
      </w:pPr>
      <w:r>
        <w:rPr>
          <w:w w:val="100"/>
        </w:rPr>
        <w:t xml:space="preserve">A multi-band capable device that uses OCT to move from State 2 to either State 3 or State 4 shall not transmit frames before the transmitting STA becomes on-the-air enabled (see </w:t>
      </w:r>
      <w:r w:rsidR="009B4171">
        <w:rPr>
          <w:w w:val="100"/>
        </w:rPr>
        <w:fldChar w:fldCharType="begin"/>
      </w:r>
      <w:r>
        <w:rPr>
          <w:w w:val="100"/>
        </w:rPr>
        <w:instrText xml:space="preserve"> REF  RTF5f546f633332393836383637 \h</w:instrText>
      </w:r>
      <w:r w:rsidR="009B4171">
        <w:rPr>
          <w:w w:val="100"/>
        </w:rPr>
      </w:r>
      <w:r w:rsidR="009B4171">
        <w:rPr>
          <w:w w:val="100"/>
        </w:rPr>
        <w:fldChar w:fldCharType="separate"/>
      </w:r>
      <w:r>
        <w:rPr>
          <w:w w:val="100"/>
        </w:rPr>
        <w:t>10.33.4 (On-channel Tunneling (OCT) operation</w:t>
      </w:r>
    </w:p>
    <w:p w:rsidR="00FC4C5D" w:rsidRDefault="00FC4C5D" w:rsidP="00FC4C5D">
      <w:pPr>
        <w:pStyle w:val="T"/>
        <w:rPr>
          <w:w w:val="100"/>
        </w:rPr>
      </w:pPr>
      <w:r>
        <w:rPr>
          <w:w w:val="100"/>
        </w:rPr>
        <w:t>(11ad))</w:t>
      </w:r>
      <w:r w:rsidR="009B4171">
        <w:rPr>
          <w:w w:val="100"/>
        </w:rPr>
        <w:fldChar w:fldCharType="end"/>
      </w:r>
      <w:r>
        <w:rPr>
          <w:w w:val="100"/>
        </w:rPr>
        <w:t>). (11ad)</w:t>
      </w:r>
    </w:p>
    <w:p w:rsidR="00FC4C5D" w:rsidRDefault="00FC4C5D" w:rsidP="00FC4C5D">
      <w:pPr>
        <w:pStyle w:val="T"/>
        <w:rPr>
          <w:w w:val="100"/>
        </w:rPr>
      </w:pPr>
      <w:r>
        <w:rPr>
          <w:w w:val="100"/>
        </w:rPr>
        <w:lastRenderedPageBreak/>
        <w:t xml:space="preserve">The use of the word “receive” in </w:t>
      </w:r>
      <w:r w:rsidR="009B4171">
        <w:rPr>
          <w:w w:val="100"/>
        </w:rPr>
        <w:fldChar w:fldCharType="begin"/>
      </w:r>
      <w:r>
        <w:rPr>
          <w:w w:val="100"/>
        </w:rPr>
        <w:instrText xml:space="preserve"> REF  RTF37393237323a2048322c312e \h</w:instrText>
      </w:r>
      <w:r w:rsidR="009B4171">
        <w:rPr>
          <w:w w:val="100"/>
        </w:rPr>
      </w:r>
      <w:r w:rsidR="009B4171">
        <w:rPr>
          <w:w w:val="100"/>
        </w:rPr>
        <w:fldChar w:fldCharType="separate"/>
      </w:r>
      <w:r>
        <w:rPr>
          <w:w w:val="100"/>
        </w:rPr>
        <w:t>10.3 (STA authentication and association)</w:t>
      </w:r>
      <w:r w:rsidR="009B4171">
        <w:rPr>
          <w:w w:val="100"/>
        </w:rPr>
        <w:fldChar w:fldCharType="end"/>
      </w:r>
      <w:r>
        <w:rPr>
          <w:w w:val="100"/>
        </w:rPr>
        <w:t xml:space="preserve"> refers to a frame that meets all of the filtering criteria specified in Clause 11 (Security) and Clause 9 (MAC sublayer functional description).</w:t>
      </w:r>
    </w:p>
    <w:p w:rsidR="00FC4C5D" w:rsidRDefault="00FC4C5D" w:rsidP="00FC4C5D">
      <w:pPr>
        <w:pStyle w:val="H3"/>
        <w:numPr>
          <w:ilvl w:val="0"/>
          <w:numId w:val="72"/>
        </w:numPr>
        <w:rPr>
          <w:w w:val="100"/>
        </w:rPr>
      </w:pPr>
      <w:bookmarkStart w:id="1" w:name="RTF31393134353a2048322c312e"/>
      <w:r>
        <w:rPr>
          <w:w w:val="100"/>
        </w:rPr>
        <w:t>Authentication and deauthentication</w:t>
      </w:r>
      <w:bookmarkEnd w:id="1"/>
    </w:p>
    <w:p w:rsidR="00FC4C5D" w:rsidRDefault="00FC4C5D" w:rsidP="00FC4C5D">
      <w:pPr>
        <w:pStyle w:val="H4"/>
        <w:numPr>
          <w:ilvl w:val="0"/>
          <w:numId w:val="73"/>
        </w:numPr>
        <w:rPr>
          <w:w w:val="100"/>
        </w:rPr>
      </w:pPr>
      <w:r>
        <w:rPr>
          <w:w w:val="100"/>
        </w:rPr>
        <w:t>General</w:t>
      </w:r>
    </w:p>
    <w:p w:rsidR="00FC4C5D" w:rsidRDefault="00FC4C5D" w:rsidP="00FC4C5D">
      <w:pPr>
        <w:pStyle w:val="T"/>
        <w:rPr>
          <w:w w:val="100"/>
        </w:rPr>
      </w:pPr>
      <w:bookmarkStart w:id="2" w:name="RTF5f546f633635323339383931"/>
      <w:r>
        <w:rPr>
          <w:w w:val="100"/>
        </w:rPr>
        <w:t>This subclause describes the procedures used for IEEE Std</w:t>
      </w:r>
      <w:bookmarkEnd w:id="2"/>
      <w:r>
        <w:rPr>
          <w:w w:val="100"/>
        </w:rPr>
        <w:t xml:space="preserve">(#130) 802.11 authentication and deauthentication. The states used in this description are defined in </w:t>
      </w:r>
      <w:r w:rsidR="009B4171">
        <w:rPr>
          <w:rStyle w:val="editorinsertion"/>
        </w:rPr>
        <w:fldChar w:fldCharType="begin"/>
      </w:r>
      <w:r>
        <w:rPr>
          <w:rStyle w:val="editorinsertion"/>
        </w:rPr>
        <w:instrText xml:space="preserve"> REF  RTF39343937383a2048332c312e \h</w:instrText>
      </w:r>
      <w:r w:rsidR="009B4171">
        <w:rPr>
          <w:rStyle w:val="editorinsertion"/>
        </w:rPr>
      </w:r>
      <w:r w:rsidR="009B4171">
        <w:rPr>
          <w:rStyle w:val="editorinsertion"/>
        </w:rPr>
        <w:fldChar w:fldCharType="separate"/>
      </w:r>
      <w:r>
        <w:rPr>
          <w:rStyle w:val="editorinsertion"/>
        </w:rPr>
        <w:t>10.3.1 (State variables)</w:t>
      </w:r>
      <w:r w:rsidR="009B4171">
        <w:rPr>
          <w:rStyle w:val="editorinsertion"/>
        </w:rPr>
        <w:fldChar w:fldCharType="end"/>
      </w:r>
      <w:r>
        <w:rPr>
          <w:w w:val="100"/>
        </w:rPr>
        <w:t>.</w:t>
      </w:r>
    </w:p>
    <w:p w:rsidR="00FC4C5D" w:rsidRDefault="00FC4C5D" w:rsidP="00FC4C5D">
      <w:pPr>
        <w:pStyle w:val="T"/>
        <w:rPr>
          <w:w w:val="100"/>
        </w:rPr>
      </w:pPr>
      <w:r>
        <w:rPr>
          <w:w w:val="100"/>
        </w:rPr>
        <w:t>Successful authentication sets the STA’(#1485)s state to State 2, if it was in State 1. Unsuccessful authentication leaves the STA’(#1485)s state unchanged.(11ad)</w:t>
      </w:r>
    </w:p>
    <w:p w:rsidR="00FC4C5D" w:rsidRDefault="00FC4C5D" w:rsidP="00FC4C5D">
      <w:pPr>
        <w:pStyle w:val="T"/>
        <w:rPr>
          <w:w w:val="100"/>
        </w:rPr>
      </w:pPr>
      <w:r>
        <w:rPr>
          <w:w w:val="100"/>
        </w:rPr>
        <w:t>Deauthentication notification sets the STA’(#1485)s state to State 1. (11ad)Deauthentication notification when in State 3 or 4 implies disassociation as well. A STA may deauthenticate a peer STA at any time, for any reason.</w:t>
      </w:r>
    </w:p>
    <w:p w:rsidR="00FC4C5D" w:rsidRDefault="00FC4C5D" w:rsidP="00FC4C5D">
      <w:pPr>
        <w:pStyle w:val="T"/>
        <w:rPr>
          <w:w w:val="100"/>
        </w:rPr>
      </w:pPr>
      <w:r>
        <w:rPr>
          <w:w w:val="100"/>
        </w:rPr>
        <w:t>If STA A in an infrastructure BSS receives a Class 2 or Class 3 frame from STA B that is not authenticated with STA A (i.e., the state for STA B is State 1), STA A shall discard the frame. If the frame has an individual address in the Address 1 field, the MLME of STA A shall send a Deauthentication frame to STA B.</w:t>
      </w:r>
    </w:p>
    <w:p w:rsidR="00F72169" w:rsidRPr="00BB5140" w:rsidRDefault="00193352" w:rsidP="00FC4C5D">
      <w:pPr>
        <w:pStyle w:val="T"/>
        <w:rPr>
          <w:color w:val="FF0000"/>
          <w:w w:val="100"/>
        </w:rPr>
      </w:pPr>
      <w:r>
        <w:rPr>
          <w:color w:val="FF0000"/>
          <w:w w:val="100"/>
        </w:rPr>
        <w:t>After s</w:t>
      </w:r>
      <w:r w:rsidR="00F72169" w:rsidRPr="00BB5140">
        <w:rPr>
          <w:color w:val="FF0000"/>
          <w:w w:val="100"/>
        </w:rPr>
        <w:t>u</w:t>
      </w:r>
      <w:r>
        <w:rPr>
          <w:color w:val="FF0000"/>
          <w:w w:val="100"/>
        </w:rPr>
        <w:t>c</w:t>
      </w:r>
      <w:r w:rsidR="00F72169" w:rsidRPr="00BB5140">
        <w:rPr>
          <w:color w:val="FF0000"/>
          <w:w w:val="100"/>
        </w:rPr>
        <w:t>cessful FILS a</w:t>
      </w:r>
      <w:r w:rsidR="00C46D94" w:rsidRPr="00BB5140">
        <w:rPr>
          <w:color w:val="FF0000"/>
          <w:w w:val="100"/>
        </w:rPr>
        <w:t xml:space="preserve">uthentication </w:t>
      </w:r>
      <w:r>
        <w:rPr>
          <w:color w:val="FF0000"/>
          <w:w w:val="100"/>
        </w:rPr>
        <w:t>a</w:t>
      </w:r>
      <w:r w:rsidR="00C46D94" w:rsidRPr="00BB5140">
        <w:rPr>
          <w:color w:val="FF0000"/>
          <w:w w:val="100"/>
        </w:rPr>
        <w:t xml:space="preserve"> </w:t>
      </w:r>
      <w:r w:rsidR="00BB5140" w:rsidRPr="00BB5140">
        <w:rPr>
          <w:color w:val="FF0000"/>
          <w:w w:val="100"/>
        </w:rPr>
        <w:t xml:space="preserve">FILS </w:t>
      </w:r>
      <w:r w:rsidR="00F72169" w:rsidRPr="00BB5140">
        <w:rPr>
          <w:color w:val="FF0000"/>
          <w:w w:val="100"/>
        </w:rPr>
        <w:t xml:space="preserve">STA </w:t>
      </w:r>
      <w:proofErr w:type="gramStart"/>
      <w:r w:rsidR="00F72169" w:rsidRPr="00BB5140">
        <w:rPr>
          <w:color w:val="FF0000"/>
          <w:w w:val="100"/>
        </w:rPr>
        <w:t>will  transition</w:t>
      </w:r>
      <w:proofErr w:type="gramEnd"/>
      <w:r w:rsidR="00F72169" w:rsidRPr="00BB5140">
        <w:rPr>
          <w:color w:val="FF0000"/>
          <w:w w:val="100"/>
        </w:rPr>
        <w:t xml:space="preserve"> to </w:t>
      </w:r>
      <w:r>
        <w:rPr>
          <w:color w:val="FF0000"/>
          <w:w w:val="100"/>
        </w:rPr>
        <w:t>S</w:t>
      </w:r>
      <w:r w:rsidR="00F72169" w:rsidRPr="00BB5140">
        <w:rPr>
          <w:color w:val="FF0000"/>
          <w:w w:val="100"/>
        </w:rPr>
        <w:t xml:space="preserve">tate 5 </w:t>
      </w:r>
      <w:r>
        <w:rPr>
          <w:color w:val="FF0000"/>
          <w:w w:val="100"/>
        </w:rPr>
        <w:t xml:space="preserve">from </w:t>
      </w:r>
      <w:r w:rsidR="00F72169" w:rsidRPr="00BB5140">
        <w:rPr>
          <w:color w:val="FF0000"/>
          <w:w w:val="100"/>
        </w:rPr>
        <w:t xml:space="preserve"> State 1. Unsuccessful </w:t>
      </w:r>
      <w:proofErr w:type="gramStart"/>
      <w:r w:rsidR="00F72169" w:rsidRPr="00BB5140">
        <w:rPr>
          <w:color w:val="FF0000"/>
          <w:w w:val="100"/>
        </w:rPr>
        <w:t>FILS  authentication</w:t>
      </w:r>
      <w:proofErr w:type="gramEnd"/>
      <w:r w:rsidR="00F72169" w:rsidRPr="00BB5140">
        <w:rPr>
          <w:color w:val="FF0000"/>
          <w:w w:val="100"/>
        </w:rPr>
        <w:t xml:space="preserve"> will leave </w:t>
      </w:r>
      <w:r>
        <w:rPr>
          <w:color w:val="FF0000"/>
          <w:w w:val="100"/>
        </w:rPr>
        <w:t>a FILS</w:t>
      </w:r>
      <w:r w:rsidR="00F72169" w:rsidRPr="00BB5140">
        <w:rPr>
          <w:color w:val="FF0000"/>
          <w:w w:val="100"/>
        </w:rPr>
        <w:t xml:space="preserve"> STA’s state unchanged.</w:t>
      </w:r>
    </w:p>
    <w:p w:rsidR="00C46D94" w:rsidRPr="00BB5140" w:rsidRDefault="00BB5140" w:rsidP="00FC4C5D">
      <w:pPr>
        <w:pStyle w:val="T"/>
        <w:rPr>
          <w:color w:val="FF0000"/>
          <w:w w:val="100"/>
        </w:rPr>
      </w:pPr>
      <w:proofErr w:type="spellStart"/>
      <w:r w:rsidRPr="00BB5140">
        <w:rPr>
          <w:color w:val="FF0000"/>
          <w:w w:val="100"/>
        </w:rPr>
        <w:t>D</w:t>
      </w:r>
      <w:r w:rsidR="00F72169" w:rsidRPr="00BB5140">
        <w:rPr>
          <w:color w:val="FF0000"/>
          <w:w w:val="100"/>
        </w:rPr>
        <w:t>eauthentication</w:t>
      </w:r>
      <w:proofErr w:type="spellEnd"/>
      <w:r w:rsidR="00F72169" w:rsidRPr="00BB5140">
        <w:rPr>
          <w:color w:val="FF0000"/>
          <w:w w:val="100"/>
        </w:rPr>
        <w:t xml:space="preserve"> notification sets </w:t>
      </w:r>
      <w:r w:rsidR="00193352">
        <w:rPr>
          <w:color w:val="FF0000"/>
          <w:w w:val="100"/>
        </w:rPr>
        <w:t>a</w:t>
      </w:r>
      <w:r w:rsidR="00F72169" w:rsidRPr="00BB5140">
        <w:rPr>
          <w:color w:val="FF0000"/>
          <w:w w:val="100"/>
        </w:rPr>
        <w:t xml:space="preserve"> </w:t>
      </w:r>
      <w:r w:rsidR="00193352">
        <w:rPr>
          <w:color w:val="FF0000"/>
          <w:w w:val="100"/>
        </w:rPr>
        <w:t xml:space="preserve">FILS </w:t>
      </w:r>
      <w:r w:rsidR="00F72169" w:rsidRPr="00BB5140">
        <w:rPr>
          <w:color w:val="FF0000"/>
          <w:w w:val="100"/>
        </w:rPr>
        <w:t xml:space="preserve">STA’s state to </w:t>
      </w:r>
      <w:r w:rsidR="00193352">
        <w:rPr>
          <w:color w:val="FF0000"/>
          <w:w w:val="100"/>
        </w:rPr>
        <w:t>S</w:t>
      </w:r>
      <w:r w:rsidR="00F72169" w:rsidRPr="00BB5140">
        <w:rPr>
          <w:color w:val="FF0000"/>
          <w:w w:val="100"/>
        </w:rPr>
        <w:t xml:space="preserve">tate 1. </w:t>
      </w:r>
    </w:p>
    <w:p w:rsidR="00C46D94" w:rsidRDefault="00FC4C5D" w:rsidP="00FC4C5D">
      <w:pPr>
        <w:pStyle w:val="T"/>
        <w:rPr>
          <w:w w:val="100"/>
        </w:rPr>
      </w:pPr>
      <w:r>
        <w:rPr>
          <w:w w:val="100"/>
        </w:rPr>
        <w:t>Authentication is optional in a non-DMG(11ad) IBSS. In a non-DMG(11ad) infrastructure BSS, authentication is required. APs do not initiate authentication. Authentication and deauthentication are not supported by DMG STAs.(11ad)</w:t>
      </w:r>
    </w:p>
    <w:p w:rsidR="00BA03BB" w:rsidRPr="000B46C2" w:rsidRDefault="00BA03BB" w:rsidP="00BA03BB">
      <w:pPr>
        <w:ind w:left="360"/>
        <w:rPr>
          <w:sz w:val="20"/>
          <w:lang w:val="en-US"/>
        </w:rPr>
      </w:pPr>
    </w:p>
    <w:p w:rsidR="00FC0DF3" w:rsidRDefault="00FC0DF3" w:rsidP="00FC0DF3">
      <w:pPr>
        <w:pStyle w:val="ListParagraph"/>
        <w:ind w:left="405"/>
        <w:rPr>
          <w:lang w:val="en-US"/>
        </w:rPr>
      </w:pPr>
    </w:p>
    <w:p w:rsidR="003E6194" w:rsidRDefault="00422566" w:rsidP="003E6194">
      <w:pPr>
        <w:pStyle w:val="H3"/>
        <w:numPr>
          <w:ilvl w:val="0"/>
          <w:numId w:val="81"/>
        </w:numPr>
        <w:rPr>
          <w:w w:val="100"/>
        </w:rPr>
      </w:pPr>
      <w:r>
        <w:t>F</w:t>
      </w:r>
      <w:bookmarkStart w:id="3" w:name="RTF36313736343a2048322c312e"/>
      <w:r w:rsidR="003E6194">
        <w:rPr>
          <w:w w:val="100"/>
        </w:rPr>
        <w:t>Ass</w:t>
      </w:r>
      <w:bookmarkEnd w:id="3"/>
      <w:r w:rsidR="003E6194">
        <w:rPr>
          <w:w w:val="100"/>
        </w:rPr>
        <w:t>ociation, reassociation, and disassociation</w:t>
      </w:r>
    </w:p>
    <w:p w:rsidR="003E6194" w:rsidRDefault="003E6194" w:rsidP="003E6194">
      <w:pPr>
        <w:pStyle w:val="H4"/>
        <w:numPr>
          <w:ilvl w:val="0"/>
          <w:numId w:val="82"/>
        </w:numPr>
        <w:rPr>
          <w:w w:val="100"/>
        </w:rPr>
      </w:pPr>
      <w:r>
        <w:rPr>
          <w:w w:val="100"/>
        </w:rPr>
        <w:t>General</w:t>
      </w:r>
    </w:p>
    <w:p w:rsidR="003E6194" w:rsidRDefault="003E6194" w:rsidP="003E6194">
      <w:pPr>
        <w:pStyle w:val="T"/>
        <w:rPr>
          <w:w w:val="100"/>
        </w:rPr>
      </w:pPr>
      <w:proofErr w:type="spellStart"/>
      <w:r>
        <w:rPr>
          <w:w w:val="100"/>
        </w:rPr>
        <w:t>Subclause</w:t>
      </w:r>
      <w:proofErr w:type="spellEnd"/>
      <w:r>
        <w:rPr>
          <w:w w:val="100"/>
        </w:rPr>
        <w:t xml:space="preserve"> </w:t>
      </w:r>
      <w:r w:rsidR="009B4171">
        <w:rPr>
          <w:w w:val="100"/>
        </w:rPr>
        <w:fldChar w:fldCharType="begin"/>
      </w:r>
      <w:r>
        <w:rPr>
          <w:w w:val="100"/>
        </w:rPr>
        <w:instrText xml:space="preserve"> REF  RTF36313736343a2048322c312e \h</w:instrText>
      </w:r>
      <w:r w:rsidR="009B4171">
        <w:rPr>
          <w:w w:val="100"/>
        </w:rPr>
      </w:r>
      <w:r w:rsidR="009B4171">
        <w:rPr>
          <w:w w:val="100"/>
        </w:rPr>
        <w:fldChar w:fldCharType="separate"/>
      </w:r>
      <w:r>
        <w:rPr>
          <w:w w:val="100"/>
        </w:rPr>
        <w:t xml:space="preserve">10.3.5 (Association, </w:t>
      </w:r>
      <w:proofErr w:type="spellStart"/>
      <w:r>
        <w:rPr>
          <w:w w:val="100"/>
        </w:rPr>
        <w:t>reassociation</w:t>
      </w:r>
      <w:proofErr w:type="spellEnd"/>
      <w:r>
        <w:rPr>
          <w:w w:val="100"/>
        </w:rPr>
        <w:t>, and disassociation)</w:t>
      </w:r>
      <w:r w:rsidR="009B4171">
        <w:rPr>
          <w:w w:val="100"/>
        </w:rPr>
        <w:fldChar w:fldCharType="end"/>
      </w:r>
      <w:r>
        <w:rPr>
          <w:w w:val="100"/>
        </w:rPr>
        <w:t xml:space="preserve"> describes the procedures used for IEEE </w:t>
      </w:r>
      <w:proofErr w:type="gramStart"/>
      <w:r>
        <w:rPr>
          <w:w w:val="100"/>
        </w:rPr>
        <w:t>Std(</w:t>
      </w:r>
      <w:proofErr w:type="gramEnd"/>
      <w:r>
        <w:rPr>
          <w:w w:val="100"/>
        </w:rPr>
        <w:t xml:space="preserve">#130) 802.11 association, reassociation and disassociation. </w:t>
      </w:r>
    </w:p>
    <w:p w:rsidR="003E6194" w:rsidRDefault="003E6194" w:rsidP="003E6194">
      <w:pPr>
        <w:pStyle w:val="T"/>
        <w:rPr>
          <w:w w:val="100"/>
        </w:rPr>
      </w:pPr>
      <w:r>
        <w:rPr>
          <w:w w:val="100"/>
        </w:rPr>
        <w:t xml:space="preserve">The states used in this description are defined in </w:t>
      </w:r>
      <w:r w:rsidR="009B4171">
        <w:rPr>
          <w:w w:val="100"/>
        </w:rPr>
        <w:fldChar w:fldCharType="begin"/>
      </w:r>
      <w:r>
        <w:rPr>
          <w:w w:val="100"/>
        </w:rPr>
        <w:instrText xml:space="preserve"> REF  RTF39343937383a2048332c312e \h</w:instrText>
      </w:r>
      <w:r w:rsidR="009B4171">
        <w:rPr>
          <w:w w:val="100"/>
        </w:rPr>
      </w:r>
      <w:r w:rsidR="009B4171">
        <w:rPr>
          <w:w w:val="100"/>
        </w:rPr>
        <w:fldChar w:fldCharType="separate"/>
      </w:r>
      <w:r>
        <w:rPr>
          <w:w w:val="100"/>
        </w:rPr>
        <w:t>10.3.1 (State variables)</w:t>
      </w:r>
      <w:r w:rsidR="009B4171">
        <w:rPr>
          <w:w w:val="100"/>
        </w:rPr>
        <w:fldChar w:fldCharType="end"/>
      </w:r>
      <w:r>
        <w:rPr>
          <w:w w:val="100"/>
        </w:rPr>
        <w:t>.</w:t>
      </w:r>
    </w:p>
    <w:p w:rsidR="003E6194" w:rsidRDefault="003E6194" w:rsidP="003E6194">
      <w:pPr>
        <w:pStyle w:val="T"/>
        <w:rPr>
          <w:w w:val="100"/>
        </w:rPr>
      </w:pPr>
      <w:r>
        <w:rPr>
          <w:w w:val="100"/>
        </w:rPr>
        <w:t>Successful association enables a STA to exchange Class 3 frames. Successful association sets the STA’(#1485)s state to State 3 or State 4.</w:t>
      </w:r>
    </w:p>
    <w:p w:rsidR="004D3726" w:rsidRDefault="00810426" w:rsidP="003E6194">
      <w:pPr>
        <w:pStyle w:val="T"/>
        <w:rPr>
          <w:w w:val="100"/>
        </w:rPr>
      </w:pPr>
      <w:r w:rsidRPr="00BB5140">
        <w:rPr>
          <w:color w:val="FF0000"/>
          <w:w w:val="100"/>
        </w:rPr>
        <w:t>Successful FILS association</w:t>
      </w:r>
      <w:r w:rsidR="00BB5140" w:rsidRPr="00BB5140">
        <w:rPr>
          <w:color w:val="FF0000"/>
          <w:w w:val="100"/>
        </w:rPr>
        <w:t xml:space="preserve"> (11ai)</w:t>
      </w:r>
      <w:r w:rsidRPr="00BB5140">
        <w:rPr>
          <w:color w:val="FF0000"/>
          <w:w w:val="100"/>
        </w:rPr>
        <w:t xml:space="preserve"> </w:t>
      </w:r>
      <w:r w:rsidR="006E7CEE">
        <w:rPr>
          <w:color w:val="FF0000"/>
          <w:w w:val="100"/>
        </w:rPr>
        <w:t xml:space="preserve">enables a STA to </w:t>
      </w:r>
      <w:r w:rsidRPr="00BB5140">
        <w:rPr>
          <w:color w:val="FF0000"/>
          <w:w w:val="100"/>
        </w:rPr>
        <w:t xml:space="preserve">set </w:t>
      </w:r>
      <w:r w:rsidR="00964D96">
        <w:rPr>
          <w:color w:val="FF0000"/>
          <w:w w:val="100"/>
        </w:rPr>
        <w:t>a</w:t>
      </w:r>
      <w:r w:rsidRPr="00BB5140">
        <w:rPr>
          <w:color w:val="FF0000"/>
          <w:w w:val="100"/>
        </w:rPr>
        <w:t xml:space="preserve"> </w:t>
      </w:r>
      <w:r w:rsidR="00964D96">
        <w:rPr>
          <w:color w:val="FF0000"/>
          <w:w w:val="100"/>
        </w:rPr>
        <w:t xml:space="preserve">FILS </w:t>
      </w:r>
      <w:r w:rsidRPr="00BB5140">
        <w:rPr>
          <w:color w:val="FF0000"/>
          <w:w w:val="100"/>
        </w:rPr>
        <w:t>STA’s s</w:t>
      </w:r>
      <w:r w:rsidR="00964D96">
        <w:rPr>
          <w:color w:val="FF0000"/>
          <w:w w:val="100"/>
        </w:rPr>
        <w:t>t</w:t>
      </w:r>
      <w:r w:rsidRPr="00BB5140">
        <w:rPr>
          <w:color w:val="FF0000"/>
          <w:w w:val="100"/>
        </w:rPr>
        <w:t xml:space="preserve">ate from State 5 to 4, and exchange </w:t>
      </w:r>
      <w:r w:rsidR="006E7CEE">
        <w:rPr>
          <w:color w:val="FF0000"/>
          <w:w w:val="100"/>
        </w:rPr>
        <w:t xml:space="preserve">the </w:t>
      </w:r>
      <w:r w:rsidRPr="00BB5140">
        <w:rPr>
          <w:color w:val="FF0000"/>
          <w:w w:val="100"/>
        </w:rPr>
        <w:t>Class 3 frame</w:t>
      </w:r>
      <w:r w:rsidR="006E7CEE">
        <w:rPr>
          <w:color w:val="FF0000"/>
          <w:w w:val="100"/>
        </w:rPr>
        <w:t>s as defined in 10.3.1</w:t>
      </w:r>
    </w:p>
    <w:p w:rsidR="003E6194" w:rsidRDefault="003E6194" w:rsidP="003E6194">
      <w:pPr>
        <w:pStyle w:val="T"/>
        <w:rPr>
          <w:w w:val="100"/>
        </w:rPr>
      </w:pPr>
      <w:r>
        <w:rPr>
          <w:w w:val="100"/>
        </w:rPr>
        <w:t>Successful reassociation enables a STA to exchange Class 3 frames. Unsuccessful reassociation when not in State 1 leaves the STA’s state unchanged (with respect to the PCP/AP(11ad) that was sent the Reassociation Request (which may be the current STA)). Successful reassociation sets the STA’s state to State 3 or State 4 (with respect to the PCP/AP(11ad) that was sent the Reassociation Request). Successful reassociation when not in State 1 sets the STA’s state to State 2 (with respect to the current PCP/AP(11ad)</w:t>
      </w:r>
      <w:r w:rsidR="005E56F3">
        <w:rPr>
          <w:w w:val="100"/>
        </w:rPr>
        <w:t xml:space="preserve"> </w:t>
      </w:r>
      <w:r>
        <w:rPr>
          <w:w w:val="100"/>
        </w:rPr>
        <w:t>, if this is not the PCP/AP(11ad) that was sent the Reassociation Request).</w:t>
      </w:r>
      <w:r w:rsidR="005E56F3">
        <w:rPr>
          <w:w w:val="100"/>
        </w:rPr>
        <w:t xml:space="preserve"> </w:t>
      </w:r>
      <w:r w:rsidR="005E56F3" w:rsidRPr="000B4A51">
        <w:rPr>
          <w:color w:val="FF0000"/>
          <w:w w:val="100"/>
        </w:rPr>
        <w:t xml:space="preserve">Successful </w:t>
      </w:r>
      <w:proofErr w:type="spellStart"/>
      <w:r w:rsidR="005E56F3" w:rsidRPr="000B4A51">
        <w:rPr>
          <w:color w:val="FF0000"/>
          <w:w w:val="100"/>
        </w:rPr>
        <w:t>reassociation</w:t>
      </w:r>
      <w:proofErr w:type="spellEnd"/>
      <w:r w:rsidR="005E56F3" w:rsidRPr="000B4A51">
        <w:rPr>
          <w:color w:val="FF0000"/>
          <w:w w:val="100"/>
        </w:rPr>
        <w:t xml:space="preserve"> sets </w:t>
      </w:r>
      <w:r w:rsidR="002A628E">
        <w:rPr>
          <w:color w:val="FF0000"/>
          <w:w w:val="100"/>
        </w:rPr>
        <w:t>a</w:t>
      </w:r>
      <w:r w:rsidR="005E56F3" w:rsidRPr="000B4A51">
        <w:rPr>
          <w:color w:val="FF0000"/>
          <w:w w:val="100"/>
        </w:rPr>
        <w:t xml:space="preserve"> </w:t>
      </w:r>
      <w:r w:rsidR="002A628E">
        <w:rPr>
          <w:color w:val="FF0000"/>
          <w:w w:val="100"/>
        </w:rPr>
        <w:t xml:space="preserve">FILS </w:t>
      </w:r>
      <w:r w:rsidR="005E56F3" w:rsidRPr="000B4A51">
        <w:rPr>
          <w:color w:val="FF0000"/>
          <w:w w:val="100"/>
        </w:rPr>
        <w:t xml:space="preserve">STA’s state to State 4 </w:t>
      </w:r>
      <w:r w:rsidR="002A628E">
        <w:rPr>
          <w:color w:val="FF0000"/>
          <w:w w:val="100"/>
        </w:rPr>
        <w:t xml:space="preserve">and </w:t>
      </w:r>
      <w:r w:rsidR="005E56F3" w:rsidRPr="000B4A51">
        <w:rPr>
          <w:color w:val="FF0000"/>
          <w:w w:val="100"/>
        </w:rPr>
        <w:t>enable</w:t>
      </w:r>
      <w:r w:rsidR="002A628E">
        <w:rPr>
          <w:color w:val="FF0000"/>
          <w:w w:val="100"/>
        </w:rPr>
        <w:t>s</w:t>
      </w:r>
      <w:r w:rsidR="005E56F3" w:rsidRPr="000B4A51">
        <w:rPr>
          <w:color w:val="FF0000"/>
          <w:w w:val="100"/>
        </w:rPr>
        <w:t xml:space="preserve"> </w:t>
      </w:r>
      <w:r w:rsidR="002A628E">
        <w:rPr>
          <w:color w:val="FF0000"/>
          <w:w w:val="100"/>
        </w:rPr>
        <w:t>it</w:t>
      </w:r>
      <w:r w:rsidR="005E56F3" w:rsidRPr="000B4A51">
        <w:rPr>
          <w:color w:val="FF0000"/>
          <w:w w:val="100"/>
        </w:rPr>
        <w:t xml:space="preserve"> to exchange Class 3 frames. </w:t>
      </w:r>
      <w:r>
        <w:rPr>
          <w:w w:val="100"/>
        </w:rPr>
        <w:t>Reassociation shall be performed only if the originating STA is already associated in the same ESS.</w:t>
      </w:r>
    </w:p>
    <w:p w:rsidR="003E6194" w:rsidRDefault="003E6194" w:rsidP="003E6194">
      <w:pPr>
        <w:pStyle w:val="T"/>
        <w:rPr>
          <w:w w:val="100"/>
        </w:rPr>
      </w:pPr>
      <w:r>
        <w:rPr>
          <w:w w:val="100"/>
        </w:rPr>
        <w:lastRenderedPageBreak/>
        <w:t>Disassociation notification when not in State 1 sets the STA’s state to State 2</w:t>
      </w:r>
      <w:r w:rsidR="00C25406">
        <w:rPr>
          <w:w w:val="100"/>
        </w:rPr>
        <w:t xml:space="preserve"> </w:t>
      </w:r>
      <w:r w:rsidR="00C25406" w:rsidRPr="00C25406">
        <w:rPr>
          <w:color w:val="FF0000"/>
          <w:w w:val="100"/>
        </w:rPr>
        <w:t xml:space="preserve">or Sate 5 (with </w:t>
      </w:r>
      <w:proofErr w:type="spellStart"/>
      <w:r w:rsidR="00C25406" w:rsidRPr="00C25406">
        <w:rPr>
          <w:color w:val="FF0000"/>
          <w:w w:val="100"/>
        </w:rPr>
        <w:t>repect</w:t>
      </w:r>
      <w:proofErr w:type="spellEnd"/>
      <w:r w:rsidR="00C25406" w:rsidRPr="00C25406">
        <w:rPr>
          <w:color w:val="FF0000"/>
          <w:w w:val="100"/>
        </w:rPr>
        <w:t xml:space="preserve"> to 11ai)</w:t>
      </w:r>
      <w:r>
        <w:rPr>
          <w:w w:val="100"/>
        </w:rPr>
        <w:t>. The STA shall become associated again prior to sending Class 3 frames. A STA may disassociate a peer STA at any time, for any reason.</w:t>
      </w:r>
      <w:r w:rsidR="00C25406">
        <w:rPr>
          <w:w w:val="100"/>
        </w:rPr>
        <w:t xml:space="preserve"> </w:t>
      </w:r>
    </w:p>
    <w:p w:rsidR="003E6194" w:rsidRDefault="003E6194" w:rsidP="003E6194">
      <w:pPr>
        <w:pStyle w:val="T"/>
        <w:rPr>
          <w:w w:val="100"/>
        </w:rPr>
      </w:pPr>
      <w:r>
        <w:rPr>
          <w:w w:val="100"/>
        </w:rPr>
        <w:t>If non-DMG(11ad) STA A in an infrastructure BSS receives a Class 3 frame from STA B that is authenticated but not associated with STA A (i.e., the state for STA B is State 2), STA A shall discard the frame. If the frame has an individual address in the Address 1 field, the MLME of STA A shall send a Disassociation frame to STA B.</w:t>
      </w:r>
    </w:p>
    <w:p w:rsidR="003E6194" w:rsidRDefault="003E6194" w:rsidP="003E6194">
      <w:pPr>
        <w:pStyle w:val="T"/>
        <w:rPr>
          <w:rStyle w:val="editorinsertion"/>
        </w:rPr>
      </w:pPr>
      <w:r>
        <w:rPr>
          <w:rStyle w:val="editorinsertion"/>
        </w:rPr>
        <w:t>If DMG STA A in an infrastructure BSS receives a Class 3 frame from STA B that is not associated with STA A (i.e., the state for STA B is State 2), STA A shall discard the frame. If the frame has an individual address in the Address 1 field, the MLME of STA A shall send a Disassociation frame to STA B.(11ad)</w:t>
      </w:r>
    </w:p>
    <w:p w:rsidR="003E6194" w:rsidRDefault="003E6194" w:rsidP="003E6194">
      <w:pPr>
        <w:pStyle w:val="T"/>
        <w:rPr>
          <w:w w:val="100"/>
        </w:rPr>
      </w:pPr>
      <w:r>
        <w:rPr>
          <w:w w:val="100"/>
        </w:rPr>
        <w:t>If an MM-SME coordinated STA receives an Association Response frame with a result code equal to SUCCESS and with the value of the Single AID field within MMS element equal to 1, then (11ad)</w:t>
      </w:r>
    </w:p>
    <w:p w:rsidR="003E6194" w:rsidRDefault="003E6194" w:rsidP="003E6194">
      <w:pPr>
        <w:pStyle w:val="DL"/>
        <w:numPr>
          <w:ilvl w:val="0"/>
          <w:numId w:val="42"/>
        </w:numPr>
        <w:ind w:left="640" w:hanging="440"/>
        <w:rPr>
          <w:rStyle w:val="editorinsertion"/>
        </w:rPr>
      </w:pPr>
      <w:r>
        <w:rPr>
          <w:rStyle w:val="editorinsertion"/>
        </w:rPr>
        <w:t>For each of its MAC entities advertised within the MMS element and for which dot11RSNAEnabled is true, the state is set to State 3. Progress from State 3 to State 4 occurs independently in each such MAC entity.</w:t>
      </w:r>
    </w:p>
    <w:p w:rsidR="003E6194" w:rsidRDefault="003E6194" w:rsidP="003E6194">
      <w:pPr>
        <w:pStyle w:val="DL"/>
        <w:numPr>
          <w:ilvl w:val="0"/>
          <w:numId w:val="42"/>
        </w:numPr>
        <w:ind w:left="640" w:hanging="440"/>
        <w:rPr>
          <w:rStyle w:val="editorinsertion"/>
        </w:rPr>
      </w:pPr>
      <w:r>
        <w:rPr>
          <w:rStyle w:val="editorinsertion"/>
        </w:rPr>
        <w:t>For each of its MAC entities advertised within the MMS element and for which dot11RSNAEnabled is false, the state is set to State 4.</w:t>
      </w:r>
    </w:p>
    <w:p w:rsidR="003E6194" w:rsidRDefault="003E6194" w:rsidP="003E6194">
      <w:pPr>
        <w:pStyle w:val="T"/>
        <w:rPr>
          <w:w w:val="100"/>
        </w:rPr>
      </w:pPr>
      <w:r>
        <w:rPr>
          <w:w w:val="100"/>
        </w:rPr>
        <w:t>If the MM-SME coordinated STA in State 3 is assigned an AID for only the MAC entity identified by the RA field of the Association Response with result code equal to SUCCESS, the MM-SME may repeat the association procedure for any other MAC entity coordinated by the MM-SME. (11ad)</w:t>
      </w:r>
    </w:p>
    <w:p w:rsidR="003E6194" w:rsidRDefault="003E6194" w:rsidP="003E6194">
      <w:pPr>
        <w:pStyle w:val="T"/>
        <w:rPr>
          <w:w w:val="100"/>
        </w:rPr>
      </w:pPr>
      <w:r>
        <w:rPr>
          <w:w w:val="100"/>
        </w:rPr>
        <w:t>Association is not applicable in an IBSS. In an infrastructure BSS, association is required. In a PBSS, association is optional.(11ad) APs do not initiate association.</w:t>
      </w:r>
    </w:p>
    <w:p w:rsidR="00CC09F1" w:rsidRDefault="00CC09F1" w:rsidP="003E6194">
      <w:pPr>
        <w:pStyle w:val="T"/>
        <w:rPr>
          <w:w w:val="100"/>
        </w:rPr>
      </w:pPr>
    </w:p>
    <w:p w:rsidR="00CA09B2" w:rsidRPr="00CC09F1" w:rsidRDefault="00CA09B2" w:rsidP="00C03A74">
      <w:pPr>
        <w:rPr>
          <w:lang w:val="en-US"/>
        </w:rPr>
      </w:pPr>
    </w:p>
    <w:sectPr w:rsidR="00CA09B2" w:rsidRPr="00CC09F1" w:rsidSect="00DF0F8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DCF" w:rsidRDefault="000F3DCF">
      <w:r>
        <w:separator/>
      </w:r>
    </w:p>
  </w:endnote>
  <w:endnote w:type="continuationSeparator" w:id="0">
    <w:p w:rsidR="000F3DCF" w:rsidRDefault="000F3D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Arial Unicode MS"/>
    <w:panose1 w:val="02010600030101010101"/>
    <w:charset w:val="50"/>
    <w:family w:val="auto"/>
    <w:pitch w:val="variable"/>
    <w:sig w:usb0="00000000" w:usb1="00000000" w:usb2="0100040E" w:usb3="00000000" w:csb0="0004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9B4171">
    <w:pPr>
      <w:pStyle w:val="Footer"/>
      <w:tabs>
        <w:tab w:val="clear" w:pos="6480"/>
        <w:tab w:val="center" w:pos="4680"/>
        <w:tab w:val="right" w:pos="9360"/>
      </w:tabs>
    </w:pPr>
    <w:fldSimple w:instr=" SUBJECT  \* MERGEFORMAT ">
      <w:r w:rsidR="00C90881">
        <w:t xml:space="preserve">FILS authentication </w:t>
      </w:r>
      <w:r w:rsidR="00DC12FE">
        <w:t>Protocol</w:t>
      </w:r>
    </w:fldSimple>
    <w:r w:rsidR="00DD1797">
      <w:tab/>
      <w:t xml:space="preserve">page </w:t>
    </w:r>
    <w:r>
      <w:fldChar w:fldCharType="begin"/>
    </w:r>
    <w:r w:rsidR="00DD1797">
      <w:instrText xml:space="preserve">page </w:instrText>
    </w:r>
    <w:r>
      <w:fldChar w:fldCharType="separate"/>
    </w:r>
    <w:r w:rsidR="00EE5A3B">
      <w:rPr>
        <w:noProof/>
      </w:rPr>
      <w:t>7</w:t>
    </w:r>
    <w:r>
      <w:fldChar w:fldCharType="end"/>
    </w:r>
    <w:r w:rsidR="00DD1797">
      <w:tab/>
    </w:r>
    <w:r w:rsidR="00DC12FE">
      <w:t>Rob Sun et al, Huawei</w:t>
    </w:r>
  </w:p>
  <w:p w:rsidR="00DD1797" w:rsidRDefault="00DD179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DCF" w:rsidRDefault="000F3DCF">
      <w:r>
        <w:separator/>
      </w:r>
    </w:p>
  </w:footnote>
  <w:footnote w:type="continuationSeparator" w:id="0">
    <w:p w:rsidR="000F3DCF" w:rsidRDefault="000F3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97" w:rsidRDefault="00736FEE">
    <w:pPr>
      <w:pStyle w:val="Header"/>
      <w:tabs>
        <w:tab w:val="clear" w:pos="6480"/>
        <w:tab w:val="center" w:pos="4680"/>
        <w:tab w:val="right" w:pos="9360"/>
      </w:tabs>
    </w:pPr>
    <w:r>
      <w:t>June 2013</w:t>
    </w:r>
    <w:r w:rsidR="00DD1797">
      <w:tab/>
    </w:r>
    <w:r w:rsidR="00DD1797">
      <w:tab/>
    </w:r>
    <w:fldSimple w:instr=" TITLE  \* MERGEFORMAT ">
      <w:r w:rsidR="000B4A51">
        <w:t>doc.: IEEE 802.11-13/0742r0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3E46A2"/>
    <w:lvl w:ilvl="0">
      <w:numFmt w:val="bullet"/>
      <w:lvlText w:val="*"/>
      <w:lvlJc w:val="left"/>
      <w:pPr>
        <w:ind w:left="0" w:firstLine="0"/>
      </w:pPr>
    </w:lvl>
  </w:abstractNum>
  <w:abstractNum w:abstractNumId="1">
    <w:nsid w:val="048F1DD5"/>
    <w:multiLevelType w:val="multilevel"/>
    <w:tmpl w:val="7B0CD6BC"/>
    <w:lvl w:ilvl="0">
      <w:start w:val="11"/>
      <w:numFmt w:val="decimal"/>
      <w:lvlText w:val="%1"/>
      <w:lvlJc w:val="left"/>
      <w:pPr>
        <w:ind w:left="705" w:hanging="705"/>
      </w:pPr>
      <w:rPr>
        <w:rFonts w:hint="default"/>
      </w:rPr>
    </w:lvl>
    <w:lvl w:ilvl="1">
      <w:start w:val="5"/>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A9421C"/>
    <w:multiLevelType w:val="multilevel"/>
    <w:tmpl w:val="D9504BD0"/>
    <w:lvl w:ilvl="0">
      <w:start w:val="1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C4160D"/>
    <w:multiLevelType w:val="hybridMultilevel"/>
    <w:tmpl w:val="47DE7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86AE5"/>
    <w:multiLevelType w:val="hybridMultilevel"/>
    <w:tmpl w:val="301E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B3297"/>
    <w:multiLevelType w:val="multilevel"/>
    <w:tmpl w:val="167C00D4"/>
    <w:lvl w:ilvl="0">
      <w:start w:val="11"/>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5AC6E8D"/>
    <w:multiLevelType w:val="hybridMultilevel"/>
    <w:tmpl w:val="D626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170F41"/>
    <w:multiLevelType w:val="hybridMultilevel"/>
    <w:tmpl w:val="C9CE9498"/>
    <w:lvl w:ilvl="0" w:tplc="9E989306">
      <w:start w:val="4"/>
      <w:numFmt w:val="bullet"/>
      <w:lvlText w:val="-"/>
      <w:lvlJc w:val="left"/>
      <w:pPr>
        <w:ind w:left="405" w:hanging="360"/>
      </w:pPr>
      <w:rPr>
        <w:rFonts w:ascii="Times New Roman" w:eastAsia="Times New Roman" w:hAnsi="Times New Roman" w:cs="Times New Roman"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8">
    <w:nsid w:val="6D720E88"/>
    <w:multiLevelType w:val="hybridMultilevel"/>
    <w:tmpl w:val="3AD8006E"/>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AC35E8"/>
    <w:multiLevelType w:val="hybridMultilevel"/>
    <w:tmpl w:val="428C4936"/>
    <w:lvl w:ilvl="0" w:tplc="C8B0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
    <w:abstractNumId w:val="0"/>
    <w:lvlOverride w:ilvl="0">
      <w:lvl w:ilvl="0">
        <w:numFmt w:val="bullet"/>
        <w:lvlText w:val="4.5.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6"/>
  </w:num>
  <w:num w:numId="4">
    <w:abstractNumId w:val="0"/>
    <w:lvlOverride w:ilvl="0">
      <w:lvl w:ilvl="0">
        <w:numFmt w:val="bullet"/>
        <w:lvlText w:val="8.3.3.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Table 8-2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bullet"/>
        <w:lvlText w:val="Table 8-2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bullet"/>
        <w:lvlText w:val="8.4.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bullet"/>
        <w:lvlText w:val="Figure 8-8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9">
    <w:abstractNumId w:val="0"/>
    <w:lvlOverride w:ilvl="0">
      <w:lvl w:ilvl="0">
        <w:numFmt w:val="bullet"/>
        <w:lvlText w:val="10.3.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bullet"/>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bullet"/>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bullet"/>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bullet"/>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bullet"/>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7">
    <w:abstractNumId w:val="0"/>
    <w:lvlOverride w:ilvl="0">
      <w:lvl w:ilvl="0">
        <w:numFmt w:val="bullet"/>
        <w:lvlText w:val="10.3.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9">
    <w:abstractNumId w:val="0"/>
    <w:lvlOverride w:ilvl="0">
      <w:lvl w:ilvl="0">
        <w:numFmt w:val="bullet"/>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0">
    <w:abstractNumId w:val="0"/>
    <w:lvlOverride w:ilvl="0">
      <w:lvl w:ilvl="0">
        <w:numFmt w:val="bullet"/>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1">
    <w:abstractNumId w:val="0"/>
    <w:lvlOverride w:ilvl="0">
      <w:lvl w:ilvl="0">
        <w:numFmt w:val="bullet"/>
        <w:lvlText w:val="8.4.2.27.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abstractNumId w:val="0"/>
    <w:lvlOverride w:ilvl="0">
      <w:lvl w:ilvl="0">
        <w:numFmt w:val="bullet"/>
        <w:lvlText w:val="Table 8-1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4"/>
  </w:num>
  <w:num w:numId="24">
    <w:abstractNumId w:val="3"/>
  </w:num>
  <w:num w:numId="25">
    <w:abstractNumId w:val="8"/>
  </w:num>
  <w:num w:numId="26">
    <w:abstractNumId w:val="0"/>
    <w:lvlOverride w:ilvl="0">
      <w:lvl w:ilvl="0">
        <w:start w:val="1"/>
        <w:numFmt w:val="bullet"/>
        <w:lvlText w:val="Figure 8-83—"/>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numFmt w:val="bullet"/>
        <w:lvlText w:val="11.5.1.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0">
    <w:abstractNumId w:val="0"/>
    <w:lvlOverride w:ilvl="0">
      <w:lvl w:ilvl="0">
        <w:numFmt w:val="bullet"/>
        <w:lvlText w:val="11.5.8 "/>
        <w:legacy w:legacy="1" w:legacySpace="0" w:legacyIndent="0"/>
        <w:lvlJc w:val="left"/>
        <w:pPr>
          <w:ind w:left="63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bullet"/>
        <w:lvlText w:val="11.5.8.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
  </w:num>
  <w:num w:numId="33">
    <w:abstractNumId w:val="0"/>
    <w:lvlOverride w:ilvl="0">
      <w:lvl w:ilvl="0">
        <w:numFmt w:val="bullet"/>
        <w:lvlText w:val="11.5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34">
    <w:abstractNumId w:val="0"/>
    <w:lvlOverride w:ilvl="0">
      <w:lvl w:ilvl="0">
        <w:numFmt w:val="bullet"/>
        <w:lvlText w:val="11.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abstractNumId w:val="0"/>
    <w:lvlOverride w:ilvl="0">
      <w:lvl w:ilvl="0">
        <w:numFmt w:val="bullet"/>
        <w:lvlText w:val="11.5.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abstractNumId w:val="0"/>
    <w:lvlOverride w:ilvl="0">
      <w:lvl w:ilvl="0">
        <w:numFmt w:val="bullet"/>
        <w:lvlText w:val="11.5.1.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0"/>
    <w:lvlOverride w:ilvl="0">
      <w:lvl w:ilvl="0">
        <w:numFmt w:val="bullet"/>
        <w:lvlText w:val="11.5.1.1.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8">
    <w:abstractNumId w:val="2"/>
  </w:num>
  <w:num w:numId="39">
    <w:abstractNumId w:val="0"/>
    <w:lvlOverride w:ilvl="0">
      <w:lvl w:ilvl="0">
        <w:numFmt w:val="bullet"/>
        <w:lvlText w:val="11.5.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abstractNumId w:val="5"/>
  </w:num>
  <w:num w:numId="41">
    <w:abstractNumId w:val="7"/>
  </w:num>
  <w:num w:numId="4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1">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2">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4">
    <w:abstractNumId w:val="0"/>
    <w:lvlOverride w:ilvl="0">
      <w:lvl w:ilvl="0">
        <w:start w:val="1"/>
        <w:numFmt w:val="bullet"/>
        <w:lvlText w:val="10.3 "/>
        <w:legacy w:legacy="1" w:legacySpace="0" w:legacyIndent="0"/>
        <w:lvlJc w:val="left"/>
        <w:pPr>
          <w:ind w:left="0" w:firstLine="0"/>
        </w:pPr>
        <w:rPr>
          <w:rFonts w:ascii="Arial" w:hAnsi="Arial" w:cs="Arial" w:hint="default"/>
          <w:b/>
          <w:i w:val="0"/>
          <w:strike w:val="0"/>
          <w:color w:val="000000"/>
          <w:sz w:val="22"/>
          <w:u w:val="none"/>
        </w:rPr>
      </w:lvl>
    </w:lvlOverride>
  </w:num>
  <w:num w:numId="55">
    <w:abstractNumId w:val="0"/>
    <w:lvlOverride w:ilvl="0">
      <w:lvl w:ilvl="0">
        <w:start w:val="1"/>
        <w:numFmt w:val="bullet"/>
        <w:lvlText w:val="10.3.1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0.3.2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0.3.3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5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1">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2">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3">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5">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6">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7">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8">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9">
    <w:abstractNumId w:val="0"/>
    <w:lvlOverride w:ilvl="0">
      <w:lvl w:ilvl="0">
        <w:start w:val="1"/>
        <w:numFmt w:val="bullet"/>
        <w:lvlText w:val="x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0">
    <w:abstractNumId w:val="0"/>
    <w:lvlOverride w:ilvl="0">
      <w:lvl w:ilvl="0">
        <w:start w:val="1"/>
        <w:numFmt w:val="bullet"/>
        <w:lvlText w:val="3) "/>
        <w:legacy w:legacy="1" w:legacySpace="0" w:legacyIndent="0"/>
        <w:lvlJc w:val="left"/>
        <w:pPr>
          <w:ind w:left="1440" w:firstLine="0"/>
        </w:pPr>
        <w:rPr>
          <w:rFonts w:ascii="Times New Roman" w:hAnsi="Times New Roman" w:cs="Times New Roman" w:hint="default"/>
          <w:b w:val="0"/>
          <w:i w:val="0"/>
          <w:strike w:val="0"/>
          <w:color w:val="000000"/>
          <w:sz w:val="20"/>
          <w:u w:val="none"/>
        </w:rPr>
      </w:lvl>
    </w:lvlOverride>
  </w:num>
  <w:num w:numId="7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2">
    <w:abstractNumId w:val="0"/>
    <w:lvlOverride w:ilvl="0">
      <w:lvl w:ilvl="0">
        <w:start w:val="1"/>
        <w:numFmt w:val="bullet"/>
        <w:lvlText w:val="10.3.4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10.3.4.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10.3.4.2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10.3.4.3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10.3.4.4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10.3.4.5 "/>
        <w:legacy w:legacy="1" w:legacySpace="0" w:legacyIndent="0"/>
        <w:lvlJc w:val="left"/>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9">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1">
    <w:abstractNumId w:val="0"/>
    <w:lvlOverride w:ilvl="0">
      <w:lvl w:ilvl="0">
        <w:start w:val="1"/>
        <w:numFmt w:val="bullet"/>
        <w:lvlText w:val="10.3.5 "/>
        <w:legacy w:legacy="1" w:legacySpace="0" w:legacyIndent="0"/>
        <w:lvlJc w:val="left"/>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10.3.5.1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10.3.5.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10.3.5.3 "/>
        <w:legacy w:legacy="1" w:legacySpace="0" w:legacyIndent="0"/>
        <w:lvlJc w:val="left"/>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6">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7">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8">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9">
    <w:abstractNumId w:val="0"/>
    <w:lvlOverride w:ilvl="0">
      <w:lvl w:ilvl="0">
        <w:start w:val="1"/>
        <w:numFmt w:val="bullet"/>
        <w:lvlText w:val="10.3.5.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10.3.5.5 "/>
        <w:legacy w:legacy="1" w:legacySpace="0" w:legacyIndent="0"/>
        <w:lvlJc w:val="left"/>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2">
    <w:abstractNumId w:val="0"/>
    <w:lvlOverride w:ilvl="0">
      <w:lvl w:ilvl="0">
        <w:start w:val="1"/>
        <w:numFmt w:val="bullet"/>
        <w:lvlText w:val="10.3.5.6 "/>
        <w:legacy w:legacy="1" w:legacySpace="0" w:legacyIndent="0"/>
        <w:lvlJc w:val="left"/>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10.3.5.7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10.3.5.8 "/>
        <w:legacy w:legacy="1" w:legacySpace="0" w:legacyIndent="0"/>
        <w:lvlJc w:val="left"/>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10.3.5.9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10.3.5.10 "/>
        <w:legacy w:legacy="1" w:legacySpace="0" w:legacyIndent="0"/>
        <w:lvlJc w:val="left"/>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10.3.6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10.3.7 "/>
        <w:legacy w:legacy="1" w:legacySpace="0" w:legacyIndent="0"/>
        <w:lvlJc w:val="left"/>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rsids>
    <w:rsidRoot w:val="004454A0"/>
    <w:rsid w:val="00010E5F"/>
    <w:rsid w:val="00032647"/>
    <w:rsid w:val="00043202"/>
    <w:rsid w:val="000B46C2"/>
    <w:rsid w:val="000B4A51"/>
    <w:rsid w:val="000C732A"/>
    <w:rsid w:val="000F3DCF"/>
    <w:rsid w:val="0010732A"/>
    <w:rsid w:val="001165F3"/>
    <w:rsid w:val="00127BEA"/>
    <w:rsid w:val="00133855"/>
    <w:rsid w:val="00145B4C"/>
    <w:rsid w:val="00193352"/>
    <w:rsid w:val="00195B25"/>
    <w:rsid w:val="001A753E"/>
    <w:rsid w:val="001D723B"/>
    <w:rsid w:val="001F29F5"/>
    <w:rsid w:val="00205C33"/>
    <w:rsid w:val="00211279"/>
    <w:rsid w:val="002447E4"/>
    <w:rsid w:val="00245FF9"/>
    <w:rsid w:val="00251BF4"/>
    <w:rsid w:val="0029020B"/>
    <w:rsid w:val="002A628E"/>
    <w:rsid w:val="002D44BE"/>
    <w:rsid w:val="002D5716"/>
    <w:rsid w:val="00302A55"/>
    <w:rsid w:val="0030669A"/>
    <w:rsid w:val="00313F6B"/>
    <w:rsid w:val="0031725D"/>
    <w:rsid w:val="003326A7"/>
    <w:rsid w:val="00334570"/>
    <w:rsid w:val="003425BD"/>
    <w:rsid w:val="00392E95"/>
    <w:rsid w:val="003B6B82"/>
    <w:rsid w:val="003E6194"/>
    <w:rsid w:val="003F01F4"/>
    <w:rsid w:val="0040207B"/>
    <w:rsid w:val="00421378"/>
    <w:rsid w:val="00422566"/>
    <w:rsid w:val="00426752"/>
    <w:rsid w:val="00442037"/>
    <w:rsid w:val="004454A0"/>
    <w:rsid w:val="004611D6"/>
    <w:rsid w:val="00462695"/>
    <w:rsid w:val="00464F44"/>
    <w:rsid w:val="004972D2"/>
    <w:rsid w:val="004A1546"/>
    <w:rsid w:val="004C5EFF"/>
    <w:rsid w:val="004C7FCE"/>
    <w:rsid w:val="004D3726"/>
    <w:rsid w:val="004E3B12"/>
    <w:rsid w:val="00504DC3"/>
    <w:rsid w:val="00510128"/>
    <w:rsid w:val="005218B6"/>
    <w:rsid w:val="00560EB4"/>
    <w:rsid w:val="00566A4C"/>
    <w:rsid w:val="00573ABA"/>
    <w:rsid w:val="00581740"/>
    <w:rsid w:val="005912EC"/>
    <w:rsid w:val="005C4D96"/>
    <w:rsid w:val="005D08DE"/>
    <w:rsid w:val="005D6D1F"/>
    <w:rsid w:val="005E56F3"/>
    <w:rsid w:val="005F51E6"/>
    <w:rsid w:val="00612024"/>
    <w:rsid w:val="00620579"/>
    <w:rsid w:val="006207CE"/>
    <w:rsid w:val="0062440B"/>
    <w:rsid w:val="00644E13"/>
    <w:rsid w:val="0065743D"/>
    <w:rsid w:val="0068624C"/>
    <w:rsid w:val="00696216"/>
    <w:rsid w:val="006A61A0"/>
    <w:rsid w:val="006B24D8"/>
    <w:rsid w:val="006B7CF8"/>
    <w:rsid w:val="006C0727"/>
    <w:rsid w:val="006C1AAE"/>
    <w:rsid w:val="006C2926"/>
    <w:rsid w:val="006C4A00"/>
    <w:rsid w:val="006E07BA"/>
    <w:rsid w:val="006E0DCD"/>
    <w:rsid w:val="006E145F"/>
    <w:rsid w:val="006E44BF"/>
    <w:rsid w:val="006E561C"/>
    <w:rsid w:val="006E7CEE"/>
    <w:rsid w:val="00710983"/>
    <w:rsid w:val="00736FEE"/>
    <w:rsid w:val="00743A8A"/>
    <w:rsid w:val="00770572"/>
    <w:rsid w:val="00772CF4"/>
    <w:rsid w:val="007B32FD"/>
    <w:rsid w:val="007B50E7"/>
    <w:rsid w:val="007D4420"/>
    <w:rsid w:val="0080096E"/>
    <w:rsid w:val="00810426"/>
    <w:rsid w:val="00895AF9"/>
    <w:rsid w:val="008B2AF5"/>
    <w:rsid w:val="008B7C96"/>
    <w:rsid w:val="008C77E2"/>
    <w:rsid w:val="0096006F"/>
    <w:rsid w:val="00964D96"/>
    <w:rsid w:val="00967673"/>
    <w:rsid w:val="00975A60"/>
    <w:rsid w:val="00987B50"/>
    <w:rsid w:val="009B4171"/>
    <w:rsid w:val="00A12C2F"/>
    <w:rsid w:val="00A1625D"/>
    <w:rsid w:val="00A411DE"/>
    <w:rsid w:val="00A44F19"/>
    <w:rsid w:val="00A51653"/>
    <w:rsid w:val="00A54DE1"/>
    <w:rsid w:val="00A862C7"/>
    <w:rsid w:val="00A91C76"/>
    <w:rsid w:val="00A97458"/>
    <w:rsid w:val="00AA427C"/>
    <w:rsid w:val="00AB2334"/>
    <w:rsid w:val="00AE692D"/>
    <w:rsid w:val="00AE7C0E"/>
    <w:rsid w:val="00AF4C91"/>
    <w:rsid w:val="00B178B4"/>
    <w:rsid w:val="00B34F8A"/>
    <w:rsid w:val="00B6480D"/>
    <w:rsid w:val="00BA03BB"/>
    <w:rsid w:val="00BA0F1B"/>
    <w:rsid w:val="00BB0A05"/>
    <w:rsid w:val="00BB5140"/>
    <w:rsid w:val="00BE68C2"/>
    <w:rsid w:val="00C03A74"/>
    <w:rsid w:val="00C25406"/>
    <w:rsid w:val="00C46D94"/>
    <w:rsid w:val="00C70B53"/>
    <w:rsid w:val="00C90881"/>
    <w:rsid w:val="00C97BBB"/>
    <w:rsid w:val="00CA09B2"/>
    <w:rsid w:val="00CA6258"/>
    <w:rsid w:val="00CC09F1"/>
    <w:rsid w:val="00CD6BF8"/>
    <w:rsid w:val="00D376C9"/>
    <w:rsid w:val="00DA15F2"/>
    <w:rsid w:val="00DC12FE"/>
    <w:rsid w:val="00DC3E47"/>
    <w:rsid w:val="00DC5597"/>
    <w:rsid w:val="00DC5A7B"/>
    <w:rsid w:val="00DD1797"/>
    <w:rsid w:val="00DF0F82"/>
    <w:rsid w:val="00E73BDF"/>
    <w:rsid w:val="00E75E0E"/>
    <w:rsid w:val="00EA6C02"/>
    <w:rsid w:val="00ED488F"/>
    <w:rsid w:val="00EE5A3B"/>
    <w:rsid w:val="00EF0968"/>
    <w:rsid w:val="00EF24BF"/>
    <w:rsid w:val="00EF6BEC"/>
    <w:rsid w:val="00F345BB"/>
    <w:rsid w:val="00F37A02"/>
    <w:rsid w:val="00F43F01"/>
    <w:rsid w:val="00F57FD0"/>
    <w:rsid w:val="00F71674"/>
    <w:rsid w:val="00F72169"/>
    <w:rsid w:val="00F7362E"/>
    <w:rsid w:val="00F966E1"/>
    <w:rsid w:val="00FA6365"/>
    <w:rsid w:val="00FC0DF3"/>
    <w:rsid w:val="00FC4C5D"/>
    <w:rsid w:val="00FD62CA"/>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rFonts w:eastAsiaTheme="minorEastAsia"/>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rFonts w:eastAsiaTheme="minorEastAsia"/>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0F82"/>
    <w:rPr>
      <w:sz w:val="22"/>
      <w:lang w:val="en-GB"/>
    </w:rPr>
  </w:style>
  <w:style w:type="paragraph" w:styleId="Heading1">
    <w:name w:val="heading 1"/>
    <w:basedOn w:val="Normal"/>
    <w:next w:val="Normal"/>
    <w:qFormat/>
    <w:rsid w:val="00DF0F82"/>
    <w:pPr>
      <w:keepNext/>
      <w:keepLines/>
      <w:spacing w:before="320"/>
      <w:outlineLvl w:val="0"/>
    </w:pPr>
    <w:rPr>
      <w:rFonts w:ascii="Arial" w:hAnsi="Arial"/>
      <w:b/>
      <w:sz w:val="32"/>
      <w:u w:val="single"/>
    </w:rPr>
  </w:style>
  <w:style w:type="paragraph" w:styleId="Heading2">
    <w:name w:val="heading 2"/>
    <w:basedOn w:val="Normal"/>
    <w:next w:val="Normal"/>
    <w:qFormat/>
    <w:rsid w:val="00DF0F82"/>
    <w:pPr>
      <w:keepNext/>
      <w:keepLines/>
      <w:spacing w:before="280"/>
      <w:outlineLvl w:val="1"/>
    </w:pPr>
    <w:rPr>
      <w:rFonts w:ascii="Arial" w:hAnsi="Arial"/>
      <w:b/>
      <w:sz w:val="28"/>
      <w:u w:val="single"/>
    </w:rPr>
  </w:style>
  <w:style w:type="paragraph" w:styleId="Heading3">
    <w:name w:val="heading 3"/>
    <w:basedOn w:val="Normal"/>
    <w:next w:val="Normal"/>
    <w:qFormat/>
    <w:rsid w:val="00DF0F82"/>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0F82"/>
    <w:pPr>
      <w:pBdr>
        <w:top w:val="single" w:sz="6" w:space="1" w:color="auto"/>
      </w:pBdr>
      <w:tabs>
        <w:tab w:val="center" w:pos="6480"/>
        <w:tab w:val="right" w:pos="12960"/>
      </w:tabs>
    </w:pPr>
    <w:rPr>
      <w:sz w:val="24"/>
    </w:rPr>
  </w:style>
  <w:style w:type="paragraph" w:styleId="Header">
    <w:name w:val="header"/>
    <w:basedOn w:val="Normal"/>
    <w:rsid w:val="00DF0F82"/>
    <w:pPr>
      <w:pBdr>
        <w:bottom w:val="single" w:sz="6" w:space="2" w:color="auto"/>
      </w:pBdr>
      <w:tabs>
        <w:tab w:val="center" w:pos="6480"/>
        <w:tab w:val="right" w:pos="12960"/>
      </w:tabs>
    </w:pPr>
    <w:rPr>
      <w:b/>
      <w:sz w:val="28"/>
    </w:rPr>
  </w:style>
  <w:style w:type="paragraph" w:customStyle="1" w:styleId="T1">
    <w:name w:val="T1"/>
    <w:basedOn w:val="Normal"/>
    <w:rsid w:val="00DF0F82"/>
    <w:pPr>
      <w:jc w:val="center"/>
    </w:pPr>
    <w:rPr>
      <w:b/>
      <w:sz w:val="28"/>
    </w:rPr>
  </w:style>
  <w:style w:type="paragraph" w:customStyle="1" w:styleId="T2">
    <w:name w:val="T2"/>
    <w:basedOn w:val="T1"/>
    <w:rsid w:val="00DF0F82"/>
    <w:pPr>
      <w:spacing w:after="240"/>
      <w:ind w:left="720" w:right="720"/>
    </w:pPr>
  </w:style>
  <w:style w:type="paragraph" w:customStyle="1" w:styleId="T3">
    <w:name w:val="T3"/>
    <w:basedOn w:val="T1"/>
    <w:rsid w:val="00DF0F82"/>
    <w:pPr>
      <w:pBdr>
        <w:bottom w:val="single" w:sz="6" w:space="1" w:color="auto"/>
      </w:pBdr>
      <w:tabs>
        <w:tab w:val="center" w:pos="4680"/>
      </w:tabs>
      <w:spacing w:after="240"/>
      <w:jc w:val="left"/>
    </w:pPr>
    <w:rPr>
      <w:b w:val="0"/>
      <w:sz w:val="24"/>
    </w:rPr>
  </w:style>
  <w:style w:type="paragraph" w:styleId="BodyTextIndent">
    <w:name w:val="Body Text Indent"/>
    <w:basedOn w:val="Normal"/>
    <w:rsid w:val="00DF0F82"/>
    <w:pPr>
      <w:ind w:left="720" w:hanging="720"/>
    </w:pPr>
  </w:style>
  <w:style w:type="character" w:styleId="Hyperlink">
    <w:name w:val="Hyperlink"/>
    <w:rsid w:val="00DF0F82"/>
    <w:rPr>
      <w:color w:val="0000FF"/>
      <w:u w:val="single"/>
    </w:rPr>
  </w:style>
  <w:style w:type="paragraph" w:customStyle="1" w:styleId="T">
    <w:name w:val="T"/>
    <w:aliases w:val="Text"/>
    <w:uiPriority w:val="99"/>
    <w:rsid w:val="000B46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1"/>
      <w:lang w:eastAsia="en-GB"/>
    </w:rPr>
  </w:style>
  <w:style w:type="paragraph" w:customStyle="1" w:styleId="H4">
    <w:name w:val="H4"/>
    <w:aliases w:val="1.1.1.1"/>
    <w:next w:val="T"/>
    <w:uiPriority w:val="99"/>
    <w:rsid w:val="000B46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Caption">
    <w:name w:val="caption"/>
    <w:basedOn w:val="Normal"/>
    <w:next w:val="Normal"/>
    <w:unhideWhenUsed/>
    <w:qFormat/>
    <w:rsid w:val="001F29F5"/>
    <w:rPr>
      <w:b/>
      <w:bCs/>
      <w:sz w:val="20"/>
    </w:rPr>
  </w:style>
  <w:style w:type="paragraph" w:customStyle="1" w:styleId="CellBody">
    <w:name w:val="CellBody"/>
    <w:uiPriority w:val="99"/>
    <w:rsid w:val="00FD62CA"/>
    <w:pPr>
      <w:widowControl w:val="0"/>
      <w:autoSpaceDE w:val="0"/>
      <w:autoSpaceDN w:val="0"/>
      <w:adjustRightInd w:val="0"/>
      <w:spacing w:line="200" w:lineRule="atLeast"/>
    </w:pPr>
    <w:rPr>
      <w:color w:val="000000"/>
      <w:w w:val="1"/>
      <w:sz w:val="18"/>
      <w:szCs w:val="18"/>
      <w:lang w:eastAsia="en-GB"/>
    </w:rPr>
  </w:style>
  <w:style w:type="paragraph" w:customStyle="1" w:styleId="CellHeading">
    <w:name w:val="CellHeading"/>
    <w:uiPriority w:val="99"/>
    <w:rsid w:val="00FD62CA"/>
    <w:pPr>
      <w:widowControl w:val="0"/>
      <w:suppressAutoHyphens/>
      <w:autoSpaceDE w:val="0"/>
      <w:autoSpaceDN w:val="0"/>
      <w:adjustRightInd w:val="0"/>
      <w:spacing w:line="200" w:lineRule="atLeast"/>
      <w:jc w:val="center"/>
    </w:pPr>
    <w:rPr>
      <w:b/>
      <w:bCs/>
      <w:color w:val="000000"/>
      <w:w w:val="1"/>
      <w:sz w:val="18"/>
      <w:szCs w:val="18"/>
      <w:lang w:eastAsia="en-GB"/>
    </w:rPr>
  </w:style>
  <w:style w:type="paragraph" w:customStyle="1" w:styleId="TableTitle">
    <w:name w:val="TableTitle"/>
    <w:next w:val="Normal"/>
    <w:uiPriority w:val="99"/>
    <w:rsid w:val="00FD62CA"/>
    <w:pPr>
      <w:widowControl w:val="0"/>
      <w:autoSpaceDE w:val="0"/>
      <w:autoSpaceDN w:val="0"/>
      <w:adjustRightInd w:val="0"/>
      <w:spacing w:line="240" w:lineRule="atLeast"/>
      <w:jc w:val="center"/>
    </w:pPr>
    <w:rPr>
      <w:rFonts w:ascii="Arial" w:hAnsi="Arial" w:cs="Arial"/>
      <w:b/>
      <w:bCs/>
      <w:color w:val="000000"/>
      <w:w w:val="1"/>
      <w:lang w:eastAsia="en-GB"/>
    </w:rPr>
  </w:style>
  <w:style w:type="paragraph" w:customStyle="1" w:styleId="H">
    <w:name w:val="H"/>
    <w:aliases w:val="HangingIndent"/>
    <w:uiPriority w:val="99"/>
    <w:rsid w:val="005912EC"/>
    <w:pPr>
      <w:tabs>
        <w:tab w:val="left" w:pos="620"/>
      </w:tabs>
      <w:autoSpaceDE w:val="0"/>
      <w:autoSpaceDN w:val="0"/>
      <w:adjustRightInd w:val="0"/>
      <w:spacing w:line="240" w:lineRule="atLeast"/>
      <w:ind w:left="640" w:hanging="440"/>
      <w:jc w:val="both"/>
    </w:pPr>
    <w:rPr>
      <w:color w:val="000000"/>
      <w:w w:val="1"/>
      <w:lang w:eastAsia="en-GB"/>
    </w:rPr>
  </w:style>
  <w:style w:type="paragraph" w:customStyle="1" w:styleId="Note">
    <w:name w:val="Note"/>
    <w:uiPriority w:val="99"/>
    <w:rsid w:val="005912E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1"/>
      <w:sz w:val="18"/>
      <w:szCs w:val="18"/>
      <w:lang w:eastAsia="en-GB"/>
    </w:rPr>
  </w:style>
  <w:style w:type="paragraph" w:customStyle="1" w:styleId="FigTitle">
    <w:name w:val="FigTitle"/>
    <w:uiPriority w:val="99"/>
    <w:rsid w:val="005912EC"/>
    <w:pPr>
      <w:widowControl w:val="0"/>
      <w:autoSpaceDE w:val="0"/>
      <w:autoSpaceDN w:val="0"/>
      <w:adjustRightInd w:val="0"/>
      <w:spacing w:before="240" w:line="240" w:lineRule="atLeast"/>
      <w:jc w:val="center"/>
    </w:pPr>
    <w:rPr>
      <w:rFonts w:ascii="Arial" w:hAnsi="Arial" w:cs="Arial"/>
      <w:b/>
      <w:bCs/>
      <w:color w:val="000000"/>
      <w:w w:val="1"/>
      <w:lang w:eastAsia="en-GB"/>
    </w:rPr>
  </w:style>
  <w:style w:type="paragraph" w:customStyle="1" w:styleId="figuretext">
    <w:name w:val="figure text"/>
    <w:uiPriority w:val="99"/>
    <w:rsid w:val="005912EC"/>
    <w:pPr>
      <w:widowControl w:val="0"/>
      <w:suppressAutoHyphens/>
      <w:autoSpaceDE w:val="0"/>
      <w:autoSpaceDN w:val="0"/>
      <w:adjustRightInd w:val="0"/>
      <w:spacing w:line="160" w:lineRule="atLeast"/>
      <w:jc w:val="center"/>
    </w:pPr>
    <w:rPr>
      <w:rFonts w:ascii="Arial" w:hAnsi="Arial" w:cs="Arial"/>
      <w:color w:val="000000"/>
      <w:w w:val="1"/>
      <w:sz w:val="16"/>
      <w:szCs w:val="16"/>
      <w:lang w:eastAsia="en-GB"/>
    </w:rPr>
  </w:style>
  <w:style w:type="paragraph" w:customStyle="1" w:styleId="EditorNote">
    <w:name w:val="Editor_Note"/>
    <w:uiPriority w:val="99"/>
    <w:rsid w:val="00D376C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1"/>
      <w:lang w:eastAsia="en-GB"/>
    </w:rPr>
  </w:style>
  <w:style w:type="paragraph" w:customStyle="1" w:styleId="L">
    <w:name w:val="L"/>
    <w:aliases w:val="LetteredList"/>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1">
    <w:name w:val="L1"/>
    <w:aliases w:val="LetteredList1"/>
    <w:next w:val="L"/>
    <w:uiPriority w:val="99"/>
    <w:rsid w:val="00D376C9"/>
    <w:pPr>
      <w:tabs>
        <w:tab w:val="left" w:pos="64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Ll">
    <w:name w:val="Ll"/>
    <w:aliases w:val="NumberedList2"/>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Ll1">
    <w:name w:val="Ll1"/>
    <w:aliases w:val="NumberedList21"/>
    <w:uiPriority w:val="99"/>
    <w:rsid w:val="00D376C9"/>
    <w:pPr>
      <w:tabs>
        <w:tab w:val="left" w:pos="1040"/>
      </w:tabs>
      <w:suppressAutoHyphens/>
      <w:autoSpaceDE w:val="0"/>
      <w:autoSpaceDN w:val="0"/>
      <w:adjustRightInd w:val="0"/>
      <w:spacing w:before="60" w:after="60" w:line="240" w:lineRule="atLeast"/>
      <w:ind w:left="1040" w:hanging="400"/>
      <w:jc w:val="both"/>
    </w:pPr>
    <w:rPr>
      <w:color w:val="000000"/>
      <w:w w:val="1"/>
      <w:lang w:eastAsia="en-GB"/>
    </w:rPr>
  </w:style>
  <w:style w:type="paragraph" w:customStyle="1" w:styleId="H5">
    <w:name w:val="H5"/>
    <w:aliases w:val="1.1.1.1.1"/>
    <w:next w:val="T"/>
    <w:uiPriority w:val="99"/>
    <w:rsid w:val="000432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styleId="Bibliography">
    <w:name w:val="Bibliography"/>
    <w:basedOn w:val="Normal"/>
    <w:next w:val="Normal"/>
    <w:uiPriority w:val="37"/>
    <w:semiHidden/>
    <w:unhideWhenUsed/>
    <w:rsid w:val="00CD6BF8"/>
  </w:style>
  <w:style w:type="paragraph" w:customStyle="1" w:styleId="DL">
    <w:name w:val="DL"/>
    <w:aliases w:val="DashedList2"/>
    <w:uiPriority w:val="99"/>
    <w:rsid w:val="006E44B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1"/>
      <w:lang w:eastAsia="en-GB"/>
    </w:rPr>
  </w:style>
  <w:style w:type="paragraph" w:customStyle="1" w:styleId="H3">
    <w:name w:val="H3"/>
    <w:aliases w:val="1.1.1"/>
    <w:next w:val="T"/>
    <w:uiPriority w:val="99"/>
    <w:rsid w:val="00E75E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lang w:eastAsia="en-GB"/>
    </w:rPr>
  </w:style>
  <w:style w:type="paragraph" w:customStyle="1" w:styleId="Body">
    <w:name w:val="Body"/>
    <w:uiPriority w:val="99"/>
    <w:rsid w:val="00DC3E47"/>
    <w:pPr>
      <w:widowControl w:val="0"/>
      <w:autoSpaceDE w:val="0"/>
      <w:autoSpaceDN w:val="0"/>
      <w:adjustRightInd w:val="0"/>
      <w:spacing w:before="480" w:line="240" w:lineRule="atLeast"/>
      <w:jc w:val="both"/>
    </w:pPr>
    <w:rPr>
      <w:color w:val="000000"/>
      <w:w w:val="1"/>
      <w:lang w:eastAsia="en-GB"/>
    </w:rPr>
  </w:style>
  <w:style w:type="paragraph" w:customStyle="1" w:styleId="H2">
    <w:name w:val="H2"/>
    <w:aliases w:val="1.1"/>
    <w:next w:val="T"/>
    <w:uiPriority w:val="99"/>
    <w:rsid w:val="00DC3E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1"/>
      <w:sz w:val="22"/>
      <w:szCs w:val="22"/>
      <w:lang w:eastAsia="en-GB"/>
    </w:rPr>
  </w:style>
  <w:style w:type="character" w:customStyle="1" w:styleId="editorinsertion">
    <w:name w:val="editor_insertion"/>
    <w:uiPriority w:val="99"/>
    <w:rsid w:val="00A411DE"/>
    <w:rPr>
      <w:rFonts w:ascii="Times New Roman" w:hAnsi="Times New Roman" w:cs="Times New Roman" w:hint="default"/>
      <w:color w:val="000000"/>
      <w:spacing w:val="0"/>
      <w:w w:val="100"/>
      <w:sz w:val="20"/>
      <w:szCs w:val="20"/>
      <w:u w:val="thick"/>
      <w:vertAlign w:val="baseline"/>
      <w:lang w:val="en-US"/>
    </w:rPr>
  </w:style>
  <w:style w:type="paragraph" w:styleId="BalloonText">
    <w:name w:val="Balloon Text"/>
    <w:basedOn w:val="Normal"/>
    <w:link w:val="BalloonTextChar"/>
    <w:rsid w:val="00421378"/>
    <w:rPr>
      <w:rFonts w:ascii="Tahoma" w:hAnsi="Tahoma" w:cs="Tahoma"/>
      <w:sz w:val="16"/>
      <w:szCs w:val="16"/>
    </w:rPr>
  </w:style>
  <w:style w:type="character" w:customStyle="1" w:styleId="BalloonTextChar">
    <w:name w:val="Balloon Text Char"/>
    <w:basedOn w:val="DefaultParagraphFont"/>
    <w:link w:val="BalloonText"/>
    <w:rsid w:val="00421378"/>
    <w:rPr>
      <w:rFonts w:ascii="Tahoma" w:hAnsi="Tahoma" w:cs="Tahoma"/>
      <w:sz w:val="16"/>
      <w:szCs w:val="16"/>
      <w:lang w:val="en-GB"/>
    </w:rPr>
  </w:style>
  <w:style w:type="paragraph" w:styleId="ListParagraph">
    <w:name w:val="List Paragraph"/>
    <w:basedOn w:val="Normal"/>
    <w:uiPriority w:val="34"/>
    <w:qFormat/>
    <w:rsid w:val="00ED488F"/>
    <w:pPr>
      <w:ind w:left="720"/>
      <w:contextualSpacing/>
    </w:pPr>
  </w:style>
  <w:style w:type="paragraph" w:customStyle="1" w:styleId="Lll">
    <w:name w:val="Lll"/>
    <w:aliases w:val="NumberedList3"/>
    <w:uiPriority w:val="99"/>
    <w:rsid w:val="00FC4C5D"/>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FC4C5D"/>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lang w:eastAsia="zh-CN"/>
    </w:rPr>
  </w:style>
  <w:style w:type="character" w:customStyle="1" w:styleId="editornote0">
    <w:name w:val="editor_note"/>
    <w:uiPriority w:val="99"/>
    <w:rsid w:val="00FC4C5D"/>
    <w:rPr>
      <w:rFonts w:ascii="Times New Roman" w:hAnsi="Times New Roman" w:cs="Times New Roman"/>
      <w:color w:val="FF0000"/>
      <w:spacing w:val="0"/>
      <w:w w:val="100"/>
      <w:sz w:val="20"/>
      <w:szCs w:val="20"/>
      <w:u w:val="none"/>
      <w:vertAlign w:val="baseline"/>
      <w:lang w:val="en-US"/>
    </w:rPr>
  </w:style>
  <w:style w:type="paragraph" w:customStyle="1" w:styleId="EU">
    <w:name w:val="EU"/>
    <w:aliases w:val="EquationUnnumbered"/>
    <w:uiPriority w:val="99"/>
    <w:rsid w:val="003E6194"/>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ootnote">
    <w:name w:val="Footnote"/>
    <w:uiPriority w:val="99"/>
    <w:rsid w:val="003E6194"/>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Prim2">
    <w:name w:val="Prim2"/>
    <w:aliases w:val="PrimTag3"/>
    <w:uiPriority w:val="99"/>
    <w:rsid w:val="001A753E"/>
    <w:pPr>
      <w:autoSpaceDE w:val="0"/>
      <w:autoSpaceDN w:val="0"/>
      <w:adjustRightInd w:val="0"/>
      <w:spacing w:line="240" w:lineRule="atLeast"/>
      <w:ind w:left="3280"/>
      <w:jc w:val="both"/>
    </w:pPr>
    <w:rPr>
      <w:rFonts w:eastAsiaTheme="minorEastAsia"/>
      <w:color w:val="000000"/>
      <w:w w:val="0"/>
      <w:lang w:eastAsia="zh-CN"/>
    </w:rPr>
  </w:style>
  <w:style w:type="character" w:customStyle="1" w:styleId="Symbol">
    <w:name w:val="Symbol"/>
    <w:uiPriority w:val="99"/>
    <w:rsid w:val="001A753E"/>
    <w:rPr>
      <w:rFonts w:ascii="Symbol" w:hAnsi="Symbol" w:cs="Symbol"/>
      <w:color w:val="000000"/>
      <w:spacing w:val="0"/>
      <w:sz w:val="20"/>
      <w:szCs w:val="20"/>
      <w:u w:val="none"/>
      <w:vertAlign w:val="baseline"/>
    </w:rPr>
  </w:style>
  <w:style w:type="paragraph" w:styleId="NormalWeb">
    <w:name w:val="Normal (Web)"/>
    <w:basedOn w:val="Normal"/>
    <w:uiPriority w:val="99"/>
    <w:unhideWhenUsed/>
    <w:rsid w:val="00C97BBB"/>
    <w:pPr>
      <w:spacing w:before="100" w:beforeAutospacing="1" w:after="100" w:afterAutospacing="1"/>
    </w:pPr>
    <w:rPr>
      <w:rFonts w:eastAsiaTheme="minorEastAsia"/>
      <w:sz w:val="24"/>
      <w:szCs w:val="24"/>
      <w:lang w:val="en-US"/>
    </w:rPr>
  </w:style>
  <w:style w:type="character" w:styleId="CommentReference">
    <w:name w:val="annotation reference"/>
    <w:basedOn w:val="DefaultParagraphFont"/>
    <w:rsid w:val="005C4D96"/>
    <w:rPr>
      <w:sz w:val="16"/>
      <w:szCs w:val="16"/>
    </w:rPr>
  </w:style>
  <w:style w:type="paragraph" w:styleId="CommentText">
    <w:name w:val="annotation text"/>
    <w:basedOn w:val="Normal"/>
    <w:link w:val="CommentTextChar"/>
    <w:rsid w:val="005C4D96"/>
    <w:rPr>
      <w:sz w:val="20"/>
    </w:rPr>
  </w:style>
  <w:style w:type="character" w:customStyle="1" w:styleId="CommentTextChar">
    <w:name w:val="Comment Text Char"/>
    <w:basedOn w:val="DefaultParagraphFont"/>
    <w:link w:val="CommentText"/>
    <w:rsid w:val="005C4D96"/>
    <w:rPr>
      <w:lang w:val="en-GB"/>
    </w:rPr>
  </w:style>
  <w:style w:type="paragraph" w:styleId="CommentSubject">
    <w:name w:val="annotation subject"/>
    <w:basedOn w:val="CommentText"/>
    <w:next w:val="CommentText"/>
    <w:link w:val="CommentSubjectChar"/>
    <w:rsid w:val="005C4D96"/>
    <w:rPr>
      <w:b/>
      <w:bCs/>
    </w:rPr>
  </w:style>
  <w:style w:type="character" w:customStyle="1" w:styleId="CommentSubjectChar">
    <w:name w:val="Comment Subject Char"/>
    <w:basedOn w:val="CommentTextChar"/>
    <w:link w:val="CommentSubject"/>
    <w:rsid w:val="005C4D96"/>
    <w:rPr>
      <w:b/>
      <w:bCs/>
      <w:lang w:val="en-GB"/>
    </w:rPr>
  </w:style>
</w:styles>
</file>

<file path=word/webSettings.xml><?xml version="1.0" encoding="utf-8"?>
<w:webSettings xmlns:r="http://schemas.openxmlformats.org/officeDocument/2006/relationships" xmlns:w="http://schemas.openxmlformats.org/wordprocessingml/2006/main">
  <w:divs>
    <w:div w:id="175390255">
      <w:bodyDiv w:val="1"/>
      <w:marLeft w:val="0"/>
      <w:marRight w:val="0"/>
      <w:marTop w:val="0"/>
      <w:marBottom w:val="0"/>
      <w:divBdr>
        <w:top w:val="none" w:sz="0" w:space="0" w:color="auto"/>
        <w:left w:val="none" w:sz="0" w:space="0" w:color="auto"/>
        <w:bottom w:val="none" w:sz="0" w:space="0" w:color="auto"/>
        <w:right w:val="none" w:sz="0" w:space="0" w:color="auto"/>
      </w:divBdr>
    </w:div>
    <w:div w:id="252323232">
      <w:bodyDiv w:val="1"/>
      <w:marLeft w:val="0"/>
      <w:marRight w:val="0"/>
      <w:marTop w:val="0"/>
      <w:marBottom w:val="0"/>
      <w:divBdr>
        <w:top w:val="none" w:sz="0" w:space="0" w:color="auto"/>
        <w:left w:val="none" w:sz="0" w:space="0" w:color="auto"/>
        <w:bottom w:val="none" w:sz="0" w:space="0" w:color="auto"/>
        <w:right w:val="none" w:sz="0" w:space="0" w:color="auto"/>
      </w:divBdr>
    </w:div>
    <w:div w:id="442921259">
      <w:bodyDiv w:val="1"/>
      <w:marLeft w:val="0"/>
      <w:marRight w:val="0"/>
      <w:marTop w:val="0"/>
      <w:marBottom w:val="0"/>
      <w:divBdr>
        <w:top w:val="none" w:sz="0" w:space="0" w:color="auto"/>
        <w:left w:val="none" w:sz="0" w:space="0" w:color="auto"/>
        <w:bottom w:val="none" w:sz="0" w:space="0" w:color="auto"/>
        <w:right w:val="none" w:sz="0" w:space="0" w:color="auto"/>
      </w:divBdr>
    </w:div>
    <w:div w:id="595989530">
      <w:bodyDiv w:val="1"/>
      <w:marLeft w:val="0"/>
      <w:marRight w:val="0"/>
      <w:marTop w:val="0"/>
      <w:marBottom w:val="0"/>
      <w:divBdr>
        <w:top w:val="none" w:sz="0" w:space="0" w:color="auto"/>
        <w:left w:val="none" w:sz="0" w:space="0" w:color="auto"/>
        <w:bottom w:val="none" w:sz="0" w:space="0" w:color="auto"/>
        <w:right w:val="none" w:sz="0" w:space="0" w:color="auto"/>
      </w:divBdr>
    </w:div>
    <w:div w:id="623511056">
      <w:bodyDiv w:val="1"/>
      <w:marLeft w:val="0"/>
      <w:marRight w:val="0"/>
      <w:marTop w:val="0"/>
      <w:marBottom w:val="0"/>
      <w:divBdr>
        <w:top w:val="none" w:sz="0" w:space="0" w:color="auto"/>
        <w:left w:val="none" w:sz="0" w:space="0" w:color="auto"/>
        <w:bottom w:val="none" w:sz="0" w:space="0" w:color="auto"/>
        <w:right w:val="none" w:sz="0" w:space="0" w:color="auto"/>
      </w:divBdr>
    </w:div>
    <w:div w:id="660814189">
      <w:bodyDiv w:val="1"/>
      <w:marLeft w:val="0"/>
      <w:marRight w:val="0"/>
      <w:marTop w:val="0"/>
      <w:marBottom w:val="0"/>
      <w:divBdr>
        <w:top w:val="none" w:sz="0" w:space="0" w:color="auto"/>
        <w:left w:val="none" w:sz="0" w:space="0" w:color="auto"/>
        <w:bottom w:val="none" w:sz="0" w:space="0" w:color="auto"/>
        <w:right w:val="none" w:sz="0" w:space="0" w:color="auto"/>
      </w:divBdr>
    </w:div>
    <w:div w:id="748304889">
      <w:bodyDiv w:val="1"/>
      <w:marLeft w:val="0"/>
      <w:marRight w:val="0"/>
      <w:marTop w:val="0"/>
      <w:marBottom w:val="0"/>
      <w:divBdr>
        <w:top w:val="none" w:sz="0" w:space="0" w:color="auto"/>
        <w:left w:val="none" w:sz="0" w:space="0" w:color="auto"/>
        <w:bottom w:val="none" w:sz="0" w:space="0" w:color="auto"/>
        <w:right w:val="none" w:sz="0" w:space="0" w:color="auto"/>
      </w:divBdr>
    </w:div>
    <w:div w:id="873154576">
      <w:bodyDiv w:val="1"/>
      <w:marLeft w:val="0"/>
      <w:marRight w:val="0"/>
      <w:marTop w:val="0"/>
      <w:marBottom w:val="0"/>
      <w:divBdr>
        <w:top w:val="none" w:sz="0" w:space="0" w:color="auto"/>
        <w:left w:val="none" w:sz="0" w:space="0" w:color="auto"/>
        <w:bottom w:val="none" w:sz="0" w:space="0" w:color="auto"/>
        <w:right w:val="none" w:sz="0" w:space="0" w:color="auto"/>
      </w:divBdr>
    </w:div>
    <w:div w:id="1295524939">
      <w:bodyDiv w:val="1"/>
      <w:marLeft w:val="0"/>
      <w:marRight w:val="0"/>
      <w:marTop w:val="0"/>
      <w:marBottom w:val="0"/>
      <w:divBdr>
        <w:top w:val="none" w:sz="0" w:space="0" w:color="auto"/>
        <w:left w:val="none" w:sz="0" w:space="0" w:color="auto"/>
        <w:bottom w:val="none" w:sz="0" w:space="0" w:color="auto"/>
        <w:right w:val="none" w:sz="0" w:space="0" w:color="auto"/>
      </w:divBdr>
    </w:div>
    <w:div w:id="1391995684">
      <w:bodyDiv w:val="1"/>
      <w:marLeft w:val="0"/>
      <w:marRight w:val="0"/>
      <w:marTop w:val="0"/>
      <w:marBottom w:val="0"/>
      <w:divBdr>
        <w:top w:val="none" w:sz="0" w:space="0" w:color="auto"/>
        <w:left w:val="none" w:sz="0" w:space="0" w:color="auto"/>
        <w:bottom w:val="none" w:sz="0" w:space="0" w:color="auto"/>
        <w:right w:val="none" w:sz="0" w:space="0" w:color="auto"/>
      </w:divBdr>
    </w:div>
    <w:div w:id="1554927100">
      <w:bodyDiv w:val="1"/>
      <w:marLeft w:val="0"/>
      <w:marRight w:val="0"/>
      <w:marTop w:val="0"/>
      <w:marBottom w:val="0"/>
      <w:divBdr>
        <w:top w:val="none" w:sz="0" w:space="0" w:color="auto"/>
        <w:left w:val="none" w:sz="0" w:space="0" w:color="auto"/>
        <w:bottom w:val="none" w:sz="0" w:space="0" w:color="auto"/>
        <w:right w:val="none" w:sz="0" w:space="0" w:color="auto"/>
      </w:divBdr>
    </w:div>
    <w:div w:id="1853296068">
      <w:bodyDiv w:val="1"/>
      <w:marLeft w:val="0"/>
      <w:marRight w:val="0"/>
      <w:marTop w:val="0"/>
      <w:marBottom w:val="0"/>
      <w:divBdr>
        <w:top w:val="none" w:sz="0" w:space="0" w:color="auto"/>
        <w:left w:val="none" w:sz="0" w:space="0" w:color="auto"/>
        <w:bottom w:val="none" w:sz="0" w:space="0" w:color="auto"/>
        <w:right w:val="none" w:sz="0" w:space="0" w:color="auto"/>
      </w:divBdr>
    </w:div>
    <w:div w:id="1896426604">
      <w:bodyDiv w:val="1"/>
      <w:marLeft w:val="0"/>
      <w:marRight w:val="0"/>
      <w:marTop w:val="0"/>
      <w:marBottom w:val="0"/>
      <w:divBdr>
        <w:top w:val="none" w:sz="0" w:space="0" w:color="auto"/>
        <w:left w:val="none" w:sz="0" w:space="0" w:color="auto"/>
        <w:bottom w:val="none" w:sz="0" w:space="0" w:color="auto"/>
        <w:right w:val="none" w:sz="0" w:space="0" w:color="auto"/>
      </w:divBdr>
    </w:div>
    <w:div w:id="2106074194">
      <w:bodyDiv w:val="1"/>
      <w:marLeft w:val="0"/>
      <w:marRight w:val="0"/>
      <w:marTop w:val="0"/>
      <w:marBottom w:val="0"/>
      <w:divBdr>
        <w:top w:val="none" w:sz="0" w:space="0" w:color="auto"/>
        <w:left w:val="none" w:sz="0" w:space="0" w:color="auto"/>
        <w:bottom w:val="none" w:sz="0" w:space="0" w:color="auto"/>
        <w:right w:val="none" w:sz="0" w:space="0" w:color="auto"/>
      </w:divBdr>
    </w:div>
    <w:div w:id="21404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kins\AppData\Local\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2D7F6-847E-4236-BBEA-6C3AD908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128</TotalTime>
  <Pages>7</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 IEEE 802.11-11/1488r0</vt:lpstr>
    </vt:vector>
  </TitlesOfParts>
  <Company>Aruba Networks</Company>
  <LinksUpToDate>false</LinksUpToDate>
  <CharactersWithSpaces>13271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802.11-11/1488r0</dc:title>
  <dc:subject>FILS authentication using a TTP</dc:subject>
  <dc:creator>Dan Harkins</dc:creator>
  <cp:keywords>November 2011</cp:keywords>
  <dc:description>Dan Harkins, Aruba Networks</dc:description>
  <cp:lastModifiedBy>.</cp:lastModifiedBy>
  <cp:revision>4</cp:revision>
  <cp:lastPrinted>2011-10-27T21:16:00Z</cp:lastPrinted>
  <dcterms:created xsi:type="dcterms:W3CDTF">2013-07-11T17:44:00Z</dcterms:created>
  <dcterms:modified xsi:type="dcterms:W3CDTF">2013-07-11T21:38:00Z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(2)2ZWzVgtvp7StjJHMZMk37affNz1fRJtuO3ma6xNl5QUswKaPfGXJGQwQ/AqDLdykn3aHizYu
i2sz+F8RoTrfpwZAEO6H+j8Q9BQI8wldQ5RsbRwOgrYE+cc9UTXhUOYH9FRtro/RF/sLJvht
kk6CG6DgwihCfPvHSiEVBMGaDgoI9xzovzO2CrAAdZylukn6Nx/L204XV+svmInaEQtxSdva
JiHOuqVgOoJ7WKZJx2EeE</vt:lpwstr>
  </property>
  <property fmtid="{D5CDD505-2E9C-101B-9397-08002B2CF9AE}" pid="3" name="_ms_pID_7253431">
    <vt:lpwstr>a3/ORchEkJhh871MRbw5IlzK8fj3edjvmJC9EXuaZlD8+8Fo+8L
xzSeCG7ezyo1deWFPRoo6CqGYgw6NkqLK9zqgnpgMTr43/wGUYyVU6Jr41a4vplBOBLOsRgh
OgO5cgm9tefEpqdy80/dlWPK</vt:lpwstr>
  </property>
  <property fmtid="{D5CDD505-2E9C-101B-9397-08002B2CF9AE}" pid="4" name="sflag">
    <vt:lpwstr>1372786357</vt:lpwstr>
  </property>
</Properties>
</file>