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E57C30">
            <w:pPr>
              <w:pStyle w:val="T2"/>
              <w:spacing w:before="120" w:after="120"/>
              <w:ind w:right="86"/>
            </w:pPr>
            <w:r>
              <w:t>Proposed</w:t>
            </w:r>
            <w:r w:rsidR="00F72E72">
              <w:t xml:space="preserve"> </w:t>
            </w:r>
            <w:r w:rsidR="00FE4C70">
              <w:t>Resolution to the Assigned CC8 Comment</w:t>
            </w:r>
            <w:r w:rsidR="009A02C1">
              <w:t>s</w:t>
            </w:r>
            <w:r w:rsidR="00FE4C70">
              <w:t xml:space="preserve"> 1326</w:t>
            </w:r>
            <w:r w:rsidR="009A02C1">
              <w:t xml:space="preserve"> and 1045</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1E1C8E">
              <w:rPr>
                <w:b w:val="0"/>
                <w:sz w:val="20"/>
              </w:rPr>
              <w:t>0</w:t>
            </w:r>
            <w:r w:rsidR="00FE4C70">
              <w:rPr>
                <w:b w:val="0"/>
                <w:sz w:val="20"/>
              </w:rPr>
              <w:t>7</w:t>
            </w:r>
            <w:r w:rsidR="009A02C1">
              <w:rPr>
                <w:b w:val="0"/>
                <w:sz w:val="20"/>
              </w:rPr>
              <w:t>-1</w:t>
            </w:r>
            <w:r w:rsidR="00600A8B">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96DAB" w:rsidTr="007F576A">
        <w:trPr>
          <w:jc w:val="center"/>
        </w:trPr>
        <w:tc>
          <w:tcPr>
            <w:tcW w:w="1548" w:type="dxa"/>
            <w:vAlign w:val="center"/>
          </w:tcPr>
          <w:p w:rsidR="00896DAB" w:rsidRPr="00252C91" w:rsidRDefault="00252C91" w:rsidP="00896DAB">
            <w:pPr>
              <w:pStyle w:val="T2"/>
              <w:spacing w:after="0"/>
              <w:ind w:left="0" w:right="0"/>
              <w:rPr>
                <w:rFonts w:eastAsia="MS Mincho"/>
                <w:b w:val="0"/>
                <w:sz w:val="20"/>
                <w:lang w:eastAsia="ja-JP"/>
              </w:rPr>
            </w:pPr>
            <w:r>
              <w:rPr>
                <w:rFonts w:eastAsia="MS Mincho" w:hint="eastAsia"/>
                <w:b w:val="0"/>
                <w:sz w:val="20"/>
                <w:lang w:eastAsia="ja-JP"/>
              </w:rPr>
              <w:t>Mitsuru Iwaoka</w:t>
            </w:r>
          </w:p>
        </w:tc>
        <w:tc>
          <w:tcPr>
            <w:tcW w:w="1620" w:type="dxa"/>
            <w:vAlign w:val="center"/>
          </w:tcPr>
          <w:p w:rsidR="00896DAB" w:rsidRPr="00252C91" w:rsidRDefault="00252C91">
            <w:pPr>
              <w:pStyle w:val="T2"/>
              <w:spacing w:after="0"/>
              <w:ind w:left="0" w:right="0"/>
              <w:rPr>
                <w:rFonts w:eastAsia="MS Mincho"/>
                <w:b w:val="0"/>
                <w:sz w:val="20"/>
                <w:lang w:eastAsia="ja-JP"/>
              </w:rPr>
            </w:pPr>
            <w:r>
              <w:rPr>
                <w:rFonts w:eastAsia="MS Mincho" w:hint="eastAsia"/>
                <w:b w:val="0"/>
                <w:sz w:val="20"/>
                <w:lang w:eastAsia="ja-JP"/>
              </w:rPr>
              <w:t>Yokogawa Electric Co.</w:t>
            </w:r>
          </w:p>
        </w:tc>
        <w:tc>
          <w:tcPr>
            <w:tcW w:w="2430" w:type="dxa"/>
            <w:vAlign w:val="center"/>
          </w:tcPr>
          <w:p w:rsidR="00896DAB" w:rsidRPr="00252C91" w:rsidRDefault="002D7E9C" w:rsidP="00CA2222">
            <w:pPr>
              <w:pStyle w:val="T2"/>
              <w:spacing w:after="0"/>
              <w:ind w:left="0" w:right="0"/>
              <w:jc w:val="left"/>
              <w:rPr>
                <w:rFonts w:eastAsia="MS Mincho"/>
                <w:b w:val="0"/>
                <w:sz w:val="20"/>
                <w:lang w:val="en-US" w:eastAsia="ja-JP"/>
              </w:rPr>
            </w:pPr>
            <w:r>
              <w:rPr>
                <w:rFonts w:eastAsia="MS Mincho" w:hint="eastAsia"/>
                <w:b w:val="0"/>
                <w:sz w:val="20"/>
                <w:lang w:val="en-US" w:eastAsia="ja-JP"/>
              </w:rPr>
              <w:t>2-9-32 Naka</w:t>
            </w:r>
            <w:r w:rsidR="00252C91">
              <w:rPr>
                <w:rFonts w:eastAsia="MS Mincho" w:hint="eastAsia"/>
                <w:b w:val="0"/>
                <w:sz w:val="20"/>
                <w:lang w:val="en-US" w:eastAsia="ja-JP"/>
              </w:rPr>
              <w:t>cho, Musashino-shi, Tokyo 180-8750 Japan</w:t>
            </w:r>
          </w:p>
        </w:tc>
        <w:tc>
          <w:tcPr>
            <w:tcW w:w="1800" w:type="dxa"/>
            <w:vAlign w:val="center"/>
          </w:tcPr>
          <w:p w:rsidR="00896DAB" w:rsidRPr="00252C91" w:rsidRDefault="00252C91">
            <w:pPr>
              <w:pStyle w:val="T2"/>
              <w:spacing w:after="0"/>
              <w:ind w:left="0" w:right="0"/>
              <w:rPr>
                <w:rFonts w:eastAsia="MS Mincho"/>
                <w:b w:val="0"/>
                <w:sz w:val="20"/>
                <w:lang w:eastAsia="ja-JP"/>
              </w:rPr>
            </w:pPr>
            <w:r>
              <w:rPr>
                <w:rFonts w:eastAsia="MS Mincho" w:hint="eastAsia"/>
                <w:b w:val="0"/>
                <w:sz w:val="20"/>
                <w:lang w:eastAsia="ja-JP"/>
              </w:rPr>
              <w:t>81 422 52 5519</w:t>
            </w:r>
          </w:p>
        </w:tc>
        <w:tc>
          <w:tcPr>
            <w:tcW w:w="2178" w:type="dxa"/>
            <w:vAlign w:val="center"/>
          </w:tcPr>
          <w:p w:rsidR="00896DAB" w:rsidRPr="00252C91" w:rsidRDefault="00252C91" w:rsidP="007F576A">
            <w:pPr>
              <w:pStyle w:val="T2"/>
              <w:spacing w:after="0"/>
              <w:ind w:left="0" w:right="0"/>
              <w:jc w:val="left"/>
              <w:rPr>
                <w:rFonts w:eastAsia="MS Mincho"/>
                <w:b w:val="0"/>
                <w:sz w:val="16"/>
                <w:lang w:eastAsia="ja-JP"/>
              </w:rPr>
            </w:pPr>
            <w:r>
              <w:rPr>
                <w:rFonts w:eastAsia="MS Mincho" w:hint="eastAsia"/>
                <w:b w:val="0"/>
                <w:sz w:val="16"/>
                <w:lang w:eastAsia="ja-JP"/>
              </w:rPr>
              <w:t>Mitsuru.Iwaoka@jp.yokogawa.com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DC0F3C">
      <w:pPr>
        <w:pStyle w:val="T1"/>
        <w:spacing w:after="120"/>
        <w:rPr>
          <w:sz w:val="22"/>
        </w:rPr>
      </w:pPr>
      <w:bookmarkStart w:id="0" w:name="_GoBack"/>
      <w:bookmarkEnd w:id="0"/>
      <w:r w:rsidRPr="00DC0F3C">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052BA4">
                    <w:rPr>
                      <w:sz w:val="24"/>
                      <w:szCs w:val="24"/>
                    </w:rPr>
                    <w:t>resoluti</w:t>
                  </w:r>
                  <w:r w:rsidR="008E762A">
                    <w:rPr>
                      <w:sz w:val="24"/>
                      <w:szCs w:val="24"/>
                    </w:rPr>
                    <w:t>ons to the assigned CC8 comment</w:t>
                  </w:r>
                  <w:r w:rsidR="003D0A09">
                    <w:rPr>
                      <w:sz w:val="24"/>
                      <w:szCs w:val="24"/>
                    </w:rPr>
                    <w:t>s</w:t>
                  </w:r>
                  <w:r w:rsidR="005C1B5B">
                    <w:rPr>
                      <w:sz w:val="24"/>
                      <w:szCs w:val="24"/>
                    </w:rPr>
                    <w:t xml:space="preserve">, </w:t>
                  </w:r>
                  <w:r w:rsidR="008E762A">
                    <w:rPr>
                      <w:sz w:val="24"/>
                      <w:szCs w:val="24"/>
                    </w:rPr>
                    <w:t>#1326</w:t>
                  </w:r>
                  <w:r w:rsidR="003D0A09">
                    <w:rPr>
                      <w:sz w:val="24"/>
                      <w:szCs w:val="24"/>
                    </w:rPr>
                    <w:t xml:space="preserve"> and #1045</w:t>
                  </w:r>
                  <w:r w:rsidR="008E762A">
                    <w:rPr>
                      <w:sz w:val="24"/>
                      <w:szCs w:val="24"/>
                    </w:rPr>
                    <w:t xml:space="preserve">, </w:t>
                  </w:r>
                  <w:r w:rsidR="005C1B5B">
                    <w:rPr>
                      <w:sz w:val="24"/>
                      <w:szCs w:val="24"/>
                    </w:rPr>
                    <w:t xml:space="preserve">as </w:t>
                  </w:r>
                  <w:r w:rsidR="007D1C35">
                    <w:rPr>
                      <w:sz w:val="24"/>
                      <w:szCs w:val="24"/>
                    </w:rPr>
                    <w:t>indicated in document 13/0495r11</w:t>
                  </w:r>
                  <w:r w:rsidR="00DC0F3C">
                    <w:rPr>
                      <w:sz w:val="24"/>
                      <w:szCs w:val="24"/>
                    </w:rPr>
                    <w:fldChar w:fldCharType="begin"/>
                  </w:r>
                  <w:r w:rsidR="00E609F2">
                    <w:rPr>
                      <w:sz w:val="24"/>
                      <w:szCs w:val="24"/>
                    </w:rPr>
                    <w:instrText xml:space="preserve"> REF _Ref356307617 \r \h </w:instrText>
                  </w:r>
                  <w:r w:rsidR="00DC0F3C">
                    <w:rPr>
                      <w:sz w:val="24"/>
                      <w:szCs w:val="24"/>
                    </w:rPr>
                  </w:r>
                  <w:r w:rsidR="00DC0F3C">
                    <w:rPr>
                      <w:sz w:val="24"/>
                      <w:szCs w:val="24"/>
                    </w:rPr>
                    <w:fldChar w:fldCharType="separate"/>
                  </w:r>
                  <w:r w:rsidR="00E609F2">
                    <w:rPr>
                      <w:sz w:val="24"/>
                      <w:szCs w:val="24"/>
                    </w:rPr>
                    <w:t>[Ref-3]</w:t>
                  </w:r>
                  <w:r w:rsidR="00DC0F3C">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6F0352" w:rsidP="002F07C1">
      <w:pPr>
        <w:spacing w:before="120" w:after="120"/>
        <w:jc w:val="both"/>
        <w:rPr>
          <w:sz w:val="24"/>
          <w:szCs w:val="24"/>
        </w:rPr>
      </w:pPr>
      <w:r>
        <w:rPr>
          <w:sz w:val="24"/>
          <w:szCs w:val="24"/>
        </w:rPr>
        <w:t>In TGai CC8 comment database, 13/</w:t>
      </w:r>
      <w:r w:rsidR="00244FE3">
        <w:rPr>
          <w:sz w:val="24"/>
          <w:szCs w:val="24"/>
        </w:rPr>
        <w:t>0495r11</w:t>
      </w:r>
      <w:r>
        <w:rPr>
          <w:sz w:val="24"/>
          <w:szCs w:val="24"/>
        </w:rPr>
        <w:t xml:space="preserve"> </w:t>
      </w:r>
      <w:r w:rsidR="00DC0F3C">
        <w:rPr>
          <w:sz w:val="24"/>
          <w:szCs w:val="24"/>
        </w:rPr>
        <w:fldChar w:fldCharType="begin"/>
      </w:r>
      <w:r>
        <w:rPr>
          <w:sz w:val="24"/>
          <w:szCs w:val="24"/>
        </w:rPr>
        <w:instrText xml:space="preserve"> REF _Ref356307617 \r \h </w:instrText>
      </w:r>
      <w:r w:rsidR="00DC0F3C">
        <w:rPr>
          <w:sz w:val="24"/>
          <w:szCs w:val="24"/>
        </w:rPr>
      </w:r>
      <w:r w:rsidR="00DC0F3C">
        <w:rPr>
          <w:sz w:val="24"/>
          <w:szCs w:val="24"/>
        </w:rPr>
        <w:fldChar w:fldCharType="separate"/>
      </w:r>
      <w:r>
        <w:rPr>
          <w:sz w:val="24"/>
          <w:szCs w:val="24"/>
        </w:rPr>
        <w:t>[Ref-3]</w:t>
      </w:r>
      <w:r w:rsidR="00DC0F3C">
        <w:rPr>
          <w:sz w:val="24"/>
          <w:szCs w:val="24"/>
        </w:rPr>
        <w:fldChar w:fldCharType="end"/>
      </w:r>
      <w:r>
        <w:rPr>
          <w:sz w:val="24"/>
          <w:szCs w:val="24"/>
        </w:rPr>
        <w:t>, Comment</w:t>
      </w:r>
      <w:r w:rsidR="00244FE3">
        <w:rPr>
          <w:sz w:val="24"/>
          <w:szCs w:val="24"/>
        </w:rPr>
        <w:t>s</w:t>
      </w:r>
      <w:r>
        <w:rPr>
          <w:sz w:val="24"/>
          <w:szCs w:val="24"/>
        </w:rPr>
        <w:t xml:space="preserve"> #1326</w:t>
      </w:r>
      <w:r w:rsidR="00244FE3">
        <w:rPr>
          <w:sz w:val="24"/>
          <w:szCs w:val="24"/>
        </w:rPr>
        <w:t xml:space="preserve"> and #1045</w:t>
      </w:r>
      <w:r>
        <w:rPr>
          <w:sz w:val="24"/>
          <w:szCs w:val="24"/>
        </w:rPr>
        <w:t xml:space="preserve"> is assigned to </w:t>
      </w:r>
      <w:r w:rsidR="00E609F2">
        <w:rPr>
          <w:sz w:val="24"/>
          <w:szCs w:val="24"/>
        </w:rPr>
        <w:t>the contributor of this contribution.</w:t>
      </w:r>
      <w:r>
        <w:rPr>
          <w:sz w:val="24"/>
          <w:szCs w:val="24"/>
        </w:rPr>
        <w:t xml:space="preserve"> </w:t>
      </w:r>
      <w:r w:rsidR="001768DC">
        <w:rPr>
          <w:sz w:val="24"/>
          <w:szCs w:val="24"/>
        </w:rPr>
        <w:t>They are</w:t>
      </w:r>
      <w:r>
        <w:rPr>
          <w:sz w:val="24"/>
          <w:szCs w:val="24"/>
        </w:rPr>
        <w:t xml:space="preserve"> as follows:</w:t>
      </w:r>
    </w:p>
    <w:p w:rsidR="006F0352" w:rsidRDefault="006F0352" w:rsidP="002F07C1">
      <w:pPr>
        <w:spacing w:before="120" w:after="120"/>
        <w:jc w:val="both"/>
        <w:rPr>
          <w:sz w:val="24"/>
          <w:szCs w:val="24"/>
        </w:rPr>
      </w:pPr>
    </w:p>
    <w:tbl>
      <w:tblPr>
        <w:tblStyle w:val="TableGrid"/>
        <w:tblW w:w="0" w:type="auto"/>
        <w:tblLook w:val="04A0"/>
      </w:tblPr>
      <w:tblGrid>
        <w:gridCol w:w="597"/>
        <w:gridCol w:w="1452"/>
        <w:gridCol w:w="906"/>
        <w:gridCol w:w="858"/>
        <w:gridCol w:w="770"/>
        <w:gridCol w:w="2516"/>
        <w:gridCol w:w="2477"/>
      </w:tblGrid>
      <w:tr w:rsidR="00EA2F4B" w:rsidRPr="001768DC" w:rsidTr="001768DC">
        <w:trPr>
          <w:trHeight w:val="1331"/>
        </w:trPr>
        <w:tc>
          <w:tcPr>
            <w:tcW w:w="600" w:type="dxa"/>
            <w:hideMark/>
          </w:tcPr>
          <w:p w:rsidR="00EA2F4B" w:rsidRPr="001768DC" w:rsidRDefault="00EA2F4B" w:rsidP="00EA2F4B">
            <w:pPr>
              <w:spacing w:before="120" w:after="120"/>
              <w:jc w:val="both"/>
              <w:rPr>
                <w:sz w:val="18"/>
                <w:szCs w:val="18"/>
              </w:rPr>
            </w:pPr>
            <w:r w:rsidRPr="001768DC">
              <w:rPr>
                <w:sz w:val="18"/>
                <w:szCs w:val="18"/>
              </w:rPr>
              <w:t>1326</w:t>
            </w:r>
          </w:p>
        </w:tc>
        <w:tc>
          <w:tcPr>
            <w:tcW w:w="1540" w:type="dxa"/>
            <w:hideMark/>
          </w:tcPr>
          <w:p w:rsidR="00EA2F4B" w:rsidRPr="001768DC" w:rsidRDefault="00EA2F4B" w:rsidP="00EA2F4B">
            <w:pPr>
              <w:spacing w:before="120" w:after="120"/>
              <w:jc w:val="both"/>
              <w:rPr>
                <w:sz w:val="18"/>
                <w:szCs w:val="18"/>
              </w:rPr>
            </w:pPr>
            <w:r w:rsidRPr="001768DC">
              <w:rPr>
                <w:sz w:val="18"/>
                <w:szCs w:val="18"/>
              </w:rPr>
              <w:t>Mitsuru Iwaoka</w:t>
            </w:r>
          </w:p>
        </w:tc>
        <w:tc>
          <w:tcPr>
            <w:tcW w:w="920" w:type="dxa"/>
            <w:hideMark/>
          </w:tcPr>
          <w:p w:rsidR="00EA2F4B" w:rsidRPr="001768DC" w:rsidRDefault="00EA2F4B" w:rsidP="00EA2F4B">
            <w:pPr>
              <w:spacing w:before="120" w:after="120"/>
              <w:jc w:val="both"/>
              <w:rPr>
                <w:sz w:val="18"/>
                <w:szCs w:val="18"/>
              </w:rPr>
            </w:pPr>
            <w:r w:rsidRPr="001768DC">
              <w:rPr>
                <w:sz w:val="18"/>
                <w:szCs w:val="18"/>
              </w:rPr>
              <w:t>8.5.8.34</w:t>
            </w:r>
          </w:p>
        </w:tc>
        <w:tc>
          <w:tcPr>
            <w:tcW w:w="920" w:type="dxa"/>
            <w:hideMark/>
          </w:tcPr>
          <w:p w:rsidR="00EA2F4B" w:rsidRPr="001768DC" w:rsidRDefault="00EA2F4B" w:rsidP="00EA2F4B">
            <w:pPr>
              <w:spacing w:before="120" w:after="120"/>
              <w:jc w:val="both"/>
              <w:rPr>
                <w:sz w:val="18"/>
                <w:szCs w:val="18"/>
              </w:rPr>
            </w:pPr>
            <w:r w:rsidRPr="001768DC">
              <w:rPr>
                <w:sz w:val="18"/>
                <w:szCs w:val="18"/>
              </w:rPr>
              <w:t>54</w:t>
            </w:r>
          </w:p>
        </w:tc>
        <w:tc>
          <w:tcPr>
            <w:tcW w:w="820" w:type="dxa"/>
            <w:hideMark/>
          </w:tcPr>
          <w:p w:rsidR="00EA2F4B" w:rsidRPr="001768DC" w:rsidRDefault="00EA2F4B" w:rsidP="00EA2F4B">
            <w:pPr>
              <w:spacing w:before="120" w:after="120"/>
              <w:jc w:val="both"/>
              <w:rPr>
                <w:sz w:val="18"/>
                <w:szCs w:val="18"/>
              </w:rPr>
            </w:pPr>
            <w:r w:rsidRPr="001768DC">
              <w:rPr>
                <w:sz w:val="18"/>
                <w:szCs w:val="18"/>
              </w:rPr>
              <w:t>38</w:t>
            </w:r>
          </w:p>
        </w:tc>
        <w:tc>
          <w:tcPr>
            <w:tcW w:w="2700" w:type="dxa"/>
            <w:hideMark/>
          </w:tcPr>
          <w:p w:rsidR="00EA2F4B" w:rsidRPr="001768DC" w:rsidRDefault="00EA2F4B" w:rsidP="00EA2F4B">
            <w:pPr>
              <w:spacing w:before="120" w:after="120"/>
              <w:jc w:val="both"/>
              <w:rPr>
                <w:sz w:val="18"/>
                <w:szCs w:val="18"/>
              </w:rPr>
            </w:pPr>
            <w:r w:rsidRPr="001768DC">
              <w:rPr>
                <w:sz w:val="18"/>
                <w:szCs w:val="18"/>
              </w:rPr>
              <w:t>In Table 8-221j, Supported Minimum Rate is defined by bitrate. Though, P802.11af and P802.11ah will have different bitrate set.</w:t>
            </w:r>
          </w:p>
        </w:tc>
        <w:tc>
          <w:tcPr>
            <w:tcW w:w="2700" w:type="dxa"/>
            <w:hideMark/>
          </w:tcPr>
          <w:p w:rsidR="00EA2F4B" w:rsidRPr="001768DC" w:rsidRDefault="00EA2F4B" w:rsidP="00EA2F4B">
            <w:pPr>
              <w:spacing w:before="120" w:after="120"/>
              <w:jc w:val="both"/>
              <w:rPr>
                <w:sz w:val="18"/>
                <w:szCs w:val="18"/>
              </w:rPr>
            </w:pPr>
            <w:r w:rsidRPr="001768DC">
              <w:rPr>
                <w:sz w:val="18"/>
                <w:szCs w:val="18"/>
              </w:rPr>
              <w:t>Replace bitrate by MCS code and optional PHY type..</w:t>
            </w:r>
          </w:p>
        </w:tc>
      </w:tr>
      <w:tr w:rsidR="00EA2F4B" w:rsidRPr="001768DC" w:rsidTr="001768DC">
        <w:trPr>
          <w:trHeight w:val="3599"/>
        </w:trPr>
        <w:tc>
          <w:tcPr>
            <w:tcW w:w="600" w:type="dxa"/>
            <w:hideMark/>
          </w:tcPr>
          <w:p w:rsidR="00EA2F4B" w:rsidRPr="001768DC" w:rsidRDefault="00EA2F4B" w:rsidP="00EA2F4B">
            <w:pPr>
              <w:spacing w:before="120" w:after="120"/>
              <w:jc w:val="both"/>
              <w:rPr>
                <w:sz w:val="18"/>
                <w:szCs w:val="18"/>
              </w:rPr>
            </w:pPr>
            <w:r w:rsidRPr="001768DC">
              <w:rPr>
                <w:sz w:val="18"/>
                <w:szCs w:val="18"/>
              </w:rPr>
              <w:t>1045</w:t>
            </w:r>
          </w:p>
        </w:tc>
        <w:tc>
          <w:tcPr>
            <w:tcW w:w="1540" w:type="dxa"/>
            <w:hideMark/>
          </w:tcPr>
          <w:p w:rsidR="00EA2F4B" w:rsidRPr="001768DC" w:rsidRDefault="00EA2F4B" w:rsidP="00EA2F4B">
            <w:pPr>
              <w:spacing w:before="120" w:after="120"/>
              <w:jc w:val="both"/>
              <w:rPr>
                <w:sz w:val="18"/>
                <w:szCs w:val="18"/>
              </w:rPr>
            </w:pPr>
            <w:r w:rsidRPr="001768DC">
              <w:rPr>
                <w:sz w:val="18"/>
                <w:szCs w:val="18"/>
              </w:rPr>
              <w:t>Graham Smith</w:t>
            </w:r>
          </w:p>
        </w:tc>
        <w:tc>
          <w:tcPr>
            <w:tcW w:w="920" w:type="dxa"/>
            <w:hideMark/>
          </w:tcPr>
          <w:p w:rsidR="00EA2F4B" w:rsidRPr="001768DC" w:rsidRDefault="00EA2F4B" w:rsidP="00EA2F4B">
            <w:pPr>
              <w:spacing w:before="120" w:after="120"/>
              <w:jc w:val="both"/>
              <w:rPr>
                <w:sz w:val="18"/>
                <w:szCs w:val="18"/>
              </w:rPr>
            </w:pPr>
            <w:r w:rsidRPr="001768DC">
              <w:rPr>
                <w:sz w:val="18"/>
                <w:szCs w:val="18"/>
              </w:rPr>
              <w:t>34</w:t>
            </w:r>
          </w:p>
        </w:tc>
        <w:tc>
          <w:tcPr>
            <w:tcW w:w="920" w:type="dxa"/>
            <w:hideMark/>
          </w:tcPr>
          <w:p w:rsidR="00EA2F4B" w:rsidRPr="001768DC" w:rsidRDefault="00EA2F4B" w:rsidP="00EA2F4B">
            <w:pPr>
              <w:spacing w:before="120" w:after="120"/>
              <w:jc w:val="both"/>
              <w:rPr>
                <w:sz w:val="18"/>
                <w:szCs w:val="18"/>
              </w:rPr>
            </w:pPr>
            <w:r w:rsidRPr="001768DC">
              <w:rPr>
                <w:sz w:val="18"/>
                <w:szCs w:val="18"/>
              </w:rPr>
              <w:t>54</w:t>
            </w:r>
          </w:p>
        </w:tc>
        <w:tc>
          <w:tcPr>
            <w:tcW w:w="820" w:type="dxa"/>
            <w:hideMark/>
          </w:tcPr>
          <w:p w:rsidR="00EA2F4B" w:rsidRPr="001768DC" w:rsidRDefault="00EA2F4B" w:rsidP="00EA2F4B">
            <w:pPr>
              <w:spacing w:before="120" w:after="120"/>
              <w:jc w:val="both"/>
              <w:rPr>
                <w:sz w:val="18"/>
                <w:szCs w:val="18"/>
              </w:rPr>
            </w:pPr>
          </w:p>
        </w:tc>
        <w:tc>
          <w:tcPr>
            <w:tcW w:w="2700" w:type="dxa"/>
            <w:hideMark/>
          </w:tcPr>
          <w:p w:rsidR="00EA2F4B" w:rsidRPr="001768DC" w:rsidRDefault="00EA2F4B" w:rsidP="00EA2F4B">
            <w:pPr>
              <w:spacing w:before="120" w:after="120"/>
              <w:jc w:val="both"/>
              <w:rPr>
                <w:sz w:val="18"/>
                <w:szCs w:val="18"/>
              </w:rPr>
            </w:pPr>
            <w:r w:rsidRPr="001768DC">
              <w:rPr>
                <w:sz w:val="18"/>
                <w:szCs w:val="18"/>
              </w:rPr>
              <w:t>Supported minimum supported rate - Is this supposed to be a poor man's Basic Rate Set?  All it is really saying is whether the AP supports 11b or not.  I think that 6, 12 and 24 are mandatory for OFDM or if not, effectively so.  So it probably comes down to setting a 1 or a 0 and if 5GHz it is a 1.  Of course a beacon would tell you this straightaway and also, presumeably an FD. Hence, I would suggest cutting down to 1 bit or getting rid of altogether.</w:t>
            </w:r>
          </w:p>
        </w:tc>
        <w:tc>
          <w:tcPr>
            <w:tcW w:w="2700" w:type="dxa"/>
            <w:hideMark/>
          </w:tcPr>
          <w:p w:rsidR="00EA2F4B" w:rsidRPr="001768DC" w:rsidRDefault="00EA2F4B" w:rsidP="00EA2F4B">
            <w:pPr>
              <w:spacing w:before="120" w:after="120"/>
              <w:jc w:val="both"/>
              <w:rPr>
                <w:sz w:val="18"/>
                <w:szCs w:val="18"/>
              </w:rPr>
            </w:pPr>
            <w:r w:rsidRPr="001768DC">
              <w:rPr>
                <w:sz w:val="18"/>
                <w:szCs w:val="18"/>
              </w:rPr>
              <w:t>1 bit or delete.</w:t>
            </w:r>
          </w:p>
        </w:tc>
      </w:tr>
    </w:tbl>
    <w:p w:rsidR="00EA2F4B" w:rsidRDefault="00EA2F4B" w:rsidP="002F07C1">
      <w:pPr>
        <w:spacing w:before="120" w:after="120"/>
        <w:jc w:val="both"/>
        <w:rPr>
          <w:sz w:val="24"/>
          <w:szCs w:val="24"/>
        </w:rPr>
      </w:pPr>
    </w:p>
    <w:p w:rsidR="003D0BA5" w:rsidRDefault="00AD00A8" w:rsidP="00AD00A8">
      <w:pPr>
        <w:spacing w:before="120" w:after="120"/>
        <w:jc w:val="both"/>
        <w:rPr>
          <w:sz w:val="24"/>
          <w:szCs w:val="24"/>
        </w:rPr>
      </w:pPr>
      <w:r>
        <w:rPr>
          <w:sz w:val="24"/>
          <w:szCs w:val="24"/>
        </w:rPr>
        <w:t>This</w:t>
      </w:r>
      <w:r w:rsidR="00444A21">
        <w:rPr>
          <w:sz w:val="24"/>
          <w:szCs w:val="24"/>
        </w:rPr>
        <w:t xml:space="preserve"> </w:t>
      </w:r>
      <w:r>
        <w:rPr>
          <w:sz w:val="24"/>
          <w:szCs w:val="24"/>
        </w:rPr>
        <w:t>contribution</w:t>
      </w:r>
      <w:r w:rsidR="00AC3D40">
        <w:rPr>
          <w:sz w:val="24"/>
          <w:szCs w:val="24"/>
        </w:rPr>
        <w:t xml:space="preserve"> proposes </w:t>
      </w:r>
      <w:r w:rsidR="00E609F2">
        <w:rPr>
          <w:sz w:val="24"/>
          <w:szCs w:val="24"/>
        </w:rPr>
        <w:t xml:space="preserve">resolutions to </w:t>
      </w:r>
      <w:r w:rsidR="006F0352">
        <w:rPr>
          <w:sz w:val="24"/>
          <w:szCs w:val="24"/>
        </w:rPr>
        <w:t>the</w:t>
      </w:r>
      <w:r w:rsidR="00CF4A21">
        <w:rPr>
          <w:sz w:val="24"/>
          <w:szCs w:val="24"/>
        </w:rPr>
        <w:t xml:space="preserve"> above </w:t>
      </w:r>
      <w:r w:rsidR="006F0352">
        <w:rPr>
          <w:sz w:val="24"/>
          <w:szCs w:val="24"/>
        </w:rPr>
        <w:t>assigned CC8 comment</w:t>
      </w:r>
      <w:r w:rsidR="00CF4A21">
        <w:rPr>
          <w:sz w:val="24"/>
          <w:szCs w:val="24"/>
        </w:rPr>
        <w:t>s</w:t>
      </w:r>
      <w:r w:rsidR="00C667C9">
        <w:rPr>
          <w:sz w:val="24"/>
          <w:szCs w:val="24"/>
        </w:rPr>
        <w:t xml:space="preserve">. </w:t>
      </w:r>
    </w:p>
    <w:p w:rsidR="003919B6" w:rsidRPr="00FD46FA" w:rsidRDefault="003919B6" w:rsidP="00AD00A8">
      <w:pPr>
        <w:spacing w:before="120" w:after="120"/>
        <w:jc w:val="both"/>
        <w:rPr>
          <w:sz w:val="24"/>
          <w:szCs w:val="24"/>
        </w:rPr>
      </w:pPr>
      <w:r>
        <w:rPr>
          <w:sz w:val="24"/>
          <w:szCs w:val="24"/>
        </w:rPr>
        <w:t>In addition, based on a request from the commenter of CC8 Comment #1325, this contribution also includes a proposal to revise the comment resolution for Comment #1325.</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DC0F3C">
        <w:rPr>
          <w:sz w:val="24"/>
          <w:szCs w:val="24"/>
        </w:rPr>
        <w:fldChar w:fldCharType="begin"/>
      </w:r>
      <w:r w:rsidR="00E02BB7">
        <w:rPr>
          <w:sz w:val="24"/>
          <w:szCs w:val="24"/>
        </w:rPr>
        <w:instrText xml:space="preserve"> REF _Ref344995533 \r \h </w:instrText>
      </w:r>
      <w:r w:rsidR="00DC0F3C">
        <w:rPr>
          <w:sz w:val="24"/>
          <w:szCs w:val="24"/>
        </w:rPr>
      </w:r>
      <w:r w:rsidR="00DC0F3C">
        <w:rPr>
          <w:sz w:val="24"/>
          <w:szCs w:val="24"/>
        </w:rPr>
        <w:fldChar w:fldCharType="separate"/>
      </w:r>
      <w:r w:rsidR="00DC0F3C">
        <w:rPr>
          <w:sz w:val="24"/>
          <w:szCs w:val="24"/>
        </w:rPr>
        <w:fldChar w:fldCharType="begin"/>
      </w:r>
      <w:r w:rsidR="00AD00A8">
        <w:rPr>
          <w:sz w:val="24"/>
          <w:szCs w:val="24"/>
        </w:rPr>
        <w:instrText xml:space="preserve"> REF _Ref354695226 \r \h </w:instrText>
      </w:r>
      <w:r w:rsidR="00DC0F3C">
        <w:rPr>
          <w:sz w:val="24"/>
          <w:szCs w:val="24"/>
        </w:rPr>
      </w:r>
      <w:r w:rsidR="00DC0F3C">
        <w:rPr>
          <w:sz w:val="24"/>
          <w:szCs w:val="24"/>
        </w:rPr>
        <w:fldChar w:fldCharType="separate"/>
      </w:r>
      <w:r w:rsidR="00AD00A8">
        <w:rPr>
          <w:sz w:val="24"/>
          <w:szCs w:val="24"/>
        </w:rPr>
        <w:t>[Ref-2]</w:t>
      </w:r>
      <w:r w:rsidR="00DC0F3C">
        <w:rPr>
          <w:sz w:val="24"/>
          <w:szCs w:val="24"/>
        </w:rPr>
        <w:fldChar w:fldCharType="end"/>
      </w:r>
      <w:r w:rsidR="00DC0F3C">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 added text is marked as</w:t>
      </w:r>
      <w:r w:rsidR="00444A21">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331764">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331764">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44A21">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444A21">
        <w:rPr>
          <w:sz w:val="24"/>
          <w:szCs w:val="24"/>
        </w:rPr>
        <w:t xml:space="preserve"> </w:t>
      </w:r>
      <w:r w:rsidR="00C13281" w:rsidRPr="00AD00A8">
        <w:rPr>
          <w:sz w:val="24"/>
          <w:szCs w:val="24"/>
        </w:rPr>
        <w:t>and</w:t>
      </w:r>
    </w:p>
    <w:p w:rsidR="00E81362" w:rsidRPr="00FF26BE" w:rsidRDefault="00DB1686" w:rsidP="00B8179A">
      <w:pPr>
        <w:pStyle w:val="ListParagraph"/>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78220F" w:rsidP="00E81362">
      <w:pPr>
        <w:pStyle w:val="Heading1"/>
        <w:spacing w:before="360" w:after="120"/>
        <w:rPr>
          <w:u w:val="none"/>
        </w:rPr>
      </w:pPr>
      <w:r>
        <w:rPr>
          <w:u w:val="none"/>
        </w:rPr>
        <w:lastRenderedPageBreak/>
        <w:t>Discussions</w:t>
      </w:r>
      <w:r w:rsidR="00E609F2">
        <w:rPr>
          <w:u w:val="none"/>
        </w:rPr>
        <w:t xml:space="preserve"> of the Proposed Resolutions</w:t>
      </w:r>
    </w:p>
    <w:p w:rsidR="006560DC" w:rsidRDefault="009E4172" w:rsidP="00E81362">
      <w:pPr>
        <w:autoSpaceDE w:val="0"/>
        <w:autoSpaceDN w:val="0"/>
        <w:adjustRightInd w:val="0"/>
        <w:spacing w:before="120" w:after="120"/>
        <w:jc w:val="both"/>
        <w:rPr>
          <w:sz w:val="24"/>
          <w:szCs w:val="24"/>
        </w:rPr>
      </w:pPr>
      <w:r w:rsidRPr="00E81668">
        <w:rPr>
          <w:b/>
          <w:sz w:val="24"/>
          <w:szCs w:val="24"/>
        </w:rPr>
        <w:t>Comment #1326</w:t>
      </w:r>
      <w:r w:rsidR="006560DC">
        <w:rPr>
          <w:b/>
          <w:sz w:val="24"/>
          <w:szCs w:val="24"/>
        </w:rPr>
        <w:t>:</w:t>
      </w:r>
      <w:r>
        <w:rPr>
          <w:sz w:val="24"/>
          <w:szCs w:val="24"/>
        </w:rPr>
        <w:t xml:space="preserve"> </w:t>
      </w:r>
    </w:p>
    <w:p w:rsidR="009E4172" w:rsidRDefault="006560DC" w:rsidP="00E81362">
      <w:pPr>
        <w:autoSpaceDE w:val="0"/>
        <w:autoSpaceDN w:val="0"/>
        <w:adjustRightInd w:val="0"/>
        <w:spacing w:before="120" w:after="120"/>
        <w:jc w:val="both"/>
        <w:rPr>
          <w:sz w:val="24"/>
          <w:szCs w:val="24"/>
        </w:rPr>
      </w:pPr>
      <w:r>
        <w:rPr>
          <w:sz w:val="24"/>
          <w:szCs w:val="24"/>
        </w:rPr>
        <w:t xml:space="preserve">It </w:t>
      </w:r>
      <w:r w:rsidR="009E4172">
        <w:rPr>
          <w:sz w:val="24"/>
          <w:szCs w:val="24"/>
        </w:rPr>
        <w:t>raises two issues:</w:t>
      </w:r>
    </w:p>
    <w:p w:rsidR="00241BB2" w:rsidRPr="009E4172" w:rsidRDefault="00241BB2" w:rsidP="00B8179A">
      <w:pPr>
        <w:pStyle w:val="ListParagraph"/>
        <w:numPr>
          <w:ilvl w:val="0"/>
          <w:numId w:val="4"/>
        </w:numPr>
        <w:autoSpaceDE w:val="0"/>
        <w:autoSpaceDN w:val="0"/>
        <w:adjustRightInd w:val="0"/>
        <w:spacing w:before="120" w:after="120"/>
        <w:ind w:left="547"/>
        <w:contextualSpacing w:val="0"/>
        <w:jc w:val="both"/>
        <w:rPr>
          <w:sz w:val="24"/>
          <w:szCs w:val="24"/>
        </w:rPr>
      </w:pPr>
      <w:r>
        <w:rPr>
          <w:sz w:val="24"/>
          <w:szCs w:val="24"/>
        </w:rPr>
        <w:t xml:space="preserve">Use MCS setting values, not bit rate values, in Table </w:t>
      </w:r>
      <w:r w:rsidRPr="009E4172">
        <w:rPr>
          <w:sz w:val="24"/>
          <w:szCs w:val="24"/>
        </w:rPr>
        <w:t>8-221j</w:t>
      </w:r>
      <w:r>
        <w:rPr>
          <w:sz w:val="24"/>
          <w:szCs w:val="24"/>
        </w:rPr>
        <w:t>; and</w:t>
      </w:r>
    </w:p>
    <w:p w:rsidR="00EE2934" w:rsidRDefault="009E4172" w:rsidP="00B8179A">
      <w:pPr>
        <w:pStyle w:val="ListParagraph"/>
        <w:numPr>
          <w:ilvl w:val="0"/>
          <w:numId w:val="4"/>
        </w:numPr>
        <w:autoSpaceDE w:val="0"/>
        <w:autoSpaceDN w:val="0"/>
        <w:adjustRightInd w:val="0"/>
        <w:spacing w:before="120" w:after="120"/>
        <w:ind w:left="547"/>
        <w:contextualSpacing w:val="0"/>
        <w:jc w:val="both"/>
        <w:rPr>
          <w:sz w:val="24"/>
          <w:szCs w:val="24"/>
        </w:rPr>
      </w:pPr>
      <w:r>
        <w:rPr>
          <w:sz w:val="24"/>
          <w:szCs w:val="24"/>
        </w:rPr>
        <w:t xml:space="preserve">Consider  adding the minimum supported PHY rates of 11af and 11ah in Table </w:t>
      </w:r>
      <w:r w:rsidRPr="009E4172">
        <w:rPr>
          <w:sz w:val="24"/>
          <w:szCs w:val="24"/>
        </w:rPr>
        <w:t>8-221j</w:t>
      </w:r>
      <w:r w:rsidR="00241BB2">
        <w:rPr>
          <w:sz w:val="24"/>
          <w:szCs w:val="24"/>
        </w:rPr>
        <w:t>.</w:t>
      </w:r>
    </w:p>
    <w:p w:rsidR="00D87730" w:rsidRPr="0078220F" w:rsidRDefault="00241BB2" w:rsidP="0078220F">
      <w:pPr>
        <w:autoSpaceDE w:val="0"/>
        <w:autoSpaceDN w:val="0"/>
        <w:adjustRightInd w:val="0"/>
        <w:spacing w:before="120" w:after="120"/>
        <w:jc w:val="both"/>
        <w:rPr>
          <w:sz w:val="24"/>
          <w:szCs w:val="24"/>
        </w:rPr>
      </w:pPr>
      <w:r>
        <w:rPr>
          <w:sz w:val="24"/>
          <w:szCs w:val="24"/>
        </w:rPr>
        <w:t xml:space="preserve">It is a good point of using MCS settings for those PHYs that specify their throughput in MCS settings, e.g., 11n and 11ac. However, not all the 802.11 PHYs use MCS setting values, e.g., 11a/b/g use bit rates. Therefore, the proposed resolution to address the raised issue 1) is to make Table </w:t>
      </w:r>
      <w:r w:rsidRPr="009E4172">
        <w:rPr>
          <w:sz w:val="24"/>
          <w:szCs w:val="24"/>
        </w:rPr>
        <w:t>8-221j</w:t>
      </w:r>
      <w:r>
        <w:rPr>
          <w:sz w:val="24"/>
          <w:szCs w:val="24"/>
        </w:rPr>
        <w:t xml:space="preserve"> with PHY-specific columns for each PHY type specified in </w:t>
      </w:r>
      <w:r w:rsidRPr="00241BB2">
        <w:rPr>
          <w:sz w:val="24"/>
          <w:szCs w:val="24"/>
        </w:rPr>
        <w:t>Table 8-221i</w:t>
      </w:r>
      <w:r>
        <w:rPr>
          <w:sz w:val="24"/>
          <w:szCs w:val="24"/>
        </w:rPr>
        <w:t>.</w:t>
      </w:r>
    </w:p>
    <w:p w:rsidR="0093789E" w:rsidRDefault="00241BB2" w:rsidP="0078220F">
      <w:pPr>
        <w:autoSpaceDE w:val="0"/>
        <w:autoSpaceDN w:val="0"/>
        <w:adjustRightInd w:val="0"/>
        <w:spacing w:before="120" w:after="120"/>
        <w:jc w:val="both"/>
        <w:rPr>
          <w:sz w:val="24"/>
          <w:szCs w:val="24"/>
        </w:rPr>
      </w:pPr>
      <w:r>
        <w:rPr>
          <w:sz w:val="24"/>
          <w:szCs w:val="24"/>
        </w:rPr>
        <w:t>Since 11ah and 11af have not been finally approved yet</w:t>
      </w:r>
      <w:r w:rsidR="002F7245">
        <w:rPr>
          <w:sz w:val="24"/>
          <w:szCs w:val="24"/>
        </w:rPr>
        <w:t xml:space="preserve"> and also they are not included in the PHY Type subfield </w:t>
      </w:r>
      <w:r w:rsidR="00C55C00">
        <w:rPr>
          <w:sz w:val="24"/>
          <w:szCs w:val="24"/>
        </w:rPr>
        <w:t xml:space="preserve">in </w:t>
      </w:r>
      <w:r w:rsidR="002F7245">
        <w:rPr>
          <w:sz w:val="24"/>
          <w:szCs w:val="24"/>
        </w:rPr>
        <w:t>Table 8-221i</w:t>
      </w:r>
      <w:r w:rsidR="00C55C00">
        <w:rPr>
          <w:sz w:val="24"/>
          <w:szCs w:val="24"/>
        </w:rPr>
        <w:t xml:space="preserve">, in the current 11ai draft spec, 11ai/D0.5 </w:t>
      </w:r>
      <w:r w:rsidR="00DC0F3C">
        <w:rPr>
          <w:sz w:val="24"/>
          <w:szCs w:val="24"/>
        </w:rPr>
        <w:fldChar w:fldCharType="begin"/>
      </w:r>
      <w:r w:rsidR="00C55C00">
        <w:rPr>
          <w:sz w:val="24"/>
          <w:szCs w:val="24"/>
        </w:rPr>
        <w:instrText xml:space="preserve"> REF _Ref354695226 \r \h </w:instrText>
      </w:r>
      <w:r w:rsidR="00DC0F3C">
        <w:rPr>
          <w:sz w:val="24"/>
          <w:szCs w:val="24"/>
        </w:rPr>
      </w:r>
      <w:r w:rsidR="00DC0F3C">
        <w:rPr>
          <w:sz w:val="24"/>
          <w:szCs w:val="24"/>
        </w:rPr>
        <w:fldChar w:fldCharType="separate"/>
      </w:r>
      <w:r w:rsidR="00C55C00">
        <w:rPr>
          <w:sz w:val="24"/>
          <w:szCs w:val="24"/>
        </w:rPr>
        <w:t>[Ref-2]</w:t>
      </w:r>
      <w:r w:rsidR="00DC0F3C">
        <w:rPr>
          <w:sz w:val="24"/>
          <w:szCs w:val="24"/>
        </w:rPr>
        <w:fldChar w:fldCharType="end"/>
      </w:r>
      <w:r>
        <w:rPr>
          <w:sz w:val="24"/>
          <w:szCs w:val="24"/>
        </w:rPr>
        <w:t xml:space="preserve">, </w:t>
      </w:r>
      <w:r w:rsidR="002F7245">
        <w:rPr>
          <w:sz w:val="24"/>
          <w:szCs w:val="24"/>
        </w:rPr>
        <w:t xml:space="preserve">further discussions should be held in TGai to decide whether or not </w:t>
      </w:r>
      <w:r>
        <w:rPr>
          <w:sz w:val="24"/>
          <w:szCs w:val="24"/>
        </w:rPr>
        <w:t xml:space="preserve">to include the supported minimum data rates information in </w:t>
      </w:r>
      <w:r w:rsidR="002F7245">
        <w:rPr>
          <w:sz w:val="24"/>
          <w:szCs w:val="24"/>
        </w:rPr>
        <w:t xml:space="preserve">Table </w:t>
      </w:r>
      <w:r w:rsidR="002F7245" w:rsidRPr="009E4172">
        <w:rPr>
          <w:sz w:val="24"/>
          <w:szCs w:val="24"/>
        </w:rPr>
        <w:t>8-221j</w:t>
      </w:r>
      <w:r w:rsidR="002F7245">
        <w:rPr>
          <w:sz w:val="24"/>
          <w:szCs w:val="24"/>
        </w:rPr>
        <w:t xml:space="preserve"> in</w:t>
      </w:r>
      <w:r w:rsidR="003D2A08">
        <w:rPr>
          <w:sz w:val="24"/>
          <w:szCs w:val="24"/>
        </w:rPr>
        <w:t xml:space="preserve">11ai spec. </w:t>
      </w:r>
      <w:r w:rsidR="002F7245">
        <w:rPr>
          <w:sz w:val="24"/>
          <w:szCs w:val="24"/>
        </w:rPr>
        <w:t xml:space="preserve">Therefore, this contribution </w:t>
      </w:r>
      <w:r w:rsidR="00C55C00">
        <w:rPr>
          <w:sz w:val="24"/>
          <w:szCs w:val="24"/>
        </w:rPr>
        <w:t xml:space="preserve">does not </w:t>
      </w:r>
      <w:r w:rsidR="00583E66">
        <w:rPr>
          <w:sz w:val="24"/>
          <w:szCs w:val="24"/>
        </w:rPr>
        <w:t>propose</w:t>
      </w:r>
      <w:r w:rsidR="000373A4">
        <w:rPr>
          <w:sz w:val="24"/>
          <w:szCs w:val="24"/>
        </w:rPr>
        <w:t xml:space="preserve"> </w:t>
      </w:r>
      <w:r w:rsidR="008E3119">
        <w:rPr>
          <w:sz w:val="24"/>
          <w:szCs w:val="24"/>
        </w:rPr>
        <w:t>any</w:t>
      </w:r>
      <w:r w:rsidR="00C55C00">
        <w:rPr>
          <w:sz w:val="24"/>
          <w:szCs w:val="24"/>
        </w:rPr>
        <w:t xml:space="preserve"> changes required to </w:t>
      </w:r>
      <w:r w:rsidR="00B1542F">
        <w:rPr>
          <w:sz w:val="24"/>
          <w:szCs w:val="24"/>
        </w:rPr>
        <w:t>include minimum supported PHY rates of 11ah and 11</w:t>
      </w:r>
      <w:r w:rsidR="00583E66">
        <w:rPr>
          <w:sz w:val="24"/>
          <w:szCs w:val="24"/>
        </w:rPr>
        <w:t>af</w:t>
      </w:r>
      <w:r w:rsidR="00B1542F">
        <w:rPr>
          <w:sz w:val="24"/>
          <w:szCs w:val="24"/>
        </w:rPr>
        <w:t>.</w:t>
      </w:r>
    </w:p>
    <w:p w:rsidR="0093789E" w:rsidRPr="0078220F" w:rsidRDefault="0093789E" w:rsidP="0078220F">
      <w:pPr>
        <w:autoSpaceDE w:val="0"/>
        <w:autoSpaceDN w:val="0"/>
        <w:adjustRightInd w:val="0"/>
        <w:spacing w:before="120" w:after="120"/>
        <w:jc w:val="both"/>
        <w:rPr>
          <w:sz w:val="24"/>
          <w:szCs w:val="24"/>
        </w:rPr>
      </w:pPr>
      <w:r>
        <w:rPr>
          <w:sz w:val="24"/>
          <w:szCs w:val="24"/>
        </w:rPr>
        <w:t>In addition, this contribution also includes one proposed change to the resolution for CC8 Comment 1325, i.e., add “Clause 18” to PYH Type=1 in the PHY type subfield definition table, Table 8-221i, based on the EPR-OFDM PHY specifications in the 802.11 standards.</w:t>
      </w:r>
      <w:r w:rsidR="004F7BA1">
        <w:rPr>
          <w:sz w:val="24"/>
          <w:szCs w:val="24"/>
        </w:rPr>
        <w:t xml:space="preserve"> Please note that the proposed revised resolution to CC8 Comment 1325 is intended to overwrite the resolution in Contribution 13/</w:t>
      </w:r>
      <w:r w:rsidR="005538D9">
        <w:rPr>
          <w:sz w:val="24"/>
          <w:szCs w:val="24"/>
        </w:rPr>
        <w:t>0575r1</w:t>
      </w:r>
      <w:r w:rsidR="00DC0F3C">
        <w:rPr>
          <w:sz w:val="24"/>
          <w:szCs w:val="24"/>
        </w:rPr>
        <w:fldChar w:fldCharType="begin"/>
      </w:r>
      <w:r w:rsidR="005538D9">
        <w:rPr>
          <w:sz w:val="24"/>
          <w:szCs w:val="24"/>
        </w:rPr>
        <w:instrText xml:space="preserve"> REF _Ref359964383 \r \h </w:instrText>
      </w:r>
      <w:r w:rsidR="00DC0F3C">
        <w:rPr>
          <w:sz w:val="24"/>
          <w:szCs w:val="24"/>
        </w:rPr>
      </w:r>
      <w:r w:rsidR="00DC0F3C">
        <w:rPr>
          <w:sz w:val="24"/>
          <w:szCs w:val="24"/>
        </w:rPr>
        <w:fldChar w:fldCharType="separate"/>
      </w:r>
      <w:r w:rsidR="005538D9">
        <w:rPr>
          <w:sz w:val="24"/>
          <w:szCs w:val="24"/>
        </w:rPr>
        <w:t>[Ref-4]</w:t>
      </w:r>
      <w:r w:rsidR="00DC0F3C">
        <w:rPr>
          <w:sz w:val="24"/>
          <w:szCs w:val="24"/>
        </w:rPr>
        <w:fldChar w:fldCharType="end"/>
      </w:r>
      <w:r w:rsidR="005538D9">
        <w:rPr>
          <w:sz w:val="24"/>
          <w:szCs w:val="24"/>
        </w:rPr>
        <w:t>, which was approved in TGai 2012-May meeting.</w:t>
      </w:r>
    </w:p>
    <w:p w:rsidR="00E81362" w:rsidRDefault="00E81362" w:rsidP="0078220F">
      <w:pPr>
        <w:autoSpaceDE w:val="0"/>
        <w:autoSpaceDN w:val="0"/>
        <w:adjustRightInd w:val="0"/>
        <w:spacing w:before="120" w:after="120"/>
        <w:jc w:val="both"/>
        <w:rPr>
          <w:sz w:val="24"/>
          <w:szCs w:val="24"/>
        </w:rPr>
      </w:pPr>
    </w:p>
    <w:p w:rsidR="006560DC" w:rsidRPr="006560DC" w:rsidRDefault="006560DC" w:rsidP="0078220F">
      <w:pPr>
        <w:autoSpaceDE w:val="0"/>
        <w:autoSpaceDN w:val="0"/>
        <w:adjustRightInd w:val="0"/>
        <w:spacing w:before="120" w:after="120"/>
        <w:jc w:val="both"/>
        <w:rPr>
          <w:b/>
          <w:sz w:val="24"/>
          <w:szCs w:val="24"/>
        </w:rPr>
      </w:pPr>
      <w:r w:rsidRPr="006560DC">
        <w:rPr>
          <w:b/>
          <w:sz w:val="24"/>
          <w:szCs w:val="24"/>
        </w:rPr>
        <w:t xml:space="preserve">Comment #1045 </w:t>
      </w:r>
    </w:p>
    <w:p w:rsidR="003D3551" w:rsidRDefault="003D3551" w:rsidP="0078220F">
      <w:pPr>
        <w:autoSpaceDE w:val="0"/>
        <w:autoSpaceDN w:val="0"/>
        <w:adjustRightInd w:val="0"/>
        <w:spacing w:before="120" w:after="120"/>
        <w:jc w:val="both"/>
        <w:rPr>
          <w:sz w:val="24"/>
          <w:szCs w:val="24"/>
        </w:rPr>
      </w:pPr>
      <w:r>
        <w:rPr>
          <w:sz w:val="24"/>
          <w:szCs w:val="24"/>
        </w:rPr>
        <w:t xml:space="preserve">It questions the necessity of having a 3-bit Supported Minimum Rate subfield in FD Capability field, considering the PHY type is already in FD Capability field. The commenter has a good point that PHY type gives the information of the mandatory PHY rates of the PHY, in which the minimum rate information is included. However, the intention of the Supported  Minimum Rate subfield in FD Capability field is not to indicate the minimum PHY rate, instead, it is intended to indicate the minimum rate that the AP transmitting FD frame is used for FILS capable STAs, which is allowed to be a higher rate than the minimum PHY rate among the mandatory date rates of the PHY. </w:t>
      </w:r>
      <w:r w:rsidR="00AF0AB1">
        <w:rPr>
          <w:sz w:val="24"/>
          <w:szCs w:val="24"/>
        </w:rPr>
        <w:t>The confusion comes from the term, Supported Minimum Rate, used in the current 802.11ai draft spec. The proposed resolution includes:</w:t>
      </w:r>
    </w:p>
    <w:p w:rsidR="00AF0AB1" w:rsidRDefault="00AF0AB1" w:rsidP="00B8179A">
      <w:pPr>
        <w:pStyle w:val="ListParagraph"/>
        <w:numPr>
          <w:ilvl w:val="0"/>
          <w:numId w:val="5"/>
        </w:numPr>
        <w:autoSpaceDE w:val="0"/>
        <w:autoSpaceDN w:val="0"/>
        <w:adjustRightInd w:val="0"/>
        <w:spacing w:before="120" w:after="120"/>
        <w:jc w:val="both"/>
        <w:rPr>
          <w:sz w:val="24"/>
          <w:szCs w:val="24"/>
        </w:rPr>
      </w:pPr>
      <w:r>
        <w:rPr>
          <w:sz w:val="24"/>
          <w:szCs w:val="24"/>
        </w:rPr>
        <w:t>Change the term, Supported Minimum Rate subfield in FD frame, to FILS Minimum Rate;</w:t>
      </w:r>
    </w:p>
    <w:p w:rsidR="00AF0AB1" w:rsidRPr="00AF0AB1" w:rsidRDefault="000B3F9B" w:rsidP="00B8179A">
      <w:pPr>
        <w:pStyle w:val="ListParagraph"/>
        <w:numPr>
          <w:ilvl w:val="0"/>
          <w:numId w:val="5"/>
        </w:numPr>
        <w:autoSpaceDE w:val="0"/>
        <w:autoSpaceDN w:val="0"/>
        <w:adjustRightInd w:val="0"/>
        <w:spacing w:before="120" w:after="120"/>
        <w:jc w:val="both"/>
        <w:rPr>
          <w:sz w:val="24"/>
          <w:szCs w:val="24"/>
        </w:rPr>
      </w:pPr>
      <w:r>
        <w:rPr>
          <w:sz w:val="24"/>
          <w:szCs w:val="24"/>
        </w:rPr>
        <w:t>Add clarificat</w:t>
      </w:r>
      <w:r w:rsidR="003919B6">
        <w:rPr>
          <w:sz w:val="24"/>
          <w:szCs w:val="24"/>
        </w:rPr>
        <w:t>ion text to specify the intended use of the FILS Minimum Rate subfield in FD Capability field.</w:t>
      </w:r>
    </w:p>
    <w:p w:rsidR="00383B77" w:rsidRPr="001D1F7C" w:rsidRDefault="00383B77" w:rsidP="00383B77">
      <w:pPr>
        <w:pStyle w:val="Heading1"/>
        <w:spacing w:before="360" w:after="120"/>
        <w:rPr>
          <w:u w:val="none"/>
        </w:rPr>
      </w:pPr>
      <w:bookmarkStart w:id="1" w:name="_Ref339564878"/>
      <w:r>
        <w:rPr>
          <w:u w:val="none"/>
        </w:rPr>
        <w:lastRenderedPageBreak/>
        <w:t xml:space="preserve">Proposed </w:t>
      </w:r>
      <w:r w:rsidR="00D87730">
        <w:rPr>
          <w:u w:val="none"/>
        </w:rPr>
        <w:t xml:space="preserve">Changes to 802.11ai/D0.5 </w:t>
      </w:r>
      <w:r>
        <w:rPr>
          <w:u w:val="none"/>
        </w:rPr>
        <w:t>Specification Text</w:t>
      </w:r>
      <w:bookmarkEnd w:id="1"/>
    </w:p>
    <w:p w:rsidR="00CE5F7A" w:rsidRDefault="009C1427" w:rsidP="00CE5F7A">
      <w:pPr>
        <w:autoSpaceDE w:val="0"/>
        <w:autoSpaceDN w:val="0"/>
        <w:adjustRightInd w:val="0"/>
        <w:spacing w:before="120" w:after="120"/>
        <w:jc w:val="both"/>
        <w:rPr>
          <w:i/>
        </w:rPr>
      </w:pPr>
      <w:r w:rsidRPr="00134832">
        <w:rPr>
          <w:i/>
        </w:rPr>
        <w:t>To</w:t>
      </w:r>
      <w:r w:rsidRPr="009620F4">
        <w:rPr>
          <w:i/>
        </w:rPr>
        <w:t xml:space="preserve"> resolve comments:</w:t>
      </w:r>
      <w:r w:rsidR="00B1542F">
        <w:rPr>
          <w:i/>
        </w:rPr>
        <w:t xml:space="preserve"> 1326</w:t>
      </w:r>
      <w:r w:rsidR="003919B6">
        <w:rPr>
          <w:i/>
        </w:rPr>
        <w:t xml:space="preserve"> and 1045</w:t>
      </w:r>
    </w:p>
    <w:p w:rsidR="00304279" w:rsidRPr="009C1427" w:rsidRDefault="00304279" w:rsidP="00304279">
      <w:pPr>
        <w:autoSpaceDE w:val="0"/>
        <w:autoSpaceDN w:val="0"/>
        <w:adjustRightInd w:val="0"/>
        <w:spacing w:before="120" w:after="120"/>
        <w:jc w:val="both"/>
        <w:rPr>
          <w:i/>
          <w:highlight w:val="yellow"/>
        </w:rPr>
      </w:pPr>
      <w:r>
        <w:rPr>
          <w:i/>
          <w:highlight w:val="yellow"/>
        </w:rPr>
        <w:t xml:space="preserve">Instructions to Editor: </w:t>
      </w:r>
      <w:r w:rsidR="00E54216">
        <w:rPr>
          <w:i/>
          <w:highlight w:val="yellow"/>
        </w:rPr>
        <w:t>make the following change</w:t>
      </w:r>
      <w:r>
        <w:rPr>
          <w:i/>
          <w:highlight w:val="yellow"/>
        </w:rPr>
        <w:t xml:space="preserve"> in line </w:t>
      </w:r>
      <w:r w:rsidR="00E54216">
        <w:rPr>
          <w:i/>
          <w:highlight w:val="yellow"/>
        </w:rPr>
        <w:t>15 on page 5, Figure 8-460p</w:t>
      </w:r>
      <w:r>
        <w:rPr>
          <w:i/>
          <w:highlight w:val="yellow"/>
        </w:rPr>
        <w:t xml:space="preserve"> as follows</w:t>
      </w:r>
      <w:r w:rsidRPr="009C1427">
        <w:rPr>
          <w:i/>
          <w:highlight w:val="yellow"/>
        </w:rPr>
        <w:t>.</w:t>
      </w:r>
    </w:p>
    <w:p w:rsidR="005E5303" w:rsidRPr="005E5303" w:rsidRDefault="00E54216" w:rsidP="00CE5F7A">
      <w:pPr>
        <w:autoSpaceDE w:val="0"/>
        <w:autoSpaceDN w:val="0"/>
        <w:adjustRightInd w:val="0"/>
        <w:spacing w:before="120" w:after="120"/>
        <w:jc w:val="both"/>
      </w:pPr>
      <w:r>
        <w:t>Change the subfield “Supported Minimum Rate” to “FILS Minimum Rate”.</w:t>
      </w:r>
      <w:r w:rsidR="001511B6">
        <w:t xml:space="preserve"> </w:t>
      </w:r>
      <w:r w:rsidR="001511B6">
        <w:rPr>
          <w:rFonts w:ascii="TimesNewRoman" w:hAnsi="TimesNewRoman" w:cs="TimesNewRoman"/>
          <w:szCs w:val="22"/>
          <w:highlight w:val="cyan"/>
          <w:lang w:val="en-US"/>
        </w:rPr>
        <w:t>[comment #1045</w:t>
      </w:r>
      <w:r w:rsidR="001511B6" w:rsidRPr="003919B6">
        <w:rPr>
          <w:rFonts w:ascii="TimesNewRoman" w:hAnsi="TimesNewRoman" w:cs="TimesNewRoman"/>
          <w:szCs w:val="22"/>
          <w:highlight w:val="cyan"/>
          <w:lang w:val="en-US"/>
        </w:rPr>
        <w:t>]</w:t>
      </w:r>
    </w:p>
    <w:p w:rsidR="005E5303" w:rsidRPr="005E5303" w:rsidRDefault="005E5303" w:rsidP="00CE5F7A">
      <w:pPr>
        <w:autoSpaceDE w:val="0"/>
        <w:autoSpaceDN w:val="0"/>
        <w:adjustRightInd w:val="0"/>
        <w:spacing w:before="120" w:after="120"/>
        <w:jc w:val="both"/>
        <w:rPr>
          <w:highlight w:val="yellow"/>
        </w:rPr>
      </w:pPr>
    </w:p>
    <w:p w:rsidR="00CE5F7A" w:rsidRPr="009C1427" w:rsidRDefault="00CE5F7A" w:rsidP="00CE5F7A">
      <w:pPr>
        <w:autoSpaceDE w:val="0"/>
        <w:autoSpaceDN w:val="0"/>
        <w:adjustRightInd w:val="0"/>
        <w:spacing w:before="120" w:after="120"/>
        <w:jc w:val="both"/>
        <w:rPr>
          <w:i/>
          <w:highlight w:val="yellow"/>
        </w:rPr>
      </w:pPr>
      <w:r>
        <w:rPr>
          <w:i/>
          <w:highlight w:val="yellow"/>
        </w:rPr>
        <w:t>Instructions to Editor: change the paragraph in line 34 on page 54 as follows</w:t>
      </w:r>
      <w:r w:rsidRPr="009C1427">
        <w:rPr>
          <w:i/>
          <w:highlight w:val="yellow"/>
        </w:rPr>
        <w:t>.</w:t>
      </w:r>
    </w:p>
    <w:p w:rsidR="002D5A27" w:rsidRDefault="00CE5F7A" w:rsidP="004640FB">
      <w:pPr>
        <w:autoSpaceDE w:val="0"/>
        <w:autoSpaceDN w:val="0"/>
        <w:adjustRightInd w:val="0"/>
        <w:spacing w:before="120" w:after="120"/>
        <w:rPr>
          <w:rFonts w:ascii="TimesNewRoman" w:hAnsi="TimesNewRoman" w:cs="TimesNewRoman"/>
          <w:szCs w:val="22"/>
          <w:lang w:val="en-US"/>
        </w:rPr>
      </w:pPr>
      <w:r w:rsidRPr="004640FB">
        <w:rPr>
          <w:rFonts w:ascii="TimesNewRoman" w:hAnsi="TimesNewRoman" w:cs="TimesNewRoman"/>
          <w:szCs w:val="22"/>
          <w:lang w:val="en-US"/>
        </w:rPr>
        <w:t xml:space="preserve">The 3-bit </w:t>
      </w:r>
      <w:r w:rsidRPr="00686E0A">
        <w:rPr>
          <w:rFonts w:ascii="TimesNewRoman" w:hAnsi="TimesNewRoman" w:cs="TimesNewRoman"/>
          <w:strike/>
          <w:color w:val="FF0000"/>
          <w:szCs w:val="22"/>
          <w:lang w:val="en-US"/>
        </w:rPr>
        <w:t>Supported</w:t>
      </w:r>
      <w:r w:rsidRPr="004640FB">
        <w:rPr>
          <w:rFonts w:ascii="TimesNewRoman" w:hAnsi="TimesNewRoman" w:cs="TimesNewRoman"/>
          <w:szCs w:val="22"/>
          <w:lang w:val="en-US"/>
        </w:rPr>
        <w:t xml:space="preserve"> </w:t>
      </w:r>
      <w:r w:rsidR="00CE64C7" w:rsidRPr="00CE64C7">
        <w:rPr>
          <w:rFonts w:ascii="TimesNewRoman" w:hAnsi="TimesNewRoman" w:cs="TimesNewRoman"/>
          <w:color w:val="0000FF"/>
          <w:szCs w:val="22"/>
          <w:u w:val="single"/>
          <w:lang w:val="en-US"/>
        </w:rPr>
        <w:t>FILS</w:t>
      </w:r>
      <w:r w:rsidR="00CE64C7">
        <w:rPr>
          <w:rFonts w:ascii="TimesNewRoman" w:hAnsi="TimesNewRoman" w:cs="TimesNewRoman"/>
          <w:szCs w:val="22"/>
          <w:lang w:val="en-US"/>
        </w:rPr>
        <w:t xml:space="preserve"> </w:t>
      </w:r>
      <w:r w:rsidRPr="004640FB">
        <w:rPr>
          <w:rFonts w:ascii="TimesNewRoman" w:hAnsi="TimesNewRoman" w:cs="TimesNewRoman"/>
          <w:szCs w:val="22"/>
          <w:lang w:val="en-US"/>
        </w:rPr>
        <w:t>Minimum Rate subfield specifies the minimum rate</w:t>
      </w:r>
      <w:r w:rsidR="00A362E7">
        <w:rPr>
          <w:rFonts w:ascii="TimesNewRoman" w:hAnsi="TimesNewRoman" w:cs="TimesNewRoman"/>
          <w:szCs w:val="22"/>
          <w:lang w:val="en-US"/>
        </w:rPr>
        <w:t xml:space="preserve">, </w:t>
      </w:r>
      <w:r w:rsidRPr="004640FB">
        <w:rPr>
          <w:rFonts w:ascii="TimesNewRoman" w:hAnsi="TimesNewRoman" w:cs="TimesNewRoman"/>
          <w:szCs w:val="22"/>
          <w:lang w:val="en-US"/>
        </w:rPr>
        <w:t>as coded in Table 8-221j</w:t>
      </w:r>
      <w:r w:rsidR="001E41B1" w:rsidRPr="001E41B1">
        <w:rPr>
          <w:rFonts w:ascii="TimesNewRoman" w:hAnsi="TimesNewRoman" w:cs="TimesNewRoman"/>
          <w:color w:val="0000FF"/>
          <w:szCs w:val="22"/>
          <w:u w:val="single"/>
          <w:lang w:val="en-US"/>
        </w:rPr>
        <w:t>,</w:t>
      </w:r>
      <w:r w:rsidR="00A362E7" w:rsidRPr="001E41B1">
        <w:rPr>
          <w:rFonts w:ascii="TimesNewRoman" w:hAnsi="TimesNewRoman" w:cs="TimesNewRoman"/>
          <w:color w:val="0000FF"/>
          <w:szCs w:val="22"/>
          <w:u w:val="single"/>
          <w:lang w:val="en-US"/>
        </w:rPr>
        <w:t xml:space="preserve"> </w:t>
      </w:r>
      <w:r w:rsidR="001E41B1" w:rsidRPr="001E41B1">
        <w:rPr>
          <w:rFonts w:ascii="TimesNewRoman" w:hAnsi="TimesNewRoman" w:cs="TimesNewRoman"/>
          <w:color w:val="0000FF"/>
          <w:szCs w:val="22"/>
          <w:u w:val="single"/>
          <w:lang w:val="en-US"/>
        </w:rPr>
        <w:t>w</w:t>
      </w:r>
      <w:r w:rsidR="001E41B1">
        <w:rPr>
          <w:rFonts w:ascii="TimesNewRoman" w:hAnsi="TimesNewRoman" w:cs="TimesNewRoman"/>
          <w:color w:val="0000FF"/>
          <w:szCs w:val="22"/>
          <w:u w:val="single"/>
          <w:lang w:val="en-US"/>
        </w:rPr>
        <w:t>hich</w:t>
      </w:r>
      <w:r w:rsidR="00A362E7">
        <w:rPr>
          <w:rFonts w:ascii="TimesNewRoman" w:hAnsi="TimesNewRoman" w:cs="TimesNewRoman"/>
          <w:color w:val="0000FF"/>
          <w:szCs w:val="22"/>
          <w:u w:val="single"/>
          <w:lang w:val="en-US"/>
        </w:rPr>
        <w:t xml:space="preserve"> </w:t>
      </w:r>
      <w:r w:rsidR="002D5A27">
        <w:rPr>
          <w:rFonts w:ascii="TimesNewRoman" w:hAnsi="TimesNewRoman" w:cs="TimesNewRoman"/>
          <w:color w:val="0000FF"/>
          <w:szCs w:val="22"/>
          <w:u w:val="single"/>
          <w:lang w:val="en-US"/>
        </w:rPr>
        <w:t xml:space="preserve">is used by </w:t>
      </w:r>
      <w:r w:rsidR="00A362E7">
        <w:rPr>
          <w:rFonts w:ascii="TimesNewRoman" w:hAnsi="TimesNewRoman" w:cs="TimesNewRoman"/>
          <w:color w:val="0000FF"/>
          <w:szCs w:val="22"/>
          <w:u w:val="single"/>
          <w:lang w:val="en-US"/>
        </w:rPr>
        <w:t xml:space="preserve">the AP transmitting the FD frame </w:t>
      </w:r>
      <w:r w:rsidR="002D5A27">
        <w:rPr>
          <w:rFonts w:ascii="TimesNewRoman" w:hAnsi="TimesNewRoman" w:cs="TimesNewRoman"/>
          <w:color w:val="0000FF"/>
          <w:szCs w:val="22"/>
          <w:u w:val="single"/>
          <w:lang w:val="en-US"/>
        </w:rPr>
        <w:t>to communicate with</w:t>
      </w:r>
      <w:r w:rsidR="00D56A52">
        <w:rPr>
          <w:rFonts w:ascii="TimesNewRoman" w:hAnsi="TimesNewRoman" w:cs="TimesNewRoman"/>
          <w:color w:val="0000FF"/>
          <w:szCs w:val="22"/>
          <w:u w:val="single"/>
          <w:lang w:val="en-US"/>
        </w:rPr>
        <w:t xml:space="preserve"> FILS STAs</w:t>
      </w:r>
      <w:r w:rsidR="004640FB">
        <w:rPr>
          <w:rFonts w:ascii="TimesNewRoman" w:hAnsi="TimesNewRoman" w:cs="TimesNewRoman"/>
          <w:szCs w:val="22"/>
          <w:lang w:val="en-US"/>
        </w:rPr>
        <w:t xml:space="preserve">. </w:t>
      </w:r>
      <w:r w:rsidR="002D5A27">
        <w:rPr>
          <w:rFonts w:ascii="TimesNewRoman" w:hAnsi="TimesNewRoman" w:cs="TimesNewRoman"/>
          <w:szCs w:val="22"/>
          <w:highlight w:val="cyan"/>
          <w:lang w:val="en-US"/>
        </w:rPr>
        <w:t>[comment #1045</w:t>
      </w:r>
      <w:r w:rsidR="002D5A27" w:rsidRPr="003919B6">
        <w:rPr>
          <w:rFonts w:ascii="TimesNewRoman" w:hAnsi="TimesNewRoman" w:cs="TimesNewRoman"/>
          <w:szCs w:val="22"/>
          <w:highlight w:val="cyan"/>
          <w:lang w:val="en-US"/>
        </w:rPr>
        <w:t>]</w:t>
      </w:r>
    </w:p>
    <w:p w:rsidR="00CE5F7A" w:rsidRDefault="004640FB" w:rsidP="004640FB">
      <w:pPr>
        <w:autoSpaceDE w:val="0"/>
        <w:autoSpaceDN w:val="0"/>
        <w:adjustRightInd w:val="0"/>
        <w:spacing w:before="120" w:after="120"/>
        <w:rPr>
          <w:rFonts w:ascii="TimesNewRoman" w:hAnsi="TimesNewRoman" w:cs="TimesNewRoman"/>
          <w:szCs w:val="22"/>
          <w:lang w:val="en-US"/>
        </w:rPr>
      </w:pPr>
      <w:r>
        <w:rPr>
          <w:rFonts w:ascii="TimesNewRoman" w:hAnsi="TimesNewRoman" w:cs="TimesNewRoman"/>
          <w:color w:val="0000FF"/>
          <w:szCs w:val="22"/>
          <w:u w:val="single"/>
          <w:lang w:val="en-US"/>
        </w:rPr>
        <w:t xml:space="preserve">Depending on the PHY </w:t>
      </w:r>
      <w:r w:rsidR="003F048F">
        <w:rPr>
          <w:rFonts w:ascii="TimesNewRoman" w:hAnsi="TimesNewRoman" w:cs="TimesNewRoman"/>
          <w:color w:val="0000FF"/>
          <w:szCs w:val="22"/>
          <w:u w:val="single"/>
          <w:lang w:val="en-US"/>
        </w:rPr>
        <w:t>Type</w:t>
      </w:r>
      <w:r>
        <w:rPr>
          <w:rFonts w:ascii="TimesNewRoman" w:hAnsi="TimesNewRoman" w:cs="TimesNewRoman"/>
          <w:color w:val="0000FF"/>
          <w:szCs w:val="22"/>
          <w:u w:val="single"/>
          <w:lang w:val="en-US"/>
        </w:rPr>
        <w:t xml:space="preserve"> subfield</w:t>
      </w:r>
      <w:r w:rsidR="00564533">
        <w:rPr>
          <w:rFonts w:ascii="TimesNewRoman" w:hAnsi="TimesNewRoman" w:cs="TimesNewRoman"/>
          <w:color w:val="0000FF"/>
          <w:szCs w:val="22"/>
          <w:u w:val="single"/>
          <w:lang w:val="en-US"/>
        </w:rPr>
        <w:t xml:space="preserve"> value</w:t>
      </w:r>
      <w:r w:rsidR="003F048F">
        <w:rPr>
          <w:rFonts w:ascii="TimesNewRoman" w:hAnsi="TimesNewRoman" w:cs="TimesNewRoman"/>
          <w:color w:val="0000FF"/>
          <w:szCs w:val="22"/>
          <w:u w:val="single"/>
          <w:lang w:val="en-US"/>
        </w:rPr>
        <w:t xml:space="preserve">s specified </w:t>
      </w:r>
      <w:r>
        <w:rPr>
          <w:rFonts w:ascii="TimesNewRoman" w:hAnsi="TimesNewRoman" w:cs="TimesNewRoman"/>
          <w:color w:val="0000FF"/>
          <w:szCs w:val="22"/>
          <w:u w:val="single"/>
          <w:lang w:val="en-US"/>
        </w:rPr>
        <w:t xml:space="preserve">in </w:t>
      </w:r>
      <w:r w:rsidRPr="004640FB">
        <w:rPr>
          <w:rFonts w:ascii="TimesNewRoman" w:hAnsi="TimesNewRoman" w:cs="TimesNewRoman"/>
          <w:color w:val="0000FF"/>
          <w:szCs w:val="22"/>
          <w:u w:val="single"/>
          <w:lang w:val="en-US"/>
        </w:rPr>
        <w:t>Table 8-221i</w:t>
      </w:r>
      <w:r>
        <w:rPr>
          <w:rFonts w:ascii="TimesNewRoman" w:hAnsi="TimesNewRoman" w:cs="TimesNewRoman"/>
          <w:color w:val="0000FF"/>
          <w:szCs w:val="22"/>
          <w:u w:val="single"/>
          <w:lang w:val="en-US"/>
        </w:rPr>
        <w:t>, t</w:t>
      </w:r>
      <w:r w:rsidR="003F048F">
        <w:rPr>
          <w:rFonts w:ascii="TimesNewRoman" w:hAnsi="TimesNewRoman" w:cs="TimesNewRoman"/>
          <w:color w:val="0000FF"/>
          <w:szCs w:val="22"/>
          <w:u w:val="single"/>
          <w:lang w:val="en-US"/>
        </w:rPr>
        <w:t xml:space="preserve">he </w:t>
      </w:r>
      <w:r w:rsidR="00B36E5C">
        <w:rPr>
          <w:rFonts w:ascii="TimesNewRoman" w:hAnsi="TimesNewRoman" w:cs="TimesNewRoman"/>
          <w:color w:val="0000FF"/>
          <w:szCs w:val="22"/>
          <w:u w:val="single"/>
          <w:lang w:val="en-US"/>
        </w:rPr>
        <w:t xml:space="preserve">FILS </w:t>
      </w:r>
      <w:r w:rsidR="003F048F">
        <w:rPr>
          <w:rFonts w:ascii="TimesNewRoman" w:hAnsi="TimesNewRoman" w:cs="TimesNewRoman"/>
          <w:color w:val="0000FF"/>
          <w:szCs w:val="22"/>
          <w:u w:val="single"/>
          <w:lang w:val="en-US"/>
        </w:rPr>
        <w:t>minimum rate is represented as</w:t>
      </w:r>
      <w:r>
        <w:rPr>
          <w:rFonts w:ascii="TimesNewRoman" w:hAnsi="TimesNewRoman" w:cs="TimesNewRoman"/>
          <w:color w:val="0000FF"/>
          <w:szCs w:val="22"/>
          <w:u w:val="single"/>
          <w:lang w:val="en-US"/>
        </w:rPr>
        <w:t xml:space="preserve"> a bit rate value </w:t>
      </w:r>
      <w:r w:rsidR="003F048F">
        <w:rPr>
          <w:rFonts w:ascii="TimesNewRoman" w:hAnsi="TimesNewRoman" w:cs="TimesNewRoman"/>
          <w:color w:val="0000FF"/>
          <w:szCs w:val="22"/>
          <w:u w:val="single"/>
          <w:lang w:val="en-US"/>
        </w:rPr>
        <w:t xml:space="preserve">or </w:t>
      </w:r>
      <w:r w:rsidR="002E6202">
        <w:rPr>
          <w:rFonts w:ascii="TimesNewRoman" w:hAnsi="TimesNewRoman" w:cs="TimesNewRoman"/>
          <w:color w:val="0000FF"/>
          <w:szCs w:val="22"/>
          <w:u w:val="single"/>
          <w:lang w:val="en-US"/>
        </w:rPr>
        <w:t xml:space="preserve">as </w:t>
      </w:r>
      <w:r w:rsidR="003F048F">
        <w:rPr>
          <w:rFonts w:ascii="TimesNewRoman" w:hAnsi="TimesNewRoman" w:cs="TimesNewRoman"/>
          <w:color w:val="0000FF"/>
          <w:szCs w:val="22"/>
          <w:u w:val="single"/>
          <w:lang w:val="en-US"/>
        </w:rPr>
        <w:t>a</w:t>
      </w:r>
      <w:r w:rsidR="007C6C40">
        <w:rPr>
          <w:rFonts w:ascii="TimesNewRoman" w:hAnsi="TimesNewRoman" w:cs="TimesNewRoman"/>
          <w:color w:val="0000FF"/>
          <w:szCs w:val="22"/>
          <w:u w:val="single"/>
          <w:lang w:val="en-US"/>
        </w:rPr>
        <w:t>n</w:t>
      </w:r>
      <w:r w:rsidR="003F048F">
        <w:rPr>
          <w:rFonts w:ascii="TimesNewRoman" w:hAnsi="TimesNewRoman" w:cs="TimesNewRoman"/>
          <w:color w:val="0000FF"/>
          <w:szCs w:val="22"/>
          <w:u w:val="single"/>
          <w:lang w:val="en-US"/>
        </w:rPr>
        <w:t xml:space="preserve"> MCS value</w:t>
      </w:r>
      <w:r w:rsidR="00176627">
        <w:rPr>
          <w:rFonts w:ascii="TimesNewRoman" w:hAnsi="TimesNewRoman" w:cs="TimesNewRoman"/>
          <w:color w:val="0000FF"/>
          <w:szCs w:val="22"/>
          <w:u w:val="single"/>
          <w:lang w:val="en-US"/>
        </w:rPr>
        <w:t xml:space="preserve"> </w:t>
      </w:r>
      <w:r w:rsidR="001061C8">
        <w:rPr>
          <w:rFonts w:ascii="TimesNewRoman" w:hAnsi="TimesNewRoman" w:cs="TimesNewRoman"/>
          <w:color w:val="0000FF"/>
          <w:szCs w:val="22"/>
          <w:u w:val="single"/>
          <w:lang w:val="en-US"/>
        </w:rPr>
        <w:t xml:space="preserve">in </w:t>
      </w:r>
      <w:r w:rsidR="001061C8" w:rsidRPr="003F048F">
        <w:rPr>
          <w:rFonts w:ascii="TimesNewRoman" w:hAnsi="TimesNewRoman" w:cs="TimesNewRoman"/>
          <w:color w:val="0000FF"/>
          <w:szCs w:val="22"/>
          <w:u w:val="single"/>
          <w:lang w:val="en-US"/>
        </w:rPr>
        <w:t>Table 8-221j</w:t>
      </w:r>
      <w:r w:rsidR="003F048F">
        <w:rPr>
          <w:rFonts w:ascii="TimesNewRoman" w:hAnsi="TimesNewRoman" w:cs="TimesNewRoman"/>
          <w:color w:val="0000FF"/>
          <w:szCs w:val="22"/>
          <w:u w:val="single"/>
          <w:lang w:val="en-US"/>
        </w:rPr>
        <w:t>. If a</w:t>
      </w:r>
      <w:r w:rsidR="007C6C40">
        <w:rPr>
          <w:rFonts w:ascii="TimesNewRoman" w:hAnsi="TimesNewRoman" w:cs="TimesNewRoman"/>
          <w:color w:val="0000FF"/>
          <w:szCs w:val="22"/>
          <w:u w:val="single"/>
          <w:lang w:val="en-US"/>
        </w:rPr>
        <w:t>n</w:t>
      </w:r>
      <w:r w:rsidR="003F048F">
        <w:rPr>
          <w:rFonts w:ascii="TimesNewRoman" w:hAnsi="TimesNewRoman" w:cs="TimesNewRoman"/>
          <w:color w:val="0000FF"/>
          <w:szCs w:val="22"/>
          <w:u w:val="single"/>
          <w:lang w:val="en-US"/>
        </w:rPr>
        <w:t xml:space="preserve"> MCS value is provided, then the </w:t>
      </w:r>
      <w:r w:rsidR="00B36E5C">
        <w:rPr>
          <w:rFonts w:ascii="TimesNewRoman" w:hAnsi="TimesNewRoman" w:cs="TimesNewRoman"/>
          <w:color w:val="0000FF"/>
          <w:szCs w:val="22"/>
          <w:u w:val="single"/>
          <w:lang w:val="en-US"/>
        </w:rPr>
        <w:t xml:space="preserve">FILS </w:t>
      </w:r>
      <w:r w:rsidR="003F048F">
        <w:rPr>
          <w:rFonts w:ascii="TimesNewRoman" w:hAnsi="TimesNewRoman" w:cs="TimesNewRoman"/>
          <w:color w:val="0000FF"/>
          <w:szCs w:val="22"/>
          <w:u w:val="single"/>
          <w:lang w:val="en-US"/>
        </w:rPr>
        <w:t xml:space="preserve">Minimum Rate </w:t>
      </w:r>
      <w:r w:rsidR="00707123">
        <w:rPr>
          <w:rFonts w:ascii="TimesNewRoman" w:hAnsi="TimesNewRoman" w:cs="TimesNewRoman"/>
          <w:color w:val="0000FF"/>
          <w:szCs w:val="22"/>
          <w:u w:val="single"/>
          <w:lang w:val="en-US"/>
        </w:rPr>
        <w:t>can be</w:t>
      </w:r>
      <w:r w:rsidR="00E864FA">
        <w:rPr>
          <w:rFonts w:ascii="TimesNewRoman" w:hAnsi="TimesNewRoman" w:cs="TimesNewRoman"/>
          <w:color w:val="0000FF"/>
          <w:szCs w:val="22"/>
          <w:u w:val="single"/>
          <w:lang w:val="en-US"/>
        </w:rPr>
        <w:t xml:space="preserve"> derived </w:t>
      </w:r>
      <w:r w:rsidR="00CC6156">
        <w:rPr>
          <w:rFonts w:ascii="TimesNewRoman" w:hAnsi="TimesNewRoman" w:cs="TimesNewRoman"/>
          <w:color w:val="0000FF"/>
          <w:szCs w:val="22"/>
          <w:u w:val="single"/>
          <w:lang w:val="en-US"/>
        </w:rPr>
        <w:t>from</w:t>
      </w:r>
      <w:r w:rsidR="00E864FA">
        <w:rPr>
          <w:rFonts w:ascii="TimesNewRoman" w:hAnsi="TimesNewRoman" w:cs="TimesNewRoman"/>
          <w:color w:val="0000FF"/>
          <w:szCs w:val="22"/>
          <w:u w:val="single"/>
          <w:lang w:val="en-US"/>
        </w:rPr>
        <w:t xml:space="preserve"> the MCS value</w:t>
      </w:r>
      <w:r w:rsidR="003F048F">
        <w:rPr>
          <w:rFonts w:ascii="TimesNewRoman" w:hAnsi="TimesNewRoman" w:cs="TimesNewRoman"/>
          <w:color w:val="0000FF"/>
          <w:szCs w:val="22"/>
          <w:u w:val="single"/>
          <w:lang w:val="en-US"/>
        </w:rPr>
        <w:t xml:space="preserve"> </w:t>
      </w:r>
      <w:r w:rsidR="00E864FA">
        <w:rPr>
          <w:rFonts w:ascii="TimesNewRoman" w:hAnsi="TimesNewRoman" w:cs="TimesNewRoman"/>
          <w:color w:val="0000FF"/>
          <w:szCs w:val="22"/>
          <w:u w:val="single"/>
          <w:lang w:val="en-US"/>
        </w:rPr>
        <w:t xml:space="preserve">and the PHY Type </w:t>
      </w:r>
      <w:r w:rsidR="00707123">
        <w:rPr>
          <w:rFonts w:ascii="TimesNewRoman" w:hAnsi="TimesNewRoman" w:cs="TimesNewRoman"/>
          <w:color w:val="0000FF"/>
          <w:szCs w:val="22"/>
          <w:u w:val="single"/>
          <w:lang w:val="en-US"/>
        </w:rPr>
        <w:t xml:space="preserve">in the FD </w:t>
      </w:r>
      <w:r w:rsidR="006333FE" w:rsidRPr="006333FE">
        <w:rPr>
          <w:rFonts w:ascii="TimesNewRoman" w:hAnsi="TimesNewRoman" w:cs="TimesNewRoman"/>
          <w:color w:val="0000FF"/>
          <w:szCs w:val="22"/>
          <w:u w:val="single"/>
          <w:lang w:val="en-US"/>
        </w:rPr>
        <w:t>Capability field</w:t>
      </w:r>
      <w:r w:rsidR="003F048F">
        <w:rPr>
          <w:rFonts w:ascii="TimesNewRoman" w:hAnsi="TimesNewRoman" w:cs="TimesNewRoman"/>
          <w:color w:val="0000FF"/>
          <w:szCs w:val="22"/>
          <w:u w:val="single"/>
          <w:lang w:val="en-US"/>
        </w:rPr>
        <w:t xml:space="preserve">. </w:t>
      </w:r>
      <w:r w:rsidR="003919B6" w:rsidRPr="003919B6">
        <w:rPr>
          <w:rFonts w:ascii="TimesNewRoman" w:hAnsi="TimesNewRoman" w:cs="TimesNewRoman"/>
          <w:szCs w:val="22"/>
          <w:highlight w:val="cyan"/>
          <w:lang w:val="en-US"/>
        </w:rPr>
        <w:t>[comment #1326</w:t>
      </w:r>
      <w:r w:rsidR="00B36E5C">
        <w:rPr>
          <w:rFonts w:ascii="TimesNewRoman" w:hAnsi="TimesNewRoman" w:cs="TimesNewRoman"/>
          <w:szCs w:val="22"/>
          <w:highlight w:val="cyan"/>
          <w:lang w:val="en-US"/>
        </w:rPr>
        <w:t>, #1045</w:t>
      </w:r>
      <w:r w:rsidR="003919B6" w:rsidRPr="003919B6">
        <w:rPr>
          <w:rFonts w:ascii="TimesNewRoman" w:hAnsi="TimesNewRoman" w:cs="TimesNewRoman"/>
          <w:szCs w:val="22"/>
          <w:highlight w:val="cyan"/>
          <w:lang w:val="en-US"/>
        </w:rPr>
        <w:t>]</w:t>
      </w:r>
    </w:p>
    <w:p w:rsidR="009C1427" w:rsidRPr="00F719F3" w:rsidRDefault="009C1427" w:rsidP="009C1427">
      <w:pPr>
        <w:autoSpaceDE w:val="0"/>
        <w:autoSpaceDN w:val="0"/>
        <w:adjustRightInd w:val="0"/>
        <w:spacing w:before="120" w:after="120"/>
        <w:jc w:val="both"/>
        <w:rPr>
          <w:i/>
          <w:highlight w:val="yellow"/>
        </w:rPr>
      </w:pPr>
    </w:p>
    <w:p w:rsidR="009C1427" w:rsidRPr="009C1427" w:rsidRDefault="009C1427" w:rsidP="009C1427">
      <w:pPr>
        <w:autoSpaceDE w:val="0"/>
        <w:autoSpaceDN w:val="0"/>
        <w:adjustRightInd w:val="0"/>
        <w:spacing w:before="120" w:after="120"/>
        <w:jc w:val="both"/>
        <w:rPr>
          <w:i/>
          <w:highlight w:val="yellow"/>
        </w:rPr>
      </w:pPr>
      <w:r>
        <w:rPr>
          <w:i/>
          <w:highlight w:val="yellow"/>
        </w:rPr>
        <w:t xml:space="preserve">Instructions to Editor: </w:t>
      </w:r>
      <w:r w:rsidR="00F719F3">
        <w:rPr>
          <w:i/>
          <w:highlight w:val="yellow"/>
        </w:rPr>
        <w:t xml:space="preserve">replace </w:t>
      </w:r>
      <w:r w:rsidRPr="00F719F3">
        <w:rPr>
          <w:i/>
          <w:highlight w:val="yellow"/>
        </w:rPr>
        <w:t xml:space="preserve">Table </w:t>
      </w:r>
      <w:r w:rsidR="00F719F3">
        <w:rPr>
          <w:i/>
          <w:highlight w:val="yellow"/>
        </w:rPr>
        <w:t xml:space="preserve">8-221j </w:t>
      </w:r>
      <w:r>
        <w:rPr>
          <w:i/>
          <w:highlight w:val="yellow"/>
        </w:rPr>
        <w:t xml:space="preserve">in line </w:t>
      </w:r>
      <w:r w:rsidR="00F719F3">
        <w:rPr>
          <w:i/>
          <w:highlight w:val="yellow"/>
        </w:rPr>
        <w:t>38</w:t>
      </w:r>
      <w:r>
        <w:rPr>
          <w:i/>
          <w:highlight w:val="yellow"/>
        </w:rPr>
        <w:t xml:space="preserve"> on page 54</w:t>
      </w:r>
      <w:r w:rsidR="00F719F3">
        <w:rPr>
          <w:i/>
          <w:highlight w:val="yellow"/>
        </w:rPr>
        <w:t xml:space="preserve"> by the following table</w:t>
      </w:r>
      <w:r w:rsidRPr="009C1427">
        <w:rPr>
          <w:i/>
          <w:highlight w:val="yellow"/>
        </w:rPr>
        <w:t>.</w:t>
      </w:r>
    </w:p>
    <w:p w:rsidR="00F719F3" w:rsidRDefault="00F719F3" w:rsidP="009C1427">
      <w:pPr>
        <w:autoSpaceDE w:val="0"/>
        <w:autoSpaceDN w:val="0"/>
        <w:adjustRightInd w:val="0"/>
        <w:jc w:val="center"/>
        <w:rPr>
          <w:rFonts w:ascii="Arial,Bold" w:hAnsi="Arial,Bold" w:cs="Arial,Bold"/>
          <w:b/>
          <w:bCs/>
          <w:sz w:val="20"/>
        </w:rPr>
      </w:pPr>
    </w:p>
    <w:p w:rsidR="00F719F3" w:rsidRDefault="00F719F3" w:rsidP="00F719F3">
      <w:pPr>
        <w:autoSpaceDE w:val="0"/>
        <w:autoSpaceDN w:val="0"/>
        <w:adjustRightInd w:val="0"/>
        <w:jc w:val="center"/>
        <w:rPr>
          <w:color w:val="000000" w:themeColor="text1"/>
          <w:sz w:val="24"/>
          <w:szCs w:val="24"/>
          <w:lang w:val="en-US"/>
        </w:rPr>
      </w:pPr>
      <w:r>
        <w:rPr>
          <w:rFonts w:ascii="Arial,Bold" w:hAnsi="Arial,Bold" w:cs="Arial,Bold"/>
          <w:b/>
          <w:bCs/>
          <w:sz w:val="20"/>
          <w:lang w:val="en-US"/>
        </w:rPr>
        <w:t>Table 8-221j —</w:t>
      </w:r>
      <w:r w:rsidR="00F87878">
        <w:rPr>
          <w:rFonts w:ascii="Arial,Bold" w:hAnsi="Arial,Bold" w:cs="Arial,Bold"/>
          <w:b/>
          <w:bCs/>
          <w:strike/>
          <w:color w:val="FF0000"/>
          <w:sz w:val="20"/>
          <w:lang w:val="en-US"/>
        </w:rPr>
        <w:t xml:space="preserve"> </w:t>
      </w:r>
      <w:r w:rsidR="0097752F">
        <w:rPr>
          <w:rFonts w:ascii="Arial,Bold" w:hAnsi="Arial,Bold" w:cs="Arial,Bold"/>
          <w:b/>
          <w:bCs/>
          <w:sz w:val="20"/>
          <w:lang w:val="en-US"/>
        </w:rPr>
        <w:t xml:space="preserve">FILS </w:t>
      </w:r>
      <w:r>
        <w:rPr>
          <w:rFonts w:ascii="Arial,Bold" w:hAnsi="Arial,Bold" w:cs="Arial,Bold"/>
          <w:b/>
          <w:bCs/>
          <w:sz w:val="20"/>
          <w:lang w:val="en-US"/>
        </w:rPr>
        <w:t>Minimum Rate subfield</w:t>
      </w:r>
      <w:r w:rsidR="0013760C">
        <w:rPr>
          <w:rFonts w:ascii="Arial,Bold" w:hAnsi="Arial,Bold" w:cs="Arial,Bold"/>
          <w:b/>
          <w:bCs/>
          <w:sz w:val="20"/>
          <w:lang w:val="en-US"/>
        </w:rPr>
        <w:t xml:space="preserve">  </w:t>
      </w:r>
      <w:r w:rsidR="0013760C" w:rsidRPr="003919B6">
        <w:rPr>
          <w:rFonts w:ascii="TimesNewRoman" w:hAnsi="TimesNewRoman" w:cs="TimesNewRoman"/>
          <w:szCs w:val="22"/>
          <w:highlight w:val="cyan"/>
          <w:lang w:val="en-US"/>
        </w:rPr>
        <w:t>[comment #1326</w:t>
      </w:r>
      <w:r w:rsidR="00E827D3">
        <w:rPr>
          <w:rFonts w:ascii="TimesNewRoman" w:hAnsi="TimesNewRoman" w:cs="TimesNewRoman"/>
          <w:szCs w:val="22"/>
          <w:highlight w:val="cyan"/>
          <w:lang w:val="en-US"/>
        </w:rPr>
        <w:t>, #1045</w:t>
      </w:r>
      <w:r w:rsidR="0013760C" w:rsidRPr="003919B6">
        <w:rPr>
          <w:rFonts w:ascii="TimesNewRoman" w:hAnsi="TimesNewRoman" w:cs="TimesNewRoman"/>
          <w:szCs w:val="22"/>
          <w:highlight w:val="cyan"/>
          <w:lang w:val="en-US"/>
        </w:rPr>
        <w:t>]</w:t>
      </w:r>
    </w:p>
    <w:tbl>
      <w:tblPr>
        <w:tblStyle w:val="TableGrid"/>
        <w:tblW w:w="0" w:type="auto"/>
        <w:jc w:val="center"/>
        <w:tblInd w:w="1998" w:type="dxa"/>
        <w:tblLook w:val="04A0"/>
      </w:tblPr>
      <w:tblGrid>
        <w:gridCol w:w="1703"/>
        <w:gridCol w:w="1663"/>
        <w:gridCol w:w="1404"/>
        <w:gridCol w:w="1404"/>
        <w:gridCol w:w="1404"/>
      </w:tblGrid>
      <w:tr w:rsidR="00134832" w:rsidTr="00826BA7">
        <w:trPr>
          <w:jc w:val="center"/>
        </w:trPr>
        <w:tc>
          <w:tcPr>
            <w:tcW w:w="1703" w:type="dxa"/>
            <w:vMerge w:val="restart"/>
          </w:tcPr>
          <w:p w:rsidR="00134832" w:rsidRPr="00134832" w:rsidRDefault="00E827D3"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 xml:space="preserve">FILS </w:t>
            </w:r>
            <w:r w:rsidR="00134832">
              <w:rPr>
                <w:rFonts w:ascii="TimesNewRoman,Bold" w:hAnsi="TimesNewRoman,Bold" w:cs="TimesNewRoman,Bold"/>
                <w:b/>
                <w:bCs/>
                <w:sz w:val="18"/>
                <w:szCs w:val="18"/>
                <w:lang w:val="en-US"/>
              </w:rPr>
              <w:t>Minimum Rate subfield (3 bits)</w:t>
            </w:r>
          </w:p>
        </w:tc>
        <w:tc>
          <w:tcPr>
            <w:tcW w:w="5875" w:type="dxa"/>
            <w:gridSpan w:val="4"/>
            <w:vAlign w:val="center"/>
          </w:tcPr>
          <w:p w:rsidR="00134832" w:rsidRDefault="0097752F"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 xml:space="preserve">FILS </w:t>
            </w:r>
            <w:r w:rsidR="00134832">
              <w:rPr>
                <w:rFonts w:ascii="TimesNewRoman,Bold" w:hAnsi="TimesNewRoman,Bold" w:cs="TimesNewRoman,Bold"/>
                <w:b/>
                <w:bCs/>
                <w:sz w:val="18"/>
                <w:szCs w:val="18"/>
                <w:lang w:val="en-US"/>
              </w:rPr>
              <w:t>Minimum Rate</w:t>
            </w:r>
            <w:r w:rsidR="006A1EE1">
              <w:rPr>
                <w:rFonts w:ascii="TimesNewRoman,Bold" w:hAnsi="TimesNewRoman,Bold" w:cs="TimesNewRoman,Bold"/>
                <w:b/>
                <w:bCs/>
                <w:sz w:val="18"/>
                <w:szCs w:val="18"/>
                <w:lang w:val="en-US"/>
              </w:rPr>
              <w:t xml:space="preserve"> / MCS</w:t>
            </w:r>
          </w:p>
        </w:tc>
      </w:tr>
      <w:tr w:rsidR="00F719F3" w:rsidTr="00F719F3">
        <w:trPr>
          <w:jc w:val="center"/>
        </w:trPr>
        <w:tc>
          <w:tcPr>
            <w:tcW w:w="1703" w:type="dxa"/>
            <w:vMerge/>
          </w:tcPr>
          <w:p w:rsidR="00F719F3" w:rsidRDefault="00F719F3" w:rsidP="006A1EE1">
            <w:pPr>
              <w:autoSpaceDE w:val="0"/>
              <w:autoSpaceDN w:val="0"/>
              <w:adjustRightInd w:val="0"/>
              <w:spacing w:before="80" w:after="80"/>
              <w:rPr>
                <w:rFonts w:ascii="TimesNewRoman,Bold" w:hAnsi="TimesNewRoman,Bold" w:cs="TimesNewRoman,Bold"/>
                <w:b/>
                <w:bCs/>
                <w:sz w:val="18"/>
                <w:szCs w:val="18"/>
                <w:lang w:val="en-US"/>
              </w:rPr>
            </w:pPr>
          </w:p>
        </w:tc>
        <w:tc>
          <w:tcPr>
            <w:tcW w:w="1663" w:type="dxa"/>
            <w:vAlign w:val="center"/>
          </w:tcPr>
          <w:p w:rsidR="00F719F3"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If PHY type=0 (HR/DSSS)</w:t>
            </w:r>
          </w:p>
        </w:tc>
        <w:tc>
          <w:tcPr>
            <w:tcW w:w="1404" w:type="dxa"/>
          </w:tcPr>
          <w:p w:rsidR="00F719F3"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If PHY type=1 (ERP-OFDM)</w:t>
            </w:r>
          </w:p>
        </w:tc>
        <w:tc>
          <w:tcPr>
            <w:tcW w:w="1404" w:type="dxa"/>
          </w:tcPr>
          <w:p w:rsidR="00F719F3"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If PHY type=2 (HT)</w:t>
            </w:r>
          </w:p>
        </w:tc>
        <w:tc>
          <w:tcPr>
            <w:tcW w:w="1404" w:type="dxa"/>
          </w:tcPr>
          <w:p w:rsidR="00F719F3" w:rsidRDefault="00134832" w:rsidP="006A1EE1">
            <w:pPr>
              <w:autoSpaceDE w:val="0"/>
              <w:autoSpaceDN w:val="0"/>
              <w:adjustRightInd w:val="0"/>
              <w:spacing w:before="80" w:after="8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If PHY type=3 (VHT)</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0</w:t>
            </w:r>
          </w:p>
        </w:tc>
        <w:tc>
          <w:tcPr>
            <w:tcW w:w="1663" w:type="dxa"/>
          </w:tcPr>
          <w:p w:rsidR="00CC7F1F" w:rsidRPr="006A1EE1" w:rsidRDefault="00582B29"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 Mbps</w:t>
            </w:r>
          </w:p>
        </w:tc>
        <w:tc>
          <w:tcPr>
            <w:tcW w:w="1404"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6</w:t>
            </w:r>
            <w:r w:rsidR="00CC7F1F" w:rsidRPr="006A1EE1">
              <w:rPr>
                <w:color w:val="000000" w:themeColor="text1"/>
                <w:sz w:val="20"/>
                <w:lang w:val="en-US"/>
              </w:rPr>
              <w:t xml:space="preserve">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MCS=0</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MCS=0</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w:t>
            </w:r>
          </w:p>
        </w:tc>
        <w:tc>
          <w:tcPr>
            <w:tcW w:w="1663" w:type="dxa"/>
          </w:tcPr>
          <w:p w:rsidR="00CC7F1F" w:rsidRPr="006A1EE1" w:rsidRDefault="00582B29"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 xml:space="preserve">2 </w:t>
            </w:r>
            <w:r w:rsidR="006A1EE1" w:rsidRPr="006A1EE1">
              <w:rPr>
                <w:color w:val="000000" w:themeColor="text1"/>
                <w:sz w:val="20"/>
                <w:lang w:val="en-US"/>
              </w:rPr>
              <w:t>Mbps</w:t>
            </w:r>
          </w:p>
        </w:tc>
        <w:tc>
          <w:tcPr>
            <w:tcW w:w="1404"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9</w:t>
            </w:r>
            <w:r w:rsidR="00CC7F1F" w:rsidRPr="006A1EE1">
              <w:rPr>
                <w:color w:val="000000" w:themeColor="text1"/>
                <w:sz w:val="20"/>
                <w:lang w:val="en-US"/>
              </w:rPr>
              <w:t xml:space="preserve">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MCS=1</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MCS=1</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2</w:t>
            </w:r>
          </w:p>
        </w:tc>
        <w:tc>
          <w:tcPr>
            <w:tcW w:w="1663"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5.5 Mbps</w:t>
            </w:r>
          </w:p>
        </w:tc>
        <w:tc>
          <w:tcPr>
            <w:tcW w:w="1404"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12</w:t>
            </w:r>
            <w:r w:rsidR="00CC7F1F" w:rsidRPr="006A1EE1">
              <w:rPr>
                <w:color w:val="000000" w:themeColor="text1"/>
                <w:sz w:val="20"/>
                <w:lang w:val="en-US"/>
              </w:rPr>
              <w:t xml:space="preserve">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MCS=2</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MCS=2</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3</w:t>
            </w:r>
          </w:p>
        </w:tc>
        <w:tc>
          <w:tcPr>
            <w:tcW w:w="1663"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11 Mbps</w:t>
            </w:r>
          </w:p>
        </w:tc>
        <w:tc>
          <w:tcPr>
            <w:tcW w:w="1404"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18</w:t>
            </w:r>
            <w:r w:rsidR="00CC7F1F" w:rsidRPr="006A1EE1">
              <w:rPr>
                <w:color w:val="000000" w:themeColor="text1"/>
                <w:sz w:val="20"/>
                <w:lang w:val="en-US"/>
              </w:rPr>
              <w:t xml:space="preserve">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MCS=3</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MCS=3</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 xml:space="preserve">4 </w:t>
            </w:r>
          </w:p>
        </w:tc>
        <w:tc>
          <w:tcPr>
            <w:tcW w:w="1663" w:type="dxa"/>
          </w:tcPr>
          <w:p w:rsidR="00CC7F1F" w:rsidRPr="006A1EE1" w:rsidRDefault="006A1EE1"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Reserved</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24 Mbps</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MCS=4</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MCS=4</w:t>
            </w:r>
          </w:p>
        </w:tc>
      </w:tr>
      <w:tr w:rsidR="00CC7F1F" w:rsidTr="00F719F3">
        <w:trPr>
          <w:jc w:val="center"/>
        </w:trPr>
        <w:tc>
          <w:tcPr>
            <w:tcW w:w="170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 xml:space="preserve">5 – 7 </w:t>
            </w:r>
          </w:p>
        </w:tc>
        <w:tc>
          <w:tcPr>
            <w:tcW w:w="1663"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 xml:space="preserve">Reserved </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Reserved</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Reserved</w:t>
            </w:r>
          </w:p>
        </w:tc>
        <w:tc>
          <w:tcPr>
            <w:tcW w:w="1404" w:type="dxa"/>
          </w:tcPr>
          <w:p w:rsidR="00CC7F1F" w:rsidRPr="006A1EE1" w:rsidRDefault="00CC7F1F" w:rsidP="006A1EE1">
            <w:pPr>
              <w:autoSpaceDE w:val="0"/>
              <w:autoSpaceDN w:val="0"/>
              <w:adjustRightInd w:val="0"/>
              <w:spacing w:before="80" w:after="80"/>
              <w:jc w:val="center"/>
              <w:rPr>
                <w:color w:val="000000" w:themeColor="text1"/>
                <w:sz w:val="20"/>
                <w:lang w:val="en-US"/>
              </w:rPr>
            </w:pPr>
            <w:r w:rsidRPr="006A1EE1">
              <w:rPr>
                <w:color w:val="000000" w:themeColor="text1"/>
                <w:sz w:val="20"/>
                <w:lang w:val="en-US"/>
              </w:rPr>
              <w:t>Reserved</w:t>
            </w:r>
          </w:p>
        </w:tc>
      </w:tr>
    </w:tbl>
    <w:p w:rsidR="00F719F3" w:rsidRDefault="00F719F3" w:rsidP="00F719F3">
      <w:pPr>
        <w:autoSpaceDE w:val="0"/>
        <w:autoSpaceDN w:val="0"/>
        <w:adjustRightInd w:val="0"/>
        <w:jc w:val="center"/>
        <w:rPr>
          <w:color w:val="000000" w:themeColor="text1"/>
          <w:sz w:val="24"/>
          <w:szCs w:val="24"/>
          <w:lang w:val="en-US"/>
        </w:rPr>
      </w:pPr>
    </w:p>
    <w:p w:rsidR="009E73FD" w:rsidRDefault="009E73FD" w:rsidP="009E73FD">
      <w:pPr>
        <w:autoSpaceDE w:val="0"/>
        <w:autoSpaceDN w:val="0"/>
        <w:adjustRightInd w:val="0"/>
        <w:rPr>
          <w:color w:val="000000" w:themeColor="text1"/>
          <w:sz w:val="24"/>
          <w:szCs w:val="24"/>
          <w:lang w:val="en-US"/>
        </w:rPr>
      </w:pPr>
    </w:p>
    <w:p w:rsidR="009E73FD" w:rsidRPr="009620F4" w:rsidRDefault="005F3A57" w:rsidP="009E73FD">
      <w:pPr>
        <w:autoSpaceDE w:val="0"/>
        <w:autoSpaceDN w:val="0"/>
        <w:adjustRightInd w:val="0"/>
        <w:spacing w:before="120" w:after="120"/>
        <w:jc w:val="both"/>
        <w:rPr>
          <w:i/>
        </w:rPr>
      </w:pPr>
      <w:r>
        <w:rPr>
          <w:i/>
        </w:rPr>
        <w:t>The following is a revised propose to resolve CC8 Comment 1325, where the original proposal was in Contribution 13/0575r2:</w:t>
      </w:r>
    </w:p>
    <w:p w:rsidR="009E73FD" w:rsidRPr="009C1427" w:rsidRDefault="009E73FD" w:rsidP="009E73FD">
      <w:pPr>
        <w:autoSpaceDE w:val="0"/>
        <w:autoSpaceDN w:val="0"/>
        <w:adjustRightInd w:val="0"/>
        <w:spacing w:before="120" w:after="120"/>
        <w:jc w:val="both"/>
        <w:rPr>
          <w:i/>
          <w:highlight w:val="yellow"/>
        </w:rPr>
      </w:pPr>
      <w:r>
        <w:rPr>
          <w:i/>
          <w:highlight w:val="yellow"/>
        </w:rPr>
        <w:t>Instructions to Editor: make the following change</w:t>
      </w:r>
      <w:r w:rsidRPr="009C1427">
        <w:rPr>
          <w:i/>
          <w:highlight w:val="yellow"/>
        </w:rPr>
        <w:t>s in PHY Type descriptions in Table 8-221i</w:t>
      </w:r>
      <w:r>
        <w:rPr>
          <w:i/>
          <w:highlight w:val="yellow"/>
        </w:rPr>
        <w:t xml:space="preserve"> in line 16 on page 54</w:t>
      </w:r>
      <w:r w:rsidRPr="009C1427">
        <w:rPr>
          <w:i/>
          <w:highlight w:val="yellow"/>
        </w:rPr>
        <w:t>.</w:t>
      </w:r>
    </w:p>
    <w:p w:rsidR="009E73FD" w:rsidRDefault="009E73FD" w:rsidP="009E73FD">
      <w:pPr>
        <w:autoSpaceDE w:val="0"/>
        <w:autoSpaceDN w:val="0"/>
        <w:adjustRightInd w:val="0"/>
        <w:jc w:val="center"/>
        <w:rPr>
          <w:color w:val="000000" w:themeColor="text1"/>
          <w:sz w:val="24"/>
          <w:szCs w:val="24"/>
          <w:lang w:val="en-US"/>
        </w:rPr>
      </w:pPr>
      <w:r>
        <w:rPr>
          <w:rFonts w:ascii="Arial,Bold" w:hAnsi="Arial,Bold" w:cs="Arial,Bold"/>
          <w:b/>
          <w:bCs/>
          <w:sz w:val="20"/>
          <w:lang w:val="en-US"/>
        </w:rPr>
        <w:t>Table 8-221i — PHY Type subfield</w:t>
      </w:r>
      <w:r w:rsidR="003919B6">
        <w:rPr>
          <w:rFonts w:ascii="Arial,Bold" w:hAnsi="Arial,Bold" w:cs="Arial,Bold"/>
          <w:b/>
          <w:bCs/>
          <w:sz w:val="20"/>
          <w:lang w:val="en-US"/>
        </w:rPr>
        <w:t xml:space="preserve"> </w:t>
      </w:r>
      <w:r w:rsidR="003919B6" w:rsidRPr="00F82373">
        <w:rPr>
          <w:rFonts w:ascii="Arial,Bold" w:hAnsi="Arial,Bold" w:cs="Arial,Bold"/>
          <w:bCs/>
          <w:sz w:val="20"/>
          <w:highlight w:val="cyan"/>
          <w:lang w:val="en-US"/>
        </w:rPr>
        <w:t>[comment 1325]</w:t>
      </w:r>
    </w:p>
    <w:tbl>
      <w:tblPr>
        <w:tblStyle w:val="TableGrid"/>
        <w:tblW w:w="7830" w:type="dxa"/>
        <w:jc w:val="center"/>
        <w:tblInd w:w="1998" w:type="dxa"/>
        <w:tblLook w:val="04A0"/>
      </w:tblPr>
      <w:tblGrid>
        <w:gridCol w:w="1755"/>
        <w:gridCol w:w="6075"/>
      </w:tblGrid>
      <w:tr w:rsidR="009E73FD" w:rsidTr="005F3A57">
        <w:trPr>
          <w:jc w:val="center"/>
        </w:trPr>
        <w:tc>
          <w:tcPr>
            <w:tcW w:w="1755" w:type="dxa"/>
          </w:tcPr>
          <w:p w:rsidR="009E73FD" w:rsidRDefault="009E73FD" w:rsidP="00D15AF3">
            <w:pPr>
              <w:autoSpaceDE w:val="0"/>
              <w:autoSpaceDN w:val="0"/>
              <w:adjustRightInd w:val="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PHY Type subfield</w:t>
            </w:r>
          </w:p>
          <w:p w:rsidR="009E73FD" w:rsidRDefault="009E73FD" w:rsidP="00D15AF3">
            <w:pPr>
              <w:tabs>
                <w:tab w:val="left" w:pos="922"/>
              </w:tabs>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(3 bits)</w:t>
            </w:r>
          </w:p>
        </w:tc>
        <w:tc>
          <w:tcPr>
            <w:tcW w:w="6075" w:type="dxa"/>
            <w:vAlign w:val="center"/>
          </w:tcPr>
          <w:p w:rsidR="009E73FD" w:rsidRDefault="009E73FD" w:rsidP="00D15AF3">
            <w:pPr>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PHY Type</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t>0</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9C1427">
              <w:rPr>
                <w:strike/>
                <w:color w:val="FF0000"/>
                <w:sz w:val="24"/>
                <w:szCs w:val="24"/>
                <w:lang w:val="en-US"/>
              </w:rPr>
              <w:t>DSSS/HR (11b)</w:t>
            </w:r>
            <w:r w:rsidRPr="009C1427">
              <w:rPr>
                <w:color w:val="0000FF"/>
                <w:sz w:val="24"/>
                <w:szCs w:val="24"/>
                <w:u w:val="single"/>
                <w:lang w:val="en-US"/>
              </w:rPr>
              <w:t>HR/DSSS (Clause 17)</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t>1</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DA1AEC">
              <w:rPr>
                <w:strike/>
                <w:color w:val="FF0000"/>
                <w:sz w:val="24"/>
                <w:szCs w:val="24"/>
                <w:lang w:val="en-US"/>
              </w:rPr>
              <w:t>OFDM/ERP (11a/g)</w:t>
            </w:r>
            <w:r w:rsidRPr="00DA1AEC">
              <w:rPr>
                <w:color w:val="0000FF"/>
                <w:sz w:val="24"/>
                <w:szCs w:val="24"/>
                <w:u w:val="single"/>
                <w:lang w:val="en-US"/>
              </w:rPr>
              <w:t>ERP-OFDM (</w:t>
            </w:r>
            <w:r w:rsidR="005F3A57">
              <w:rPr>
                <w:color w:val="0000FF"/>
                <w:sz w:val="24"/>
                <w:szCs w:val="24"/>
                <w:u w:val="single"/>
                <w:lang w:val="en-US"/>
              </w:rPr>
              <w:t>Clause 18 &amp;</w:t>
            </w:r>
            <w:r w:rsidRPr="00DA1AEC">
              <w:rPr>
                <w:color w:val="0000FF"/>
                <w:sz w:val="24"/>
                <w:szCs w:val="24"/>
                <w:u w:val="single"/>
                <w:lang w:val="en-US"/>
              </w:rPr>
              <w:t>Clause 19)</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lastRenderedPageBreak/>
              <w:t>2</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HT </w:t>
            </w:r>
            <w:r w:rsidRPr="00DA1AEC">
              <w:rPr>
                <w:strike/>
                <w:color w:val="FF0000"/>
                <w:sz w:val="24"/>
                <w:szCs w:val="24"/>
                <w:lang w:val="en-US"/>
              </w:rPr>
              <w:t>(11n)</w:t>
            </w:r>
            <w:r w:rsidRPr="00DA1AEC">
              <w:rPr>
                <w:color w:val="0000FF"/>
                <w:sz w:val="24"/>
                <w:szCs w:val="24"/>
                <w:u w:val="single"/>
                <w:lang w:val="en-US"/>
              </w:rPr>
              <w:t>(Clause 20)</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t>3</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VHT </w:t>
            </w:r>
            <w:r w:rsidRPr="00415186">
              <w:rPr>
                <w:strike/>
                <w:color w:val="FF0000"/>
                <w:sz w:val="24"/>
                <w:szCs w:val="24"/>
                <w:lang w:val="en-US"/>
              </w:rPr>
              <w:t>(11ac)</w:t>
            </w:r>
            <w:r w:rsidRPr="00415186">
              <w:rPr>
                <w:color w:val="0000FF"/>
                <w:sz w:val="24"/>
                <w:szCs w:val="24"/>
                <w:u w:val="single"/>
                <w:lang w:val="en-US"/>
              </w:rPr>
              <w:t>(Clause 22)</w:t>
            </w:r>
          </w:p>
        </w:tc>
      </w:tr>
      <w:tr w:rsidR="009E73FD" w:rsidTr="005F3A57">
        <w:trPr>
          <w:jc w:val="center"/>
        </w:trPr>
        <w:tc>
          <w:tcPr>
            <w:tcW w:w="1755" w:type="dxa"/>
          </w:tcPr>
          <w:p w:rsidR="009E73FD" w:rsidRDefault="009E73FD" w:rsidP="00D15AF3">
            <w:pPr>
              <w:autoSpaceDE w:val="0"/>
              <w:autoSpaceDN w:val="0"/>
              <w:adjustRightInd w:val="0"/>
              <w:jc w:val="center"/>
              <w:rPr>
                <w:color w:val="000000" w:themeColor="text1"/>
                <w:sz w:val="24"/>
                <w:szCs w:val="24"/>
                <w:lang w:val="en-US"/>
              </w:rPr>
            </w:pPr>
            <w:r>
              <w:rPr>
                <w:color w:val="000000" w:themeColor="text1"/>
                <w:sz w:val="24"/>
                <w:szCs w:val="24"/>
                <w:lang w:val="en-US"/>
              </w:rPr>
              <w:t xml:space="preserve">4 – 7 </w:t>
            </w:r>
          </w:p>
        </w:tc>
        <w:tc>
          <w:tcPr>
            <w:tcW w:w="6075" w:type="dxa"/>
          </w:tcPr>
          <w:p w:rsidR="009E73FD" w:rsidRDefault="009E73FD" w:rsidP="00D15AF3">
            <w:pPr>
              <w:autoSpaceDE w:val="0"/>
              <w:autoSpaceDN w:val="0"/>
              <w:adjustRightInd w:val="0"/>
              <w:jc w:val="center"/>
              <w:rPr>
                <w:color w:val="000000" w:themeColor="text1"/>
                <w:sz w:val="24"/>
                <w:szCs w:val="24"/>
                <w:lang w:val="en-US"/>
              </w:rPr>
            </w:pPr>
            <w:r w:rsidRPr="009C1427">
              <w:rPr>
                <w:color w:val="000000" w:themeColor="text1"/>
                <w:sz w:val="24"/>
                <w:szCs w:val="24"/>
                <w:lang w:val="en-US"/>
              </w:rPr>
              <w:t>Reserved</w:t>
            </w:r>
          </w:p>
        </w:tc>
      </w:tr>
    </w:tbl>
    <w:p w:rsidR="009E73FD" w:rsidRDefault="009E73FD" w:rsidP="009E73FD">
      <w:pPr>
        <w:autoSpaceDE w:val="0"/>
        <w:autoSpaceDN w:val="0"/>
        <w:adjustRightInd w:val="0"/>
        <w:jc w:val="center"/>
        <w:rPr>
          <w:color w:val="000000" w:themeColor="text1"/>
          <w:sz w:val="24"/>
          <w:szCs w:val="24"/>
          <w:lang w:val="en-US"/>
        </w:rPr>
      </w:pPr>
    </w:p>
    <w:p w:rsidR="00575BE2" w:rsidRDefault="00575BE2" w:rsidP="0001653F">
      <w:pPr>
        <w:autoSpaceDE w:val="0"/>
        <w:autoSpaceDN w:val="0"/>
        <w:adjustRightInd w:val="0"/>
        <w:rPr>
          <w:color w:val="000000" w:themeColor="text1"/>
          <w:sz w:val="24"/>
          <w:szCs w:val="24"/>
          <w:lang w:val="en-US"/>
        </w:rPr>
      </w:pPr>
    </w:p>
    <w:p w:rsidR="009E73FD" w:rsidRPr="00575BE2" w:rsidRDefault="009E73FD" w:rsidP="0001653F">
      <w:pPr>
        <w:autoSpaceDE w:val="0"/>
        <w:autoSpaceDN w:val="0"/>
        <w:adjustRightInd w:val="0"/>
        <w:rPr>
          <w:color w:val="000000" w:themeColor="text1"/>
          <w:sz w:val="24"/>
          <w:szCs w:val="24"/>
          <w:lang w:val="en-US"/>
        </w:rPr>
      </w:pP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5F0618" w:rsidRDefault="007F5D53" w:rsidP="00B8179A">
      <w:pPr>
        <w:pStyle w:val="ListParagraph"/>
        <w:numPr>
          <w:ilvl w:val="0"/>
          <w:numId w:val="2"/>
        </w:numPr>
        <w:spacing w:before="120" w:after="120"/>
        <w:ind w:left="1080" w:hanging="1080"/>
        <w:contextualSpacing w:val="0"/>
        <w:rPr>
          <w:sz w:val="24"/>
          <w:szCs w:val="24"/>
        </w:rPr>
      </w:pPr>
      <w:bookmarkStart w:id="3" w:name="_Ref338147395"/>
      <w:bookmarkStart w:id="4" w:name="_Ref344995533"/>
      <w:bookmarkStart w:id="5" w:name="_Ref354695226"/>
      <w:r>
        <w:rPr>
          <w:sz w:val="24"/>
          <w:szCs w:val="24"/>
        </w:rPr>
        <w:t>IEEE Std 802.11ai/D0.</w:t>
      </w:r>
      <w:bookmarkEnd w:id="3"/>
      <w:bookmarkEnd w:id="4"/>
      <w:r w:rsidR="005C1B5B">
        <w:rPr>
          <w:sz w:val="24"/>
          <w:szCs w:val="24"/>
        </w:rPr>
        <w:t>5</w:t>
      </w:r>
      <w:bookmarkEnd w:id="5"/>
    </w:p>
    <w:p w:rsidR="00EE2934" w:rsidRDefault="00244FE3" w:rsidP="00B8179A">
      <w:pPr>
        <w:pStyle w:val="ListParagraph"/>
        <w:numPr>
          <w:ilvl w:val="0"/>
          <w:numId w:val="2"/>
        </w:numPr>
        <w:spacing w:before="120" w:after="120"/>
        <w:ind w:left="1080" w:hanging="1080"/>
        <w:contextualSpacing w:val="0"/>
        <w:rPr>
          <w:sz w:val="24"/>
          <w:szCs w:val="24"/>
        </w:rPr>
      </w:pPr>
      <w:bookmarkStart w:id="6" w:name="_Ref356307617"/>
      <w:r>
        <w:rPr>
          <w:sz w:val="24"/>
          <w:szCs w:val="24"/>
        </w:rPr>
        <w:t>11-13-0495-11</w:t>
      </w:r>
      <w:r w:rsidR="00052BA4" w:rsidRPr="00052BA4">
        <w:rPr>
          <w:sz w:val="24"/>
          <w:szCs w:val="24"/>
        </w:rPr>
        <w:t>-00ai-tgai-d0-5-call-for-comments-responses-resolutions-cc08</w:t>
      </w:r>
      <w:bookmarkEnd w:id="6"/>
    </w:p>
    <w:p w:rsidR="004F7BA1" w:rsidRPr="00CD6007" w:rsidRDefault="004F7BA1" w:rsidP="00B8179A">
      <w:pPr>
        <w:pStyle w:val="ListParagraph"/>
        <w:numPr>
          <w:ilvl w:val="0"/>
          <w:numId w:val="2"/>
        </w:numPr>
        <w:spacing w:before="120" w:after="120"/>
        <w:ind w:left="1080" w:hanging="1080"/>
        <w:contextualSpacing w:val="0"/>
        <w:rPr>
          <w:sz w:val="24"/>
          <w:szCs w:val="24"/>
        </w:rPr>
      </w:pPr>
      <w:bookmarkStart w:id="7" w:name="_Ref359964383"/>
      <w:r w:rsidRPr="004F7BA1">
        <w:rPr>
          <w:sz w:val="24"/>
          <w:szCs w:val="24"/>
        </w:rPr>
        <w:t>11-13-0575-01-00ai-Proposed-Resolutions-to-Assigned-CC8-Comments</w:t>
      </w:r>
      <w:bookmarkEnd w:id="7"/>
    </w:p>
    <w:sectPr w:rsidR="004F7BA1" w:rsidRPr="00CD6007"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79A" w:rsidRDefault="00B8179A">
      <w:r>
        <w:separator/>
      </w:r>
    </w:p>
  </w:endnote>
  <w:endnote w:type="continuationSeparator" w:id="1">
    <w:p w:rsidR="00B8179A" w:rsidRDefault="00B81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0" w:name="aliashDOCCompanyConfiden1FooterEvenPages"/>
    <w:bookmarkEnd w:id="10"/>
  </w:p>
  <w:p w:rsidR="00897895" w:rsidRDefault="00897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897895" w:rsidRPr="00F25F4C" w:rsidRDefault="00DC0F3C">
    <w:pPr>
      <w:pStyle w:val="Footer"/>
      <w:tabs>
        <w:tab w:val="clear" w:pos="6480"/>
        <w:tab w:val="center" w:pos="4680"/>
        <w:tab w:val="right" w:pos="9360"/>
      </w:tabs>
    </w:pPr>
    <w:fldSimple w:instr=" SUBJECT  \* MERGEFORMAT ">
      <w:r w:rsidR="00897895">
        <w:t>Submission</w:t>
      </w:r>
    </w:fldSimple>
    <w:r w:rsidR="00897895">
      <w:tab/>
      <w:t xml:space="preserve">page </w:t>
    </w:r>
    <w:r>
      <w:fldChar w:fldCharType="begin"/>
    </w:r>
    <w:r w:rsidR="001A32C3">
      <w:instrText xml:space="preserve">page </w:instrText>
    </w:r>
    <w:r>
      <w:fldChar w:fldCharType="separate"/>
    </w:r>
    <w:r w:rsidR="003D4EF9">
      <w:rPr>
        <w:noProof/>
      </w:rPr>
      <w:t>3</w:t>
    </w:r>
    <w:r>
      <w:rPr>
        <w:noProof/>
      </w:rPr>
      <w:fldChar w:fldCharType="end"/>
    </w:r>
    <w:r w:rsidR="00897895">
      <w:tab/>
    </w:r>
    <w:r w:rsidR="006333FE">
      <w:rPr>
        <w:rFonts w:eastAsia="MS Mincho" w:hint="eastAsia"/>
        <w:lang w:eastAsia="ja-JP"/>
      </w:rPr>
      <w:t>Lei Wang, InterDigital</w:t>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3" w:name="aliashDOCCompanyConfiden1FooterFirstPage"/>
    <w:bookmarkEnd w:id="13"/>
  </w:p>
  <w:p w:rsidR="00897895" w:rsidRDefault="00897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79A" w:rsidRDefault="00B8179A">
      <w:r>
        <w:separator/>
      </w:r>
    </w:p>
  </w:footnote>
  <w:footnote w:type="continuationSeparator" w:id="1">
    <w:p w:rsidR="00B8179A" w:rsidRDefault="00B81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8" w:name="aliashDOCCompanyConfiden1HeaderEvenPages"/>
    <w:bookmarkEnd w:id="8"/>
  </w:p>
  <w:p w:rsidR="00897895" w:rsidRDefault="00897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897895" w:rsidRPr="00F25F4C" w:rsidRDefault="00FE4C70">
    <w:pPr>
      <w:pStyle w:val="Header"/>
      <w:tabs>
        <w:tab w:val="clear" w:pos="6480"/>
        <w:tab w:val="center" w:pos="4680"/>
        <w:tab w:val="right" w:pos="9360"/>
      </w:tabs>
    </w:pPr>
    <w:r>
      <w:t>July</w:t>
    </w:r>
    <w:r w:rsidR="00897895">
      <w:t>, 2013</w:t>
    </w:r>
    <w:r w:rsidR="00897895">
      <w:tab/>
    </w:r>
    <w:r w:rsidR="00897895">
      <w:tab/>
    </w:r>
    <w:fldSimple w:instr=" TITLE  \* MERGEFORMAT ">
      <w:r w:rsidR="00897895">
        <w:t>doc.: IEEE 802.11-13/</w:t>
      </w:r>
      <w:r w:rsidR="00CF029C">
        <w:t>0698</w:t>
      </w:r>
    </w:fldSimple>
    <w:r w:rsidR="006333FE">
      <w:rPr>
        <w:rFonts w:eastAsia="MS Mincho" w:hint="eastAsia"/>
        <w:lang w:eastAsia="ja-JP"/>
      </w:rPr>
      <w:t>r</w:t>
    </w:r>
    <w:r w:rsidR="009A02C1">
      <w:rPr>
        <w:rFonts w:eastAsia="MS Mincho"/>
        <w:lang w:eastAsia="ja-JP"/>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12" w:name="aliashDOCCompanyConfiden1HeaderFirstPage"/>
    <w:bookmarkEnd w:id="12"/>
  </w:p>
  <w:p w:rsidR="00897895" w:rsidRDefault="00897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footnote w:id="0"/>
    <w:footnote w:id="1"/>
  </w:footnotePr>
  <w:endnotePr>
    <w:endnote w:id="0"/>
    <w:endnote w:id="1"/>
  </w:endnotePr>
  <w:compat>
    <w:useFELayout/>
  </w:compat>
  <w:rsids>
    <w:rsidRoot w:val="00D831CC"/>
    <w:rsid w:val="000129EB"/>
    <w:rsid w:val="0001653F"/>
    <w:rsid w:val="00024B3F"/>
    <w:rsid w:val="00024B9E"/>
    <w:rsid w:val="000338E3"/>
    <w:rsid w:val="0003610A"/>
    <w:rsid w:val="000373A4"/>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E1E"/>
    <w:rsid w:val="000A646B"/>
    <w:rsid w:val="000A7CAD"/>
    <w:rsid w:val="000B0886"/>
    <w:rsid w:val="000B0C35"/>
    <w:rsid w:val="000B1D9B"/>
    <w:rsid w:val="000B3095"/>
    <w:rsid w:val="000B3F9B"/>
    <w:rsid w:val="000B5297"/>
    <w:rsid w:val="000B77F9"/>
    <w:rsid w:val="000C0DDF"/>
    <w:rsid w:val="000C171D"/>
    <w:rsid w:val="000C55EC"/>
    <w:rsid w:val="000D0F23"/>
    <w:rsid w:val="000D2D16"/>
    <w:rsid w:val="000D429D"/>
    <w:rsid w:val="000D5A26"/>
    <w:rsid w:val="000D7666"/>
    <w:rsid w:val="000E1FAE"/>
    <w:rsid w:val="000E2BEF"/>
    <w:rsid w:val="000E3FF2"/>
    <w:rsid w:val="000E6DBA"/>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6CCD"/>
    <w:rsid w:val="0013760C"/>
    <w:rsid w:val="001402CA"/>
    <w:rsid w:val="0014064C"/>
    <w:rsid w:val="001431AB"/>
    <w:rsid w:val="001450F1"/>
    <w:rsid w:val="001507AC"/>
    <w:rsid w:val="001511B6"/>
    <w:rsid w:val="00151E03"/>
    <w:rsid w:val="001526CE"/>
    <w:rsid w:val="00154A9B"/>
    <w:rsid w:val="001556A3"/>
    <w:rsid w:val="00156DAC"/>
    <w:rsid w:val="00162110"/>
    <w:rsid w:val="0016212C"/>
    <w:rsid w:val="00162F94"/>
    <w:rsid w:val="00164F35"/>
    <w:rsid w:val="0016600F"/>
    <w:rsid w:val="0016771D"/>
    <w:rsid w:val="001729C2"/>
    <w:rsid w:val="00176627"/>
    <w:rsid w:val="001768DC"/>
    <w:rsid w:val="001774B8"/>
    <w:rsid w:val="00181DF6"/>
    <w:rsid w:val="00182A4B"/>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1B1"/>
    <w:rsid w:val="001E466A"/>
    <w:rsid w:val="001F319E"/>
    <w:rsid w:val="001F3867"/>
    <w:rsid w:val="00202EB4"/>
    <w:rsid w:val="0020524F"/>
    <w:rsid w:val="00206899"/>
    <w:rsid w:val="00207C77"/>
    <w:rsid w:val="00210AFB"/>
    <w:rsid w:val="00215EA6"/>
    <w:rsid w:val="00217BF5"/>
    <w:rsid w:val="00227264"/>
    <w:rsid w:val="002322E6"/>
    <w:rsid w:val="0024082A"/>
    <w:rsid w:val="00241BB2"/>
    <w:rsid w:val="00242EDF"/>
    <w:rsid w:val="00243727"/>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806F3"/>
    <w:rsid w:val="00280703"/>
    <w:rsid w:val="00280BCD"/>
    <w:rsid w:val="002824E8"/>
    <w:rsid w:val="0029020B"/>
    <w:rsid w:val="00293280"/>
    <w:rsid w:val="00294AF2"/>
    <w:rsid w:val="002975F3"/>
    <w:rsid w:val="00297807"/>
    <w:rsid w:val="002A1EDF"/>
    <w:rsid w:val="002A2EC1"/>
    <w:rsid w:val="002A33FF"/>
    <w:rsid w:val="002A3D9B"/>
    <w:rsid w:val="002B0747"/>
    <w:rsid w:val="002B2822"/>
    <w:rsid w:val="002B3F6E"/>
    <w:rsid w:val="002B781D"/>
    <w:rsid w:val="002C0139"/>
    <w:rsid w:val="002C02A5"/>
    <w:rsid w:val="002C1164"/>
    <w:rsid w:val="002C3A29"/>
    <w:rsid w:val="002C3DFB"/>
    <w:rsid w:val="002C6854"/>
    <w:rsid w:val="002D3AC2"/>
    <w:rsid w:val="002D44BE"/>
    <w:rsid w:val="002D5884"/>
    <w:rsid w:val="002D5A27"/>
    <w:rsid w:val="002D6552"/>
    <w:rsid w:val="002D71E7"/>
    <w:rsid w:val="002D7266"/>
    <w:rsid w:val="002D73E9"/>
    <w:rsid w:val="002D7E9C"/>
    <w:rsid w:val="002E07FB"/>
    <w:rsid w:val="002E24D9"/>
    <w:rsid w:val="002E3882"/>
    <w:rsid w:val="002E3895"/>
    <w:rsid w:val="002E4FBC"/>
    <w:rsid w:val="002E6202"/>
    <w:rsid w:val="002F0678"/>
    <w:rsid w:val="002F07C1"/>
    <w:rsid w:val="002F1E8C"/>
    <w:rsid w:val="002F5D94"/>
    <w:rsid w:val="002F6A31"/>
    <w:rsid w:val="002F6E28"/>
    <w:rsid w:val="002F7245"/>
    <w:rsid w:val="002F77E4"/>
    <w:rsid w:val="00303AFF"/>
    <w:rsid w:val="00304279"/>
    <w:rsid w:val="0030633E"/>
    <w:rsid w:val="00306B3F"/>
    <w:rsid w:val="00313A54"/>
    <w:rsid w:val="00314B71"/>
    <w:rsid w:val="00317BF7"/>
    <w:rsid w:val="00320E3F"/>
    <w:rsid w:val="00320EE6"/>
    <w:rsid w:val="00322BCF"/>
    <w:rsid w:val="00324A38"/>
    <w:rsid w:val="003253A6"/>
    <w:rsid w:val="00327707"/>
    <w:rsid w:val="0032793A"/>
    <w:rsid w:val="003304C6"/>
    <w:rsid w:val="00330DCA"/>
    <w:rsid w:val="00331546"/>
    <w:rsid w:val="00331764"/>
    <w:rsid w:val="00336C99"/>
    <w:rsid w:val="0034225C"/>
    <w:rsid w:val="003430EF"/>
    <w:rsid w:val="003436F7"/>
    <w:rsid w:val="00350C6A"/>
    <w:rsid w:val="00352187"/>
    <w:rsid w:val="0036256D"/>
    <w:rsid w:val="003636F6"/>
    <w:rsid w:val="00363C36"/>
    <w:rsid w:val="003644E5"/>
    <w:rsid w:val="0037070A"/>
    <w:rsid w:val="003733E2"/>
    <w:rsid w:val="0037360E"/>
    <w:rsid w:val="00380963"/>
    <w:rsid w:val="00383B77"/>
    <w:rsid w:val="0038457D"/>
    <w:rsid w:val="003865D2"/>
    <w:rsid w:val="003919B6"/>
    <w:rsid w:val="003947F7"/>
    <w:rsid w:val="003948D7"/>
    <w:rsid w:val="00394F2D"/>
    <w:rsid w:val="00396D59"/>
    <w:rsid w:val="003A022F"/>
    <w:rsid w:val="003A090D"/>
    <w:rsid w:val="003A09CC"/>
    <w:rsid w:val="003A4195"/>
    <w:rsid w:val="003A51C3"/>
    <w:rsid w:val="003A5F89"/>
    <w:rsid w:val="003A67B5"/>
    <w:rsid w:val="003A6E72"/>
    <w:rsid w:val="003A7E3C"/>
    <w:rsid w:val="003B3AE4"/>
    <w:rsid w:val="003B51AF"/>
    <w:rsid w:val="003B621A"/>
    <w:rsid w:val="003B7220"/>
    <w:rsid w:val="003B73DB"/>
    <w:rsid w:val="003C52C4"/>
    <w:rsid w:val="003D02A2"/>
    <w:rsid w:val="003D0A09"/>
    <w:rsid w:val="003D0BA5"/>
    <w:rsid w:val="003D1408"/>
    <w:rsid w:val="003D26D7"/>
    <w:rsid w:val="003D2A08"/>
    <w:rsid w:val="003D3551"/>
    <w:rsid w:val="003D3C51"/>
    <w:rsid w:val="003D4482"/>
    <w:rsid w:val="003D4EF9"/>
    <w:rsid w:val="003D6F60"/>
    <w:rsid w:val="003E664A"/>
    <w:rsid w:val="003F048F"/>
    <w:rsid w:val="003F0DBF"/>
    <w:rsid w:val="003F385D"/>
    <w:rsid w:val="003F588F"/>
    <w:rsid w:val="003F6B96"/>
    <w:rsid w:val="00401BA2"/>
    <w:rsid w:val="00403A6C"/>
    <w:rsid w:val="00405BBD"/>
    <w:rsid w:val="00410CE8"/>
    <w:rsid w:val="004110FF"/>
    <w:rsid w:val="0041128E"/>
    <w:rsid w:val="004129F9"/>
    <w:rsid w:val="00415186"/>
    <w:rsid w:val="00416AAC"/>
    <w:rsid w:val="004256B3"/>
    <w:rsid w:val="00425E93"/>
    <w:rsid w:val="004264B9"/>
    <w:rsid w:val="00431B08"/>
    <w:rsid w:val="00433175"/>
    <w:rsid w:val="00435E80"/>
    <w:rsid w:val="00435FFB"/>
    <w:rsid w:val="00436DD6"/>
    <w:rsid w:val="0044015A"/>
    <w:rsid w:val="00442037"/>
    <w:rsid w:val="00444A21"/>
    <w:rsid w:val="0044639C"/>
    <w:rsid w:val="00451332"/>
    <w:rsid w:val="00454AA2"/>
    <w:rsid w:val="0045613D"/>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4F7BA1"/>
    <w:rsid w:val="005000BE"/>
    <w:rsid w:val="00503DE5"/>
    <w:rsid w:val="00507C97"/>
    <w:rsid w:val="00511ED4"/>
    <w:rsid w:val="00514E7C"/>
    <w:rsid w:val="00515A67"/>
    <w:rsid w:val="005160B5"/>
    <w:rsid w:val="00516B9E"/>
    <w:rsid w:val="005249D7"/>
    <w:rsid w:val="00531375"/>
    <w:rsid w:val="00532853"/>
    <w:rsid w:val="00533F92"/>
    <w:rsid w:val="005351A4"/>
    <w:rsid w:val="00542DCF"/>
    <w:rsid w:val="0054431F"/>
    <w:rsid w:val="00545BE8"/>
    <w:rsid w:val="00545E0E"/>
    <w:rsid w:val="00546A65"/>
    <w:rsid w:val="00547499"/>
    <w:rsid w:val="0055015F"/>
    <w:rsid w:val="005538D9"/>
    <w:rsid w:val="00560F3A"/>
    <w:rsid w:val="005622D0"/>
    <w:rsid w:val="005627E7"/>
    <w:rsid w:val="00564533"/>
    <w:rsid w:val="00566A9B"/>
    <w:rsid w:val="005709E2"/>
    <w:rsid w:val="00573D04"/>
    <w:rsid w:val="00575651"/>
    <w:rsid w:val="00575BE2"/>
    <w:rsid w:val="00577E7A"/>
    <w:rsid w:val="005804E8"/>
    <w:rsid w:val="00580D12"/>
    <w:rsid w:val="00581F96"/>
    <w:rsid w:val="00582B29"/>
    <w:rsid w:val="00583E66"/>
    <w:rsid w:val="005865D3"/>
    <w:rsid w:val="005878FA"/>
    <w:rsid w:val="0059146F"/>
    <w:rsid w:val="00592D99"/>
    <w:rsid w:val="00595379"/>
    <w:rsid w:val="005955BD"/>
    <w:rsid w:val="005977CF"/>
    <w:rsid w:val="005A0E40"/>
    <w:rsid w:val="005A3F34"/>
    <w:rsid w:val="005A6977"/>
    <w:rsid w:val="005B60A2"/>
    <w:rsid w:val="005B7965"/>
    <w:rsid w:val="005C1B5B"/>
    <w:rsid w:val="005C3728"/>
    <w:rsid w:val="005D0CB2"/>
    <w:rsid w:val="005D232A"/>
    <w:rsid w:val="005D43BB"/>
    <w:rsid w:val="005D6D17"/>
    <w:rsid w:val="005E1060"/>
    <w:rsid w:val="005E2E3C"/>
    <w:rsid w:val="005E5303"/>
    <w:rsid w:val="005F027E"/>
    <w:rsid w:val="005F0618"/>
    <w:rsid w:val="005F3A57"/>
    <w:rsid w:val="00600A8B"/>
    <w:rsid w:val="0060187E"/>
    <w:rsid w:val="00605A8E"/>
    <w:rsid w:val="00611461"/>
    <w:rsid w:val="00616035"/>
    <w:rsid w:val="00620458"/>
    <w:rsid w:val="00620F3A"/>
    <w:rsid w:val="00621BAD"/>
    <w:rsid w:val="0062233A"/>
    <w:rsid w:val="00622A3F"/>
    <w:rsid w:val="0062440B"/>
    <w:rsid w:val="00624E7C"/>
    <w:rsid w:val="006251F0"/>
    <w:rsid w:val="00625501"/>
    <w:rsid w:val="006332D9"/>
    <w:rsid w:val="006333FE"/>
    <w:rsid w:val="00636E95"/>
    <w:rsid w:val="006421B4"/>
    <w:rsid w:val="006435C5"/>
    <w:rsid w:val="006440D6"/>
    <w:rsid w:val="0064648B"/>
    <w:rsid w:val="00650972"/>
    <w:rsid w:val="006509A8"/>
    <w:rsid w:val="006527ED"/>
    <w:rsid w:val="00654C6A"/>
    <w:rsid w:val="006560DC"/>
    <w:rsid w:val="0065685B"/>
    <w:rsid w:val="006573C1"/>
    <w:rsid w:val="00661820"/>
    <w:rsid w:val="006713A2"/>
    <w:rsid w:val="00671F50"/>
    <w:rsid w:val="00673604"/>
    <w:rsid w:val="00674793"/>
    <w:rsid w:val="00677626"/>
    <w:rsid w:val="006817CB"/>
    <w:rsid w:val="00681BB8"/>
    <w:rsid w:val="00685630"/>
    <w:rsid w:val="00686E0A"/>
    <w:rsid w:val="00690943"/>
    <w:rsid w:val="00693E9E"/>
    <w:rsid w:val="0069513A"/>
    <w:rsid w:val="006976C8"/>
    <w:rsid w:val="006A14F1"/>
    <w:rsid w:val="006A1EE1"/>
    <w:rsid w:val="006A303E"/>
    <w:rsid w:val="006A5FE2"/>
    <w:rsid w:val="006A79FC"/>
    <w:rsid w:val="006B02B7"/>
    <w:rsid w:val="006B1191"/>
    <w:rsid w:val="006B59D4"/>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64AB"/>
    <w:rsid w:val="007175EA"/>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C40"/>
    <w:rsid w:val="00761F40"/>
    <w:rsid w:val="00762DFF"/>
    <w:rsid w:val="00763475"/>
    <w:rsid w:val="00763837"/>
    <w:rsid w:val="00763FBD"/>
    <w:rsid w:val="00770572"/>
    <w:rsid w:val="007736A5"/>
    <w:rsid w:val="007761D6"/>
    <w:rsid w:val="0077659E"/>
    <w:rsid w:val="00780626"/>
    <w:rsid w:val="00780C6C"/>
    <w:rsid w:val="0078220F"/>
    <w:rsid w:val="00783368"/>
    <w:rsid w:val="00786B59"/>
    <w:rsid w:val="0079341B"/>
    <w:rsid w:val="00795CB4"/>
    <w:rsid w:val="007976A7"/>
    <w:rsid w:val="007979A7"/>
    <w:rsid w:val="007A2537"/>
    <w:rsid w:val="007A6EA3"/>
    <w:rsid w:val="007A79EF"/>
    <w:rsid w:val="007B3BED"/>
    <w:rsid w:val="007C0A66"/>
    <w:rsid w:val="007C3544"/>
    <w:rsid w:val="007C49DB"/>
    <w:rsid w:val="007C4E44"/>
    <w:rsid w:val="007C6667"/>
    <w:rsid w:val="007C6C40"/>
    <w:rsid w:val="007D1362"/>
    <w:rsid w:val="007D1C35"/>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3286"/>
    <w:rsid w:val="00825784"/>
    <w:rsid w:val="008268A8"/>
    <w:rsid w:val="008319DA"/>
    <w:rsid w:val="00840141"/>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7E2"/>
    <w:rsid w:val="00881FB9"/>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14D"/>
    <w:rsid w:val="008C3291"/>
    <w:rsid w:val="008C70D6"/>
    <w:rsid w:val="008C7265"/>
    <w:rsid w:val="008D25CE"/>
    <w:rsid w:val="008D2EA6"/>
    <w:rsid w:val="008D5FB8"/>
    <w:rsid w:val="008D750F"/>
    <w:rsid w:val="008E3119"/>
    <w:rsid w:val="008E4E95"/>
    <w:rsid w:val="008E762A"/>
    <w:rsid w:val="008F2110"/>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3789E"/>
    <w:rsid w:val="009466F1"/>
    <w:rsid w:val="009476FF"/>
    <w:rsid w:val="009518E9"/>
    <w:rsid w:val="00956721"/>
    <w:rsid w:val="00957028"/>
    <w:rsid w:val="00957B69"/>
    <w:rsid w:val="00961BEF"/>
    <w:rsid w:val="009620F4"/>
    <w:rsid w:val="00967CD7"/>
    <w:rsid w:val="00971A5C"/>
    <w:rsid w:val="0097752F"/>
    <w:rsid w:val="00977BEB"/>
    <w:rsid w:val="00981772"/>
    <w:rsid w:val="009876D1"/>
    <w:rsid w:val="00987E02"/>
    <w:rsid w:val="00990515"/>
    <w:rsid w:val="00991F6D"/>
    <w:rsid w:val="00992C23"/>
    <w:rsid w:val="009A02C1"/>
    <w:rsid w:val="009A0C1D"/>
    <w:rsid w:val="009A0DEF"/>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496B"/>
    <w:rsid w:val="009C7FC8"/>
    <w:rsid w:val="009D4C3B"/>
    <w:rsid w:val="009E4172"/>
    <w:rsid w:val="009E4BDF"/>
    <w:rsid w:val="009E68CF"/>
    <w:rsid w:val="009E73FD"/>
    <w:rsid w:val="009E7F0B"/>
    <w:rsid w:val="009F08C0"/>
    <w:rsid w:val="009F27BD"/>
    <w:rsid w:val="009F355D"/>
    <w:rsid w:val="009F7A95"/>
    <w:rsid w:val="00A02F32"/>
    <w:rsid w:val="00A050DB"/>
    <w:rsid w:val="00A103C2"/>
    <w:rsid w:val="00A10433"/>
    <w:rsid w:val="00A14264"/>
    <w:rsid w:val="00A164D3"/>
    <w:rsid w:val="00A16916"/>
    <w:rsid w:val="00A16AF6"/>
    <w:rsid w:val="00A223AF"/>
    <w:rsid w:val="00A25B78"/>
    <w:rsid w:val="00A300D6"/>
    <w:rsid w:val="00A30801"/>
    <w:rsid w:val="00A362E7"/>
    <w:rsid w:val="00A430DF"/>
    <w:rsid w:val="00A510A9"/>
    <w:rsid w:val="00A510C8"/>
    <w:rsid w:val="00A52230"/>
    <w:rsid w:val="00A66ABE"/>
    <w:rsid w:val="00A73CF3"/>
    <w:rsid w:val="00A74CDA"/>
    <w:rsid w:val="00A82723"/>
    <w:rsid w:val="00A83550"/>
    <w:rsid w:val="00A84E8B"/>
    <w:rsid w:val="00A9114C"/>
    <w:rsid w:val="00A925D1"/>
    <w:rsid w:val="00A93DDA"/>
    <w:rsid w:val="00A94D48"/>
    <w:rsid w:val="00AA427C"/>
    <w:rsid w:val="00AB565A"/>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5F34"/>
    <w:rsid w:val="00AF639B"/>
    <w:rsid w:val="00AF6839"/>
    <w:rsid w:val="00B006AC"/>
    <w:rsid w:val="00B012A1"/>
    <w:rsid w:val="00B02762"/>
    <w:rsid w:val="00B047B5"/>
    <w:rsid w:val="00B04EE3"/>
    <w:rsid w:val="00B0591E"/>
    <w:rsid w:val="00B13120"/>
    <w:rsid w:val="00B1542F"/>
    <w:rsid w:val="00B15770"/>
    <w:rsid w:val="00B214D6"/>
    <w:rsid w:val="00B24771"/>
    <w:rsid w:val="00B25364"/>
    <w:rsid w:val="00B3267F"/>
    <w:rsid w:val="00B36E5C"/>
    <w:rsid w:val="00B43C42"/>
    <w:rsid w:val="00B454B4"/>
    <w:rsid w:val="00B4758A"/>
    <w:rsid w:val="00B563CA"/>
    <w:rsid w:val="00B57EC1"/>
    <w:rsid w:val="00B648E9"/>
    <w:rsid w:val="00B656F8"/>
    <w:rsid w:val="00B65B69"/>
    <w:rsid w:val="00B70DF9"/>
    <w:rsid w:val="00B748D0"/>
    <w:rsid w:val="00B7598F"/>
    <w:rsid w:val="00B77995"/>
    <w:rsid w:val="00B80597"/>
    <w:rsid w:val="00B80BF6"/>
    <w:rsid w:val="00B8167B"/>
    <w:rsid w:val="00B8179A"/>
    <w:rsid w:val="00B852F7"/>
    <w:rsid w:val="00B8606B"/>
    <w:rsid w:val="00B86E85"/>
    <w:rsid w:val="00B87E37"/>
    <w:rsid w:val="00B902B2"/>
    <w:rsid w:val="00B907A0"/>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27B2"/>
    <w:rsid w:val="00C13281"/>
    <w:rsid w:val="00C16949"/>
    <w:rsid w:val="00C176BF"/>
    <w:rsid w:val="00C23896"/>
    <w:rsid w:val="00C250CA"/>
    <w:rsid w:val="00C26FCF"/>
    <w:rsid w:val="00C2714F"/>
    <w:rsid w:val="00C3119C"/>
    <w:rsid w:val="00C31B1C"/>
    <w:rsid w:val="00C3456F"/>
    <w:rsid w:val="00C35D8E"/>
    <w:rsid w:val="00C41AE1"/>
    <w:rsid w:val="00C50387"/>
    <w:rsid w:val="00C5075B"/>
    <w:rsid w:val="00C52DB1"/>
    <w:rsid w:val="00C55C00"/>
    <w:rsid w:val="00C62891"/>
    <w:rsid w:val="00C6542E"/>
    <w:rsid w:val="00C65505"/>
    <w:rsid w:val="00C667C9"/>
    <w:rsid w:val="00C72090"/>
    <w:rsid w:val="00C75B9F"/>
    <w:rsid w:val="00C820F6"/>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37E6"/>
    <w:rsid w:val="00CB4D8A"/>
    <w:rsid w:val="00CB4EBC"/>
    <w:rsid w:val="00CB744F"/>
    <w:rsid w:val="00CB7872"/>
    <w:rsid w:val="00CC3960"/>
    <w:rsid w:val="00CC3A7F"/>
    <w:rsid w:val="00CC6156"/>
    <w:rsid w:val="00CC66E4"/>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2893"/>
    <w:rsid w:val="00D546FB"/>
    <w:rsid w:val="00D55A4F"/>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4C9E"/>
    <w:rsid w:val="00D97C10"/>
    <w:rsid w:val="00D97D0D"/>
    <w:rsid w:val="00DA158E"/>
    <w:rsid w:val="00DA1AEC"/>
    <w:rsid w:val="00DA1F98"/>
    <w:rsid w:val="00DA2DFB"/>
    <w:rsid w:val="00DA3D85"/>
    <w:rsid w:val="00DA562B"/>
    <w:rsid w:val="00DA7B5E"/>
    <w:rsid w:val="00DB1686"/>
    <w:rsid w:val="00DB3A59"/>
    <w:rsid w:val="00DB6AB9"/>
    <w:rsid w:val="00DB7332"/>
    <w:rsid w:val="00DC0F3C"/>
    <w:rsid w:val="00DC294B"/>
    <w:rsid w:val="00DC295D"/>
    <w:rsid w:val="00DC4D9A"/>
    <w:rsid w:val="00DC5A7B"/>
    <w:rsid w:val="00DD1B5F"/>
    <w:rsid w:val="00DD34C6"/>
    <w:rsid w:val="00DD705C"/>
    <w:rsid w:val="00DE1A40"/>
    <w:rsid w:val="00DE40FC"/>
    <w:rsid w:val="00DE526D"/>
    <w:rsid w:val="00DE6266"/>
    <w:rsid w:val="00DE63DE"/>
    <w:rsid w:val="00DF00EC"/>
    <w:rsid w:val="00DF0913"/>
    <w:rsid w:val="00DF14EB"/>
    <w:rsid w:val="00E00CDB"/>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4216"/>
    <w:rsid w:val="00E55BAD"/>
    <w:rsid w:val="00E55CA3"/>
    <w:rsid w:val="00E57532"/>
    <w:rsid w:val="00E57C30"/>
    <w:rsid w:val="00E57F17"/>
    <w:rsid w:val="00E609F2"/>
    <w:rsid w:val="00E60AAA"/>
    <w:rsid w:val="00E63E10"/>
    <w:rsid w:val="00E64499"/>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B006F"/>
    <w:rsid w:val="00EB2116"/>
    <w:rsid w:val="00EB4401"/>
    <w:rsid w:val="00EB69F6"/>
    <w:rsid w:val="00EB6DD0"/>
    <w:rsid w:val="00EB7E92"/>
    <w:rsid w:val="00EC0988"/>
    <w:rsid w:val="00EC20F7"/>
    <w:rsid w:val="00EC4A35"/>
    <w:rsid w:val="00EC4E63"/>
    <w:rsid w:val="00EC4F28"/>
    <w:rsid w:val="00ED49E2"/>
    <w:rsid w:val="00ED538C"/>
    <w:rsid w:val="00EE2934"/>
    <w:rsid w:val="00EE2F03"/>
    <w:rsid w:val="00EE41D7"/>
    <w:rsid w:val="00EE676E"/>
    <w:rsid w:val="00EF0B6D"/>
    <w:rsid w:val="00EF0C5B"/>
    <w:rsid w:val="00EF4EA4"/>
    <w:rsid w:val="00F03337"/>
    <w:rsid w:val="00F04BA9"/>
    <w:rsid w:val="00F0524C"/>
    <w:rsid w:val="00F05DFA"/>
    <w:rsid w:val="00F06F39"/>
    <w:rsid w:val="00F12D2E"/>
    <w:rsid w:val="00F25F4C"/>
    <w:rsid w:val="00F26C33"/>
    <w:rsid w:val="00F276F0"/>
    <w:rsid w:val="00F34123"/>
    <w:rsid w:val="00F3774C"/>
    <w:rsid w:val="00F379BB"/>
    <w:rsid w:val="00F408EF"/>
    <w:rsid w:val="00F41D1E"/>
    <w:rsid w:val="00F516BF"/>
    <w:rsid w:val="00F523AB"/>
    <w:rsid w:val="00F5385F"/>
    <w:rsid w:val="00F558C9"/>
    <w:rsid w:val="00F60747"/>
    <w:rsid w:val="00F61277"/>
    <w:rsid w:val="00F61327"/>
    <w:rsid w:val="00F66C4F"/>
    <w:rsid w:val="00F719F3"/>
    <w:rsid w:val="00F72E72"/>
    <w:rsid w:val="00F774EE"/>
    <w:rsid w:val="00F82373"/>
    <w:rsid w:val="00F82C82"/>
    <w:rsid w:val="00F834AB"/>
    <w:rsid w:val="00F83AFB"/>
    <w:rsid w:val="00F86736"/>
    <w:rsid w:val="00F87878"/>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E05ED"/>
    <w:rsid w:val="00FE1788"/>
    <w:rsid w:val="00FE19C3"/>
    <w:rsid w:val="00FE2D00"/>
    <w:rsid w:val="00FE3A20"/>
    <w:rsid w:val="00FE400D"/>
    <w:rsid w:val="00FE4C70"/>
    <w:rsid w:val="00FE51DF"/>
    <w:rsid w:val="00FE6FB9"/>
    <w:rsid w:val="00FE77F4"/>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DCF"/>
    <w:rPr>
      <w:sz w:val="22"/>
      <w:lang w:val="en-GB"/>
    </w:rPr>
  </w:style>
  <w:style w:type="paragraph" w:styleId="1">
    <w:name w:val="heading 1"/>
    <w:basedOn w:val="a"/>
    <w:next w:val="a"/>
    <w:qFormat/>
    <w:rsid w:val="00542DCF"/>
    <w:pPr>
      <w:keepNext/>
      <w:keepLines/>
      <w:numPr>
        <w:numId w:val="11"/>
      </w:numPr>
      <w:spacing w:before="320"/>
      <w:outlineLvl w:val="0"/>
    </w:pPr>
    <w:rPr>
      <w:rFonts w:ascii="Arial" w:hAnsi="Arial"/>
      <w:b/>
      <w:sz w:val="32"/>
      <w:u w:val="single"/>
    </w:rPr>
  </w:style>
  <w:style w:type="paragraph" w:styleId="2">
    <w:name w:val="heading 2"/>
    <w:basedOn w:val="a"/>
    <w:next w:val="a"/>
    <w:qFormat/>
    <w:rsid w:val="00542DCF"/>
    <w:pPr>
      <w:keepNext/>
      <w:keepLines/>
      <w:numPr>
        <w:ilvl w:val="1"/>
        <w:numId w:val="11"/>
      </w:numPr>
      <w:spacing w:before="280"/>
      <w:outlineLvl w:val="1"/>
    </w:pPr>
    <w:rPr>
      <w:rFonts w:ascii="Arial" w:hAnsi="Arial"/>
      <w:b/>
      <w:sz w:val="28"/>
      <w:u w:val="single"/>
    </w:rPr>
  </w:style>
  <w:style w:type="paragraph" w:styleId="3">
    <w:name w:val="heading 3"/>
    <w:basedOn w:val="a"/>
    <w:next w:val="a"/>
    <w:qFormat/>
    <w:rsid w:val="00542DCF"/>
    <w:pPr>
      <w:keepNext/>
      <w:keepLines/>
      <w:numPr>
        <w:ilvl w:val="2"/>
        <w:numId w:val="11"/>
      </w:numPr>
      <w:spacing w:before="240" w:after="60"/>
      <w:outlineLvl w:val="2"/>
    </w:pPr>
    <w:rPr>
      <w:rFonts w:ascii="Arial" w:hAnsi="Arial"/>
      <w:b/>
      <w:sz w:val="24"/>
    </w:rPr>
  </w:style>
  <w:style w:type="paragraph" w:styleId="4">
    <w:name w:val="heading 4"/>
    <w:basedOn w:val="a"/>
    <w:next w:val="a"/>
    <w:link w:val="40"/>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2DCF"/>
    <w:pPr>
      <w:pBdr>
        <w:top w:val="single" w:sz="6" w:space="1" w:color="auto"/>
      </w:pBdr>
      <w:tabs>
        <w:tab w:val="center" w:pos="6480"/>
        <w:tab w:val="right" w:pos="12960"/>
      </w:tabs>
    </w:pPr>
    <w:rPr>
      <w:sz w:val="24"/>
    </w:rPr>
  </w:style>
  <w:style w:type="paragraph" w:styleId="a4">
    <w:name w:val="header"/>
    <w:basedOn w:val="a"/>
    <w:rsid w:val="00542DCF"/>
    <w:pPr>
      <w:pBdr>
        <w:bottom w:val="single" w:sz="6" w:space="2" w:color="auto"/>
      </w:pBdr>
      <w:tabs>
        <w:tab w:val="center" w:pos="6480"/>
        <w:tab w:val="right" w:pos="12960"/>
      </w:tabs>
    </w:pPr>
    <w:rPr>
      <w:b/>
      <w:sz w:val="28"/>
    </w:rPr>
  </w:style>
  <w:style w:type="paragraph" w:customStyle="1" w:styleId="T1">
    <w:name w:val="T1"/>
    <w:basedOn w:val="a"/>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a5">
    <w:name w:val="Body Text Indent"/>
    <w:basedOn w:val="a"/>
    <w:rsid w:val="00542DCF"/>
    <w:pPr>
      <w:ind w:left="720" w:hanging="720"/>
    </w:pPr>
  </w:style>
  <w:style w:type="character" w:styleId="a6">
    <w:name w:val="Hyperlink"/>
    <w:basedOn w:val="a0"/>
    <w:rsid w:val="00542DCF"/>
    <w:rPr>
      <w:color w:val="0000FF"/>
      <w:u w:val="single"/>
    </w:rPr>
  </w:style>
  <w:style w:type="paragraph" w:styleId="a7">
    <w:name w:val="annotation text"/>
    <w:basedOn w:val="a"/>
    <w:link w:val="a8"/>
    <w:rsid w:val="009238FB"/>
    <w:rPr>
      <w:sz w:val="24"/>
      <w:szCs w:val="24"/>
      <w:lang w:val="en-US"/>
    </w:rPr>
  </w:style>
  <w:style w:type="character" w:customStyle="1" w:styleId="a8">
    <w:name w:val="コメント文字列 (文字)"/>
    <w:basedOn w:val="a0"/>
    <w:link w:val="a7"/>
    <w:rsid w:val="009238FB"/>
    <w:rPr>
      <w:sz w:val="24"/>
      <w:szCs w:val="24"/>
    </w:rPr>
  </w:style>
  <w:style w:type="character" w:styleId="a9">
    <w:name w:val="annotation reference"/>
    <w:basedOn w:val="a0"/>
    <w:rsid w:val="009238FB"/>
    <w:rPr>
      <w:sz w:val="16"/>
      <w:szCs w:val="16"/>
    </w:rPr>
  </w:style>
  <w:style w:type="paragraph" w:styleId="aa">
    <w:name w:val="annotation subject"/>
    <w:basedOn w:val="a7"/>
    <w:next w:val="a7"/>
    <w:link w:val="ab"/>
    <w:rsid w:val="009238FB"/>
    <w:rPr>
      <w:b/>
      <w:bCs/>
      <w:sz w:val="20"/>
      <w:szCs w:val="20"/>
      <w:lang w:val="en-GB"/>
    </w:rPr>
  </w:style>
  <w:style w:type="character" w:customStyle="1" w:styleId="ab">
    <w:name w:val="コメント内容 (文字)"/>
    <w:basedOn w:val="a8"/>
    <w:link w:val="aa"/>
    <w:rsid w:val="009238FB"/>
    <w:rPr>
      <w:b/>
      <w:bCs/>
      <w:sz w:val="24"/>
      <w:szCs w:val="24"/>
      <w:lang w:val="en-GB"/>
    </w:rPr>
  </w:style>
  <w:style w:type="paragraph" w:styleId="ac">
    <w:name w:val="Balloon Text"/>
    <w:basedOn w:val="a"/>
    <w:link w:val="ad"/>
    <w:rsid w:val="009238FB"/>
    <w:rPr>
      <w:rFonts w:ascii="Tahoma" w:hAnsi="Tahoma" w:cs="Tahoma"/>
      <w:sz w:val="16"/>
      <w:szCs w:val="16"/>
    </w:rPr>
  </w:style>
  <w:style w:type="character" w:customStyle="1" w:styleId="ad">
    <w:name w:val="吹き出し (文字)"/>
    <w:basedOn w:val="a0"/>
    <w:link w:val="ac"/>
    <w:rsid w:val="009238FB"/>
    <w:rPr>
      <w:rFonts w:ascii="Tahoma" w:hAnsi="Tahoma" w:cs="Tahoma"/>
      <w:sz w:val="16"/>
      <w:szCs w:val="16"/>
      <w:lang w:val="en-GB"/>
    </w:rPr>
  </w:style>
  <w:style w:type="paragraph" w:styleId="ae">
    <w:name w:val="Bibliography"/>
    <w:basedOn w:val="a"/>
    <w:next w:val="a"/>
    <w:uiPriority w:val="37"/>
    <w:semiHidden/>
    <w:unhideWhenUsed/>
    <w:rsid w:val="006E0497"/>
  </w:style>
  <w:style w:type="paragraph" w:styleId="af">
    <w:name w:val="List Paragraph"/>
    <w:basedOn w:val="a"/>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af0">
    <w:name w:val="Document Map"/>
    <w:basedOn w:val="a"/>
    <w:link w:val="af1"/>
    <w:rsid w:val="00317BF7"/>
    <w:rPr>
      <w:rFonts w:ascii="SimSun" w:eastAsia="SimSun"/>
      <w:sz w:val="18"/>
      <w:szCs w:val="18"/>
    </w:rPr>
  </w:style>
  <w:style w:type="character" w:customStyle="1" w:styleId="af1">
    <w:name w:val="見出しマップ (文字)"/>
    <w:basedOn w:val="a0"/>
    <w:link w:val="af0"/>
    <w:rsid w:val="00317BF7"/>
    <w:rPr>
      <w:rFonts w:ascii="SimSun" w:eastAsia="SimSun"/>
      <w:sz w:val="18"/>
      <w:szCs w:val="18"/>
      <w:lang w:val="en-GB"/>
    </w:rPr>
  </w:style>
  <w:style w:type="paragraph" w:styleId="af2">
    <w:name w:val="Revision"/>
    <w:hidden/>
    <w:uiPriority w:val="99"/>
    <w:semiHidden/>
    <w:rsid w:val="00C84C3B"/>
    <w:rPr>
      <w:sz w:val="22"/>
      <w:lang w:val="en-GB"/>
    </w:rPr>
  </w:style>
  <w:style w:type="character" w:customStyle="1" w:styleId="40">
    <w:name w:val="見出し 4 (文字)"/>
    <w:basedOn w:val="a0"/>
    <w:link w:val="4"/>
    <w:semiHidden/>
    <w:rsid w:val="001D1F7C"/>
    <w:rPr>
      <w:rFonts w:asciiTheme="majorHAnsi" w:eastAsiaTheme="majorEastAsia" w:hAnsiTheme="majorHAnsi" w:cstheme="majorBidi"/>
      <w:b/>
      <w:bCs/>
      <w:i/>
      <w:iCs/>
      <w:color w:val="4F81BD" w:themeColor="accent1"/>
      <w:sz w:val="22"/>
      <w:lang w:val="en-GB"/>
    </w:rPr>
  </w:style>
  <w:style w:type="character" w:customStyle="1" w:styleId="50">
    <w:name w:val="見出し 5 (文字)"/>
    <w:basedOn w:val="a0"/>
    <w:link w:val="5"/>
    <w:semiHidden/>
    <w:rsid w:val="001D1F7C"/>
    <w:rPr>
      <w:rFonts w:asciiTheme="majorHAnsi" w:eastAsiaTheme="majorEastAsia" w:hAnsiTheme="majorHAnsi" w:cstheme="majorBidi"/>
      <w:color w:val="243F60" w:themeColor="accent1" w:themeShade="7F"/>
      <w:sz w:val="22"/>
      <w:lang w:val="en-GB"/>
    </w:rPr>
  </w:style>
  <w:style w:type="character" w:customStyle="1" w:styleId="60">
    <w:name w:val="見出し 6 (文字)"/>
    <w:basedOn w:val="a0"/>
    <w:link w:val="6"/>
    <w:semiHidden/>
    <w:rsid w:val="001D1F7C"/>
    <w:rPr>
      <w:rFonts w:asciiTheme="majorHAnsi" w:eastAsiaTheme="majorEastAsia" w:hAnsiTheme="majorHAnsi" w:cstheme="majorBidi"/>
      <w:i/>
      <w:iCs/>
      <w:color w:val="243F60" w:themeColor="accent1" w:themeShade="7F"/>
      <w:sz w:val="22"/>
      <w:lang w:val="en-GB"/>
    </w:rPr>
  </w:style>
  <w:style w:type="character" w:customStyle="1" w:styleId="70">
    <w:name w:val="見出し 7 (文字)"/>
    <w:basedOn w:val="a0"/>
    <w:link w:val="7"/>
    <w:semiHidden/>
    <w:rsid w:val="001D1F7C"/>
    <w:rPr>
      <w:rFonts w:asciiTheme="majorHAnsi" w:eastAsiaTheme="majorEastAsia" w:hAnsiTheme="majorHAnsi" w:cstheme="majorBidi"/>
      <w:i/>
      <w:iCs/>
      <w:color w:val="404040" w:themeColor="text1" w:themeTint="BF"/>
      <w:sz w:val="22"/>
      <w:lang w:val="en-GB"/>
    </w:rPr>
  </w:style>
  <w:style w:type="character" w:customStyle="1" w:styleId="80">
    <w:name w:val="見出し 8 (文字)"/>
    <w:basedOn w:val="a0"/>
    <w:link w:val="8"/>
    <w:semiHidden/>
    <w:rsid w:val="001D1F7C"/>
    <w:rPr>
      <w:rFonts w:asciiTheme="majorHAnsi" w:eastAsiaTheme="majorEastAsia" w:hAnsiTheme="majorHAnsi" w:cstheme="majorBidi"/>
      <w:color w:val="404040" w:themeColor="text1" w:themeTint="BF"/>
      <w:lang w:val="en-GB"/>
    </w:rPr>
  </w:style>
  <w:style w:type="character" w:customStyle="1" w:styleId="90">
    <w:name w:val="見出し 9 (文字)"/>
    <w:basedOn w:val="a0"/>
    <w:link w:val="9"/>
    <w:semiHidden/>
    <w:rsid w:val="001D1F7C"/>
    <w:rPr>
      <w:rFonts w:asciiTheme="majorHAnsi" w:eastAsiaTheme="majorEastAsia" w:hAnsiTheme="majorHAnsi" w:cstheme="majorBidi"/>
      <w:i/>
      <w:iCs/>
      <w:color w:val="404040" w:themeColor="text1" w:themeTint="BF"/>
      <w:lang w:val="en-GB"/>
    </w:rPr>
  </w:style>
  <w:style w:type="table" w:styleId="af3">
    <w:name w:val="Table Grid"/>
    <w:basedOn w:val="a1"/>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F29D-B3A9-4715-AAFF-6E47B172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1032</Words>
  <Characters>5887</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2</cp:revision>
  <cp:lastPrinted>1900-12-31T21:00:00Z</cp:lastPrinted>
  <dcterms:created xsi:type="dcterms:W3CDTF">2013-07-11T20:35:00Z</dcterms:created>
  <dcterms:modified xsi:type="dcterms:W3CDTF">2013-07-11T20:35:00Z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