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2D46">
            <w:pPr>
              <w:pStyle w:val="T2"/>
            </w:pPr>
            <w:proofErr w:type="spellStart"/>
            <w:r>
              <w:t>TGac</w:t>
            </w:r>
            <w:proofErr w:type="spellEnd"/>
            <w:r>
              <w:t xml:space="preserve"> SB 01 Comment Resolution-osama2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B2D46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BB2D46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B2D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BB2D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BB2D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BB2D46" w:rsidRDefault="00BB2D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BB2D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BB2D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6A7C1A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B667B">
      <w:pPr>
        <w:pStyle w:val="T1"/>
        <w:spacing w:after="120"/>
        <w:rPr>
          <w:sz w:val="22"/>
        </w:rPr>
      </w:pPr>
      <w:r w:rsidRPr="001B66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B2D46">
                  <w:pPr>
                    <w:jc w:val="both"/>
                  </w:pPr>
                  <w:r>
                    <w:t xml:space="preserve">This submission includes proposed resolution to CIDs, 10149, </w:t>
                  </w:r>
                  <w:r w:rsidR="00EF2CA0">
                    <w:t>10165, 10173, and 10183.</w:t>
                  </w:r>
                </w:p>
              </w:txbxContent>
            </v:textbox>
          </v:shape>
        </w:pict>
      </w:r>
    </w:p>
    <w:p w:rsidR="00CC5896" w:rsidRDefault="00CA09B2" w:rsidP="00CC5896">
      <w:r>
        <w:br w:type="page"/>
      </w:r>
      <w:r w:rsidR="00EF2CA0">
        <w:lastRenderedPageBreak/>
        <w:t>10173</w:t>
      </w:r>
    </w:p>
    <w:tbl>
      <w:tblPr>
        <w:tblW w:w="105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916"/>
        <w:gridCol w:w="995"/>
        <w:gridCol w:w="2655"/>
        <w:gridCol w:w="2646"/>
        <w:gridCol w:w="2607"/>
      </w:tblGrid>
      <w:tr w:rsidR="0038148F" w:rsidRPr="00CC5896" w:rsidTr="00AF7332">
        <w:trPr>
          <w:trHeight w:val="413"/>
        </w:trPr>
        <w:tc>
          <w:tcPr>
            <w:tcW w:w="773" w:type="dxa"/>
            <w:shd w:val="clear" w:color="auto" w:fill="auto"/>
            <w:hideMark/>
          </w:tcPr>
          <w:p w:rsidR="0038148F" w:rsidRPr="00CC5896" w:rsidRDefault="00AF7332" w:rsidP="0038148F">
            <w:pPr>
              <w:jc w:val="center"/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38148F" w:rsidRPr="00CC5896" w:rsidRDefault="00AF7332" w:rsidP="0038148F">
            <w:pPr>
              <w:jc w:val="center"/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Page</w:t>
            </w:r>
          </w:p>
        </w:tc>
        <w:tc>
          <w:tcPr>
            <w:tcW w:w="995" w:type="dxa"/>
            <w:shd w:val="clear" w:color="auto" w:fill="auto"/>
            <w:hideMark/>
          </w:tcPr>
          <w:p w:rsidR="0038148F" w:rsidRPr="00CC5896" w:rsidRDefault="00AF7332" w:rsidP="0038148F">
            <w:pPr>
              <w:jc w:val="center"/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:rsidR="0038148F" w:rsidRPr="00CC5896" w:rsidRDefault="00AF7332" w:rsidP="0038148F">
            <w:pPr>
              <w:jc w:val="center"/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Comment</w:t>
            </w:r>
          </w:p>
        </w:tc>
        <w:tc>
          <w:tcPr>
            <w:tcW w:w="2646" w:type="dxa"/>
            <w:shd w:val="clear" w:color="auto" w:fill="auto"/>
            <w:hideMark/>
          </w:tcPr>
          <w:p w:rsidR="0038148F" w:rsidRPr="00CC5896" w:rsidRDefault="00AF7332" w:rsidP="0038148F">
            <w:pPr>
              <w:jc w:val="center"/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Proposed Resolution</w:t>
            </w:r>
          </w:p>
        </w:tc>
        <w:tc>
          <w:tcPr>
            <w:tcW w:w="2607" w:type="dxa"/>
            <w:shd w:val="clear" w:color="auto" w:fill="auto"/>
            <w:hideMark/>
          </w:tcPr>
          <w:p w:rsidR="0038148F" w:rsidRPr="00CC5896" w:rsidRDefault="00AF7332" w:rsidP="0038148F">
            <w:pPr>
              <w:jc w:val="center"/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Resolution</w:t>
            </w:r>
          </w:p>
        </w:tc>
      </w:tr>
      <w:tr w:rsidR="00CC5896" w:rsidRPr="00CC5896" w:rsidTr="0038148F">
        <w:trPr>
          <w:trHeight w:val="3060"/>
        </w:trPr>
        <w:tc>
          <w:tcPr>
            <w:tcW w:w="773" w:type="dxa"/>
            <w:shd w:val="clear" w:color="auto" w:fill="auto"/>
            <w:hideMark/>
          </w:tcPr>
          <w:p w:rsidR="00CC5896" w:rsidRPr="00CC5896" w:rsidRDefault="00CC5896" w:rsidP="00CC5896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10149</w:t>
            </w:r>
          </w:p>
        </w:tc>
        <w:tc>
          <w:tcPr>
            <w:tcW w:w="916" w:type="dxa"/>
            <w:shd w:val="clear" w:color="auto" w:fill="auto"/>
            <w:hideMark/>
          </w:tcPr>
          <w:p w:rsidR="00CC5896" w:rsidRPr="00CC5896" w:rsidRDefault="00CC5896" w:rsidP="00CC5896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36.19</w:t>
            </w:r>
          </w:p>
        </w:tc>
        <w:tc>
          <w:tcPr>
            <w:tcW w:w="995" w:type="dxa"/>
            <w:shd w:val="clear" w:color="auto" w:fill="auto"/>
            <w:hideMark/>
          </w:tcPr>
          <w:p w:rsidR="00CC5896" w:rsidRPr="00CC5896" w:rsidRDefault="00CC5896" w:rsidP="00CC5896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8.2.4.5.4</w:t>
            </w:r>
          </w:p>
        </w:tc>
        <w:tc>
          <w:tcPr>
            <w:tcW w:w="2655" w:type="dxa"/>
            <w:shd w:val="clear" w:color="auto" w:fill="auto"/>
            <w:hideMark/>
          </w:tcPr>
          <w:p w:rsidR="00CC5896" w:rsidRPr="00CC5896" w:rsidRDefault="00CC5896" w:rsidP="00CC5896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From what is written in 8.6.1 of 802.11-2012, one can say that a single A-MPDU </w:t>
            </w:r>
            <w:proofErr w:type="spellStart"/>
            <w:r w:rsidRPr="00CC5896">
              <w:rPr>
                <w:rFonts w:ascii="Arial" w:hAnsi="Arial" w:cs="Arial"/>
                <w:sz w:val="20"/>
                <w:lang w:val="en-CA" w:eastAsia="en-CA"/>
              </w:rPr>
              <w:t>subframe</w:t>
            </w:r>
            <w:proofErr w:type="spellEnd"/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 within an A-MPDU is allowed from 802.11n. And an implicit BAR can be used. Why does a VHT single MPDU ban from using an implicit BAR? This special case seems to make things complicated rather </w:t>
            </w:r>
            <w:proofErr w:type="spellStart"/>
            <w:r w:rsidRPr="00CC5896">
              <w:rPr>
                <w:rFonts w:ascii="Arial" w:hAnsi="Arial" w:cs="Arial"/>
                <w:sz w:val="20"/>
                <w:lang w:val="en-CA" w:eastAsia="en-CA"/>
              </w:rPr>
              <w:t>then</w:t>
            </w:r>
            <w:proofErr w:type="spellEnd"/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 having benefits.</w:t>
            </w:r>
          </w:p>
        </w:tc>
        <w:tc>
          <w:tcPr>
            <w:tcW w:w="2646" w:type="dxa"/>
            <w:shd w:val="clear" w:color="auto" w:fill="auto"/>
            <w:hideMark/>
          </w:tcPr>
          <w:p w:rsidR="00CC5896" w:rsidRPr="00CC5896" w:rsidRDefault="00CC5896" w:rsidP="00CC5896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Delete VHT single MPDUs throughout the draft.</w:t>
            </w:r>
            <w:r w:rsidRPr="00CC5896">
              <w:rPr>
                <w:rFonts w:ascii="Arial" w:hAnsi="Arial" w:cs="Arial"/>
                <w:sz w:val="20"/>
                <w:lang w:val="en-CA" w:eastAsia="en-CA"/>
              </w:rPr>
              <w:br/>
              <w:t>Or explain enough reason.</w:t>
            </w:r>
          </w:p>
        </w:tc>
        <w:tc>
          <w:tcPr>
            <w:tcW w:w="2607" w:type="dxa"/>
            <w:shd w:val="clear" w:color="auto" w:fill="auto"/>
            <w:hideMark/>
          </w:tcPr>
          <w:p w:rsidR="00CC5896" w:rsidRPr="00CC5896" w:rsidRDefault="00B92687" w:rsidP="00CC5896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 xml:space="preserve">Rejected: </w:t>
            </w:r>
            <w:r>
              <w:t>AVHT PPDU always transport frames in A-MPDU format. It is necessary to define a compatible format when a single MPDU is transmitted. The use of A-MPDU format was mandated in VHT since the MPDU Delimiter includes information that is not available anywhere else in the VHT PPDU header</w:t>
            </w:r>
          </w:p>
        </w:tc>
      </w:tr>
    </w:tbl>
    <w:p w:rsidR="00CA09B2" w:rsidRDefault="00CA09B2" w:rsidP="00CC5896"/>
    <w:p w:rsidR="008218EE" w:rsidRDefault="008218EE" w:rsidP="008218EE">
      <w:r>
        <w:t>Discussion:</w:t>
      </w:r>
    </w:p>
    <w:p w:rsidR="008218EE" w:rsidRDefault="008218EE" w:rsidP="008218EE"/>
    <w:p w:rsidR="00A752A5" w:rsidRDefault="00635F04" w:rsidP="008218EE">
      <w:r>
        <w:t xml:space="preserve">By definition a </w:t>
      </w:r>
      <w:r w:rsidR="00BB2D46">
        <w:t>VHT Single MPDU</w:t>
      </w:r>
      <w:r>
        <w:t xml:space="preserve"> contains a single MPDU </w:t>
      </w:r>
      <w:r w:rsidR="00B92687">
        <w:t>which can be acknowledged by the use of normal ACK, the use of implicit BAR isn’t needed</w:t>
      </w:r>
      <w:r w:rsidR="00BB2D46">
        <w:t xml:space="preserve"> in this case</w:t>
      </w:r>
      <w:r w:rsidR="00B92687">
        <w:t xml:space="preserve">. </w:t>
      </w:r>
      <w:r w:rsidR="008218EE">
        <w:t>Since VHT PPDU always carries frames in A-MPDU format, it is necessary to define a compatible format when a single MPDU is transmitted. The use of A-MPDU format was mandated in VHT since the MPDU Delimiter includes information that is not available anywhere else in the VHT PPDU header</w:t>
      </w:r>
      <w:r w:rsidR="00D90074">
        <w:t>.</w:t>
      </w:r>
    </w:p>
    <w:p w:rsidR="008218EE" w:rsidRDefault="008218EE" w:rsidP="00CC5896"/>
    <w:p w:rsidR="008218EE" w:rsidRDefault="008218EE" w:rsidP="00CC5896"/>
    <w:tbl>
      <w:tblPr>
        <w:tblW w:w="105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916"/>
        <w:gridCol w:w="995"/>
        <w:gridCol w:w="2655"/>
        <w:gridCol w:w="2646"/>
        <w:gridCol w:w="2607"/>
      </w:tblGrid>
      <w:tr w:rsidR="00A752A5" w:rsidRPr="00CC5896" w:rsidTr="00E01570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A752A5" w:rsidRPr="00CC5896" w:rsidRDefault="00A752A5" w:rsidP="00E0157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10165</w:t>
            </w:r>
          </w:p>
        </w:tc>
        <w:tc>
          <w:tcPr>
            <w:tcW w:w="916" w:type="dxa"/>
            <w:shd w:val="clear" w:color="auto" w:fill="auto"/>
            <w:hideMark/>
          </w:tcPr>
          <w:p w:rsidR="00A752A5" w:rsidRPr="00CC5896" w:rsidRDefault="00A752A5" w:rsidP="00E0157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122.50</w:t>
            </w:r>
          </w:p>
        </w:tc>
        <w:tc>
          <w:tcPr>
            <w:tcW w:w="995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9.2.6</w:t>
            </w:r>
          </w:p>
        </w:tc>
        <w:tc>
          <w:tcPr>
            <w:tcW w:w="2655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If one wants to use fragmentation, do it without using an A-MPDU format. Or are there enough benefits over defining this special case for </w:t>
            </w:r>
            <w:proofErr w:type="gramStart"/>
            <w:r w:rsidRPr="00CC5896">
              <w:rPr>
                <w:rFonts w:ascii="Arial" w:hAnsi="Arial" w:cs="Arial"/>
                <w:sz w:val="20"/>
                <w:lang w:val="en-CA" w:eastAsia="en-CA"/>
              </w:rPr>
              <w:t>an</w:t>
            </w:r>
            <w:proofErr w:type="gramEnd"/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 VHT single MPDU?</w:t>
            </w:r>
          </w:p>
        </w:tc>
        <w:tc>
          <w:tcPr>
            <w:tcW w:w="2646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Delete VHT single MPDUs throughout the draft.</w:t>
            </w:r>
            <w:r w:rsidRPr="00CC5896">
              <w:rPr>
                <w:rFonts w:ascii="Arial" w:hAnsi="Arial" w:cs="Arial"/>
                <w:sz w:val="20"/>
                <w:lang w:val="en-CA" w:eastAsia="en-CA"/>
              </w:rPr>
              <w:br/>
              <w:t>Or explain enough reason.</w:t>
            </w:r>
          </w:p>
        </w:tc>
        <w:tc>
          <w:tcPr>
            <w:tcW w:w="2607" w:type="dxa"/>
            <w:shd w:val="clear" w:color="auto" w:fill="auto"/>
            <w:hideMark/>
          </w:tcPr>
          <w:p w:rsidR="00A752A5" w:rsidRPr="00CC5896" w:rsidRDefault="00B92687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 xml:space="preserve">Rejected: </w:t>
            </w:r>
            <w:r>
              <w:t>AVHT PPDU always transport frames in A-MPDU format. It is necessary to define a compatible format when a single MPDU is transmitted. The use of A-MPDU format was mandated in VHT since the MPDU Delimiter includes information that is not available anywhere else in the VHT PPDU header</w:t>
            </w:r>
          </w:p>
        </w:tc>
      </w:tr>
    </w:tbl>
    <w:p w:rsidR="00A752A5" w:rsidRDefault="00A752A5" w:rsidP="00CC5896"/>
    <w:p w:rsidR="00B92687" w:rsidRDefault="00B92687" w:rsidP="00CC5896"/>
    <w:p w:rsidR="00A752A5" w:rsidRDefault="00B92687" w:rsidP="00CC5896">
      <w:r>
        <w:t>Discussion:</w:t>
      </w:r>
    </w:p>
    <w:p w:rsidR="00B92687" w:rsidRDefault="00B92687" w:rsidP="00CC5896"/>
    <w:p w:rsidR="00B92687" w:rsidRDefault="00B92687" w:rsidP="00CC5896">
      <w:r>
        <w:t>Since VHT PPDU always carries frames in A-MPDU format, it is necessary to define a compatible format when a single MPDU is transmitted. The use of A-MPDU format was mandated in VHT since the MPDU Delimiter includes information that is not available anywhere else in the VHT PPDU header.</w:t>
      </w:r>
    </w:p>
    <w:p w:rsidR="00B92687" w:rsidRDefault="00B92687" w:rsidP="00CC5896"/>
    <w:tbl>
      <w:tblPr>
        <w:tblW w:w="105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916"/>
        <w:gridCol w:w="995"/>
        <w:gridCol w:w="2655"/>
        <w:gridCol w:w="2646"/>
        <w:gridCol w:w="2607"/>
      </w:tblGrid>
      <w:tr w:rsidR="00A752A5" w:rsidRPr="00CC5896" w:rsidTr="00E01570">
        <w:trPr>
          <w:trHeight w:val="3060"/>
        </w:trPr>
        <w:tc>
          <w:tcPr>
            <w:tcW w:w="773" w:type="dxa"/>
            <w:shd w:val="clear" w:color="auto" w:fill="auto"/>
            <w:hideMark/>
          </w:tcPr>
          <w:p w:rsidR="00A752A5" w:rsidRPr="00CC5896" w:rsidRDefault="00A752A5" w:rsidP="00E0157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lastRenderedPageBreak/>
              <w:t>10173</w:t>
            </w:r>
          </w:p>
        </w:tc>
        <w:tc>
          <w:tcPr>
            <w:tcW w:w="916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9.7.6</w:t>
            </w:r>
          </w:p>
        </w:tc>
        <w:tc>
          <w:tcPr>
            <w:tcW w:w="2655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Why not change the rules applied to a VHT single MPDU to a </w:t>
            </w:r>
            <w:proofErr w:type="gramStart"/>
            <w:r w:rsidRPr="00CC5896">
              <w:rPr>
                <w:rFonts w:ascii="Arial" w:hAnsi="Arial" w:cs="Arial"/>
                <w:sz w:val="20"/>
                <w:lang w:val="en-CA" w:eastAsia="en-CA"/>
              </w:rPr>
              <w:t>more wider</w:t>
            </w:r>
            <w:proofErr w:type="gramEnd"/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 case with an A-MPDU containing a single A-MPDU </w:t>
            </w:r>
            <w:proofErr w:type="spellStart"/>
            <w:r w:rsidRPr="00CC5896">
              <w:rPr>
                <w:rFonts w:ascii="Arial" w:hAnsi="Arial" w:cs="Arial"/>
                <w:sz w:val="20"/>
                <w:lang w:val="en-CA" w:eastAsia="en-CA"/>
              </w:rPr>
              <w:t>subframe</w:t>
            </w:r>
            <w:proofErr w:type="spellEnd"/>
            <w:r w:rsidRPr="00CC5896">
              <w:rPr>
                <w:rFonts w:ascii="Arial" w:hAnsi="Arial" w:cs="Arial"/>
                <w:sz w:val="20"/>
                <w:lang w:val="en-CA" w:eastAsia="en-CA"/>
              </w:rPr>
              <w:t>?</w:t>
            </w:r>
          </w:p>
        </w:tc>
        <w:tc>
          <w:tcPr>
            <w:tcW w:w="2646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 xml:space="preserve">Change "that does not contain a VHT single MPDU" in two places in 9.7.6.1 to "containing multiple A-MPDU </w:t>
            </w:r>
            <w:proofErr w:type="spellStart"/>
            <w:r w:rsidRPr="00CC5896">
              <w:rPr>
                <w:rFonts w:ascii="Arial" w:hAnsi="Arial" w:cs="Arial"/>
                <w:sz w:val="20"/>
                <w:lang w:val="en-CA" w:eastAsia="en-CA"/>
              </w:rPr>
              <w:t>subframes</w:t>
            </w:r>
            <w:proofErr w:type="spellEnd"/>
            <w:r w:rsidRPr="00CC5896">
              <w:rPr>
                <w:rFonts w:ascii="Arial" w:hAnsi="Arial" w:cs="Arial"/>
                <w:sz w:val="20"/>
                <w:lang w:val="en-CA" w:eastAsia="en-CA"/>
              </w:rPr>
              <w:t>".</w:t>
            </w:r>
            <w:r w:rsidRPr="00CC5896">
              <w:rPr>
                <w:rFonts w:ascii="Arial" w:hAnsi="Arial" w:cs="Arial"/>
                <w:sz w:val="20"/>
                <w:lang w:val="en-CA" w:eastAsia="en-CA"/>
              </w:rPr>
              <w:br/>
              <w:t xml:space="preserve">Change "either a VHT single MPDU or not carried in an A-MPDU" in 9.7.6.2, 9.7.6.4, and 9.7.6.5.1 to "not carried in an A-MPDU or carried in an A-MPDU but with a single A-MPDU </w:t>
            </w:r>
            <w:proofErr w:type="spellStart"/>
            <w:r w:rsidRPr="00CC5896">
              <w:rPr>
                <w:rFonts w:ascii="Arial" w:hAnsi="Arial" w:cs="Arial"/>
                <w:sz w:val="20"/>
                <w:lang w:val="en-CA" w:eastAsia="en-CA"/>
              </w:rPr>
              <w:t>subframe</w:t>
            </w:r>
            <w:proofErr w:type="spellEnd"/>
            <w:r w:rsidRPr="00CC5896">
              <w:rPr>
                <w:rFonts w:ascii="Arial" w:hAnsi="Arial" w:cs="Arial"/>
                <w:sz w:val="20"/>
                <w:lang w:val="en-CA" w:eastAsia="en-CA"/>
              </w:rPr>
              <w:t>".</w:t>
            </w:r>
          </w:p>
        </w:tc>
        <w:tc>
          <w:tcPr>
            <w:tcW w:w="2607" w:type="dxa"/>
            <w:shd w:val="clear" w:color="auto" w:fill="auto"/>
            <w:hideMark/>
          </w:tcPr>
          <w:p w:rsidR="00A752A5" w:rsidRPr="00CC5896" w:rsidRDefault="00BC7A1B" w:rsidP="00BB2D46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 xml:space="preserve">Rejected: </w:t>
            </w:r>
            <w:r w:rsidR="00BB2D46">
              <w:t>The commenter does not provide justification for why the proposed changes are needed and what value do they add</w:t>
            </w:r>
          </w:p>
        </w:tc>
      </w:tr>
    </w:tbl>
    <w:p w:rsidR="00A752A5" w:rsidRDefault="00A752A5" w:rsidP="00CC5896"/>
    <w:p w:rsidR="00A752A5" w:rsidRDefault="00A752A5" w:rsidP="00CC5896"/>
    <w:p w:rsidR="008218EE" w:rsidRDefault="008218EE" w:rsidP="008218EE">
      <w:r>
        <w:t>Discussion:</w:t>
      </w:r>
    </w:p>
    <w:p w:rsidR="008218EE" w:rsidRDefault="008218EE" w:rsidP="008218EE"/>
    <w:p w:rsidR="008218EE" w:rsidRDefault="00BC7A1B" w:rsidP="008218EE">
      <w:r>
        <w:t xml:space="preserve">The commenter does not provide justification for why the proposed changes are needed and what value </w:t>
      </w:r>
      <w:r w:rsidR="00BB2D46">
        <w:t>d</w:t>
      </w:r>
      <w:r>
        <w:t xml:space="preserve">o they add. </w:t>
      </w:r>
      <w:r w:rsidR="00BB2D46">
        <w:t>The two places where changes are proposed specifies what rules are applicable for control frames carried in A-MPDU (not carrying a VHT single MPDU) and what rules are applicable for control frames carried in a VHT single MPDU. Making the proposed changes will have a different effect other than that intended.</w:t>
      </w:r>
    </w:p>
    <w:p w:rsidR="008218EE" w:rsidRDefault="008218EE" w:rsidP="00CC5896"/>
    <w:p w:rsidR="00A752A5" w:rsidRDefault="00A752A5" w:rsidP="00CC5896"/>
    <w:tbl>
      <w:tblPr>
        <w:tblW w:w="105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916"/>
        <w:gridCol w:w="995"/>
        <w:gridCol w:w="2655"/>
        <w:gridCol w:w="2646"/>
        <w:gridCol w:w="2607"/>
      </w:tblGrid>
      <w:tr w:rsidR="00A752A5" w:rsidRPr="00CC5896" w:rsidTr="00E01570">
        <w:trPr>
          <w:trHeight w:val="1275"/>
        </w:trPr>
        <w:tc>
          <w:tcPr>
            <w:tcW w:w="773" w:type="dxa"/>
            <w:shd w:val="clear" w:color="auto" w:fill="auto"/>
            <w:hideMark/>
          </w:tcPr>
          <w:p w:rsidR="00A752A5" w:rsidRPr="00CC5896" w:rsidRDefault="00A752A5" w:rsidP="00E0157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10183</w:t>
            </w:r>
          </w:p>
        </w:tc>
        <w:tc>
          <w:tcPr>
            <w:tcW w:w="916" w:type="dxa"/>
            <w:shd w:val="clear" w:color="auto" w:fill="auto"/>
            <w:hideMark/>
          </w:tcPr>
          <w:p w:rsidR="00A752A5" w:rsidRPr="00CC5896" w:rsidRDefault="00A752A5" w:rsidP="00E0157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145.61</w:t>
            </w:r>
          </w:p>
        </w:tc>
        <w:tc>
          <w:tcPr>
            <w:tcW w:w="995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9.12.8</w:t>
            </w:r>
          </w:p>
        </w:tc>
        <w:tc>
          <w:tcPr>
            <w:tcW w:w="2655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What is the reason for defining this special case within an A-MPDU? Seems to have more defects than merits.</w:t>
            </w:r>
          </w:p>
        </w:tc>
        <w:tc>
          <w:tcPr>
            <w:tcW w:w="2646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CC5896">
              <w:rPr>
                <w:rFonts w:ascii="Arial" w:hAnsi="Arial" w:cs="Arial"/>
                <w:sz w:val="20"/>
                <w:lang w:val="en-CA" w:eastAsia="en-CA"/>
              </w:rPr>
              <w:t>Delete VHT single MPDUs throughout the draft.</w:t>
            </w:r>
            <w:r w:rsidRPr="00CC5896">
              <w:rPr>
                <w:rFonts w:ascii="Arial" w:hAnsi="Arial" w:cs="Arial"/>
                <w:sz w:val="20"/>
                <w:lang w:val="en-CA" w:eastAsia="en-CA"/>
              </w:rPr>
              <w:br/>
              <w:t>Or explain enough reason.</w:t>
            </w:r>
          </w:p>
        </w:tc>
        <w:tc>
          <w:tcPr>
            <w:tcW w:w="2607" w:type="dxa"/>
            <w:shd w:val="clear" w:color="auto" w:fill="auto"/>
            <w:hideMark/>
          </w:tcPr>
          <w:p w:rsidR="00A752A5" w:rsidRPr="00CC5896" w:rsidRDefault="00A752A5" w:rsidP="00E01570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Rejected: the commenter need to provide more information related to the defects identified. See also discussion in &lt;this document&gt;</w:t>
            </w:r>
          </w:p>
        </w:tc>
      </w:tr>
    </w:tbl>
    <w:p w:rsidR="00A752A5" w:rsidRDefault="00A752A5" w:rsidP="00CC5896"/>
    <w:p w:rsidR="00A752A5" w:rsidRDefault="00A752A5" w:rsidP="00A752A5">
      <w:r>
        <w:t>Discussion:</w:t>
      </w:r>
    </w:p>
    <w:p w:rsidR="00A752A5" w:rsidRDefault="00A752A5" w:rsidP="00A752A5"/>
    <w:p w:rsidR="00CA09B2" w:rsidRDefault="00A752A5">
      <w:r>
        <w:t>The commenter didn’t provide sufficient information related to his statement; “Seems to have more defects than merits” for the group to address his concerns. Since VHT PPDU always carries frames in A-MPDU format, it is necessary to define a compatible format when a single MPDU is transmitted. The use of A-MPDU format was mandated in VHT since the MPDU Delimiter includes information that is not available anywhere else in the VHT PPDU header</w:t>
      </w:r>
    </w:p>
    <w:p w:rsidR="00CA09B2" w:rsidRDefault="00CA09B2">
      <w: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1B667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41" w:rsidRDefault="002F1541">
      <w:r>
        <w:separator/>
      </w:r>
    </w:p>
  </w:endnote>
  <w:endnote w:type="continuationSeparator" w:id="0">
    <w:p w:rsidR="002F1541" w:rsidRDefault="002F1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B66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896">
        <w:t>Submission</w:t>
      </w:r>
    </w:fldSimple>
    <w:r w:rsidR="0029020B">
      <w:tab/>
      <w:t xml:space="preserve">page </w:t>
    </w:r>
    <w:fldSimple w:instr="page ">
      <w:r w:rsidR="00E526C8">
        <w:rPr>
          <w:noProof/>
        </w:rPr>
        <w:t>1</w:t>
      </w:r>
    </w:fldSimple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B2D46">
      <w:t>Osama Aboul-Magd</w:t>
    </w:r>
    <w:r w:rsidR="00CC5896">
      <w:t xml:space="preserve">, </w:t>
    </w:r>
    <w:proofErr w:type="spellStart"/>
    <w:r w:rsidR="00BB2D46">
      <w:t>Huawei</w:t>
    </w:r>
    <w:proofErr w:type="spellEnd"/>
    <w:r w:rsidR="00BB2D46">
      <w:t xml:space="preserve"> Technologies</w:t>
    </w:r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41" w:rsidRDefault="002F1541">
      <w:r>
        <w:separator/>
      </w:r>
    </w:p>
  </w:footnote>
  <w:footnote w:type="continuationSeparator" w:id="0">
    <w:p w:rsidR="002F1541" w:rsidRDefault="002F1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B667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B2D46">
      <w:t>May</w:t>
    </w:r>
    <w:r w:rsidR="00CC5896">
      <w:t xml:space="preserve"> </w:t>
    </w:r>
    <w:r w:rsidR="00BB2D46">
      <w:t>2013</w:t>
    </w:r>
    <w:r>
      <w:fldChar w:fldCharType="end"/>
    </w:r>
    <w:r w:rsidR="0029020B">
      <w:tab/>
    </w:r>
    <w:r w:rsidR="0029020B">
      <w:tab/>
    </w:r>
    <w:fldSimple w:instr=" TITLE  \* MERGEFORMAT ">
      <w:r w:rsidR="00BB2D46">
        <w:t>doc.: IEEE 802.11-13</w:t>
      </w:r>
      <w:r w:rsidR="00E526C8">
        <w:t>/0557</w:t>
      </w:r>
      <w:r w:rsidR="00CC5896">
        <w:t>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48F"/>
    <w:rsid w:val="001B667B"/>
    <w:rsid w:val="001D723B"/>
    <w:rsid w:val="0029020B"/>
    <w:rsid w:val="002D44BE"/>
    <w:rsid w:val="002F1541"/>
    <w:rsid w:val="0038148F"/>
    <w:rsid w:val="00442037"/>
    <w:rsid w:val="004B064B"/>
    <w:rsid w:val="005548E7"/>
    <w:rsid w:val="0062440B"/>
    <w:rsid w:val="00635F04"/>
    <w:rsid w:val="006C0727"/>
    <w:rsid w:val="006E145F"/>
    <w:rsid w:val="00770572"/>
    <w:rsid w:val="008218EE"/>
    <w:rsid w:val="009F2FBC"/>
    <w:rsid w:val="00A752A5"/>
    <w:rsid w:val="00AA427C"/>
    <w:rsid w:val="00AF7332"/>
    <w:rsid w:val="00B92687"/>
    <w:rsid w:val="00BB2D46"/>
    <w:rsid w:val="00BC7A1B"/>
    <w:rsid w:val="00BE68C2"/>
    <w:rsid w:val="00C60C48"/>
    <w:rsid w:val="00CA09B2"/>
    <w:rsid w:val="00CC5896"/>
    <w:rsid w:val="00D90074"/>
    <w:rsid w:val="00DC5A7B"/>
    <w:rsid w:val="00E526C8"/>
    <w:rsid w:val="00E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67B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B667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B667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B667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B667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B667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B667B"/>
    <w:pPr>
      <w:jc w:val="center"/>
    </w:pPr>
    <w:rPr>
      <w:b/>
      <w:sz w:val="28"/>
    </w:rPr>
  </w:style>
  <w:style w:type="paragraph" w:customStyle="1" w:styleId="T2">
    <w:name w:val="T2"/>
    <w:basedOn w:val="T1"/>
    <w:rsid w:val="001B667B"/>
    <w:pPr>
      <w:spacing w:after="240"/>
      <w:ind w:left="720" w:right="720"/>
    </w:pPr>
  </w:style>
  <w:style w:type="paragraph" w:customStyle="1" w:styleId="T3">
    <w:name w:val="T3"/>
    <w:basedOn w:val="T1"/>
    <w:rsid w:val="001B667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B667B"/>
    <w:pPr>
      <w:ind w:left="720" w:hanging="720"/>
    </w:pPr>
  </w:style>
  <w:style w:type="character" w:styleId="Hyperlink">
    <w:name w:val="Hyperlink"/>
    <w:rsid w:val="001B6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ma.aboulmagd@huawe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2</cp:revision>
  <cp:lastPrinted>2013-05-14T00:56:00Z</cp:lastPrinted>
  <dcterms:created xsi:type="dcterms:W3CDTF">2013-05-14T02:12:00Z</dcterms:created>
  <dcterms:modified xsi:type="dcterms:W3CDTF">2013-05-14T02:12:00Z</dcterms:modified>
</cp:coreProperties>
</file>