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0D2699">
            <w:pPr>
              <w:pStyle w:val="T2"/>
              <w:rPr>
                <w:rFonts w:eastAsia="MS Mincho"/>
                <w:lang w:eastAsia="ja-JP"/>
              </w:rPr>
            </w:pPr>
            <w:r>
              <w:rPr>
                <w:rFonts w:eastAsia="MS Mincho" w:hint="eastAsia"/>
                <w:lang w:eastAsia="ja-JP"/>
              </w:rPr>
              <w:t>LB1</w:t>
            </w:r>
            <w:r w:rsidR="000D2699">
              <w:rPr>
                <w:rFonts w:eastAsia="MS Mincho"/>
                <w:lang w:eastAsia="ja-JP"/>
              </w:rPr>
              <w:t>95</w:t>
            </w:r>
            <w:r>
              <w:rPr>
                <w:rFonts w:eastAsia="MS Mincho" w:hint="eastAsia"/>
                <w:lang w:eastAsia="ja-JP"/>
              </w:rPr>
              <w:t xml:space="preserve"> </w:t>
            </w:r>
            <w:r w:rsidR="00FD2B66">
              <w:rPr>
                <w:rFonts w:eastAsia="MS Mincho"/>
                <w:lang w:eastAsia="ja-JP"/>
              </w:rPr>
              <w:t>D</w:t>
            </w:r>
            <w:r w:rsidR="000D2699">
              <w:rPr>
                <w:rFonts w:eastAsia="MS Mincho"/>
                <w:lang w:eastAsia="ja-JP"/>
              </w:rPr>
              <w:t>4</w:t>
            </w:r>
            <w:r w:rsidR="000D3850">
              <w:rPr>
                <w:rFonts w:eastAsia="MS Mincho"/>
                <w:lang w:eastAsia="ja-JP"/>
              </w:rPr>
              <w:t>.0</w:t>
            </w:r>
            <w:r>
              <w:rPr>
                <w:rFonts w:eastAsia="MS Mincho"/>
                <w:lang w:eastAsia="ja-JP"/>
              </w:rPr>
              <w:t xml:space="preserve"> </w:t>
            </w:r>
            <w:r w:rsidR="00A3133F">
              <w:rPr>
                <w:rFonts w:eastAsia="MS Mincho" w:hint="eastAsia"/>
                <w:lang w:eastAsia="ja-JP"/>
              </w:rPr>
              <w:t>comment resolution (</w:t>
            </w:r>
            <w:proofErr w:type="spellStart"/>
            <w:r w:rsidR="00301726">
              <w:rPr>
                <w:rFonts w:eastAsia="MS Mincho"/>
                <w:lang w:eastAsia="ja-JP"/>
              </w:rPr>
              <w:t>Misc</w:t>
            </w:r>
            <w:proofErr w:type="spellEnd"/>
            <w:r w:rsidR="00301726">
              <w:rPr>
                <w:rFonts w:eastAsia="MS Mincho"/>
                <w:lang w:eastAsia="ja-JP"/>
              </w:rPr>
              <w:t xml:space="preserve"> PHY comments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01726">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01726">
              <w:rPr>
                <w:rFonts w:eastAsia="MS Mincho"/>
                <w:b w:val="0"/>
                <w:sz w:val="20"/>
                <w:lang w:eastAsia="ja-JP"/>
              </w:rPr>
              <w:t>3</w:t>
            </w:r>
            <w:r w:rsidR="00961955">
              <w:rPr>
                <w:b w:val="0"/>
                <w:sz w:val="20"/>
              </w:rPr>
              <w:t>-</w:t>
            </w:r>
            <w:r w:rsidR="006423D4">
              <w:rPr>
                <w:b w:val="0"/>
                <w:sz w:val="20"/>
              </w:rPr>
              <w:t>05</w:t>
            </w:r>
            <w:r w:rsidR="008B1D0A" w:rsidRPr="005B533A">
              <w:rPr>
                <w:b w:val="0"/>
                <w:sz w:val="20"/>
              </w:rPr>
              <w:t>-</w:t>
            </w:r>
            <w:r w:rsidR="00D7263E">
              <w:rPr>
                <w:b w:val="0"/>
                <w:sz w:val="20"/>
              </w:rPr>
              <w:t>1</w:t>
            </w:r>
            <w:r w:rsidR="006423D4">
              <w:rPr>
                <w:b w:val="0"/>
                <w:sz w:val="20"/>
              </w:rPr>
              <w:t>3</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301726" w:rsidP="00537C16">
            <w:pPr>
              <w:pStyle w:val="T2"/>
              <w:spacing w:after="0"/>
              <w:ind w:left="0" w:right="0"/>
              <w:rPr>
                <w:rFonts w:eastAsia="MS Mincho"/>
                <w:b w:val="0"/>
                <w:sz w:val="20"/>
                <w:lang w:eastAsia="ja-JP"/>
              </w:rPr>
            </w:pPr>
            <w:r>
              <w:rPr>
                <w:rFonts w:eastAsia="MS Mincho"/>
                <w:b w:val="0"/>
                <w:sz w:val="20"/>
                <w:lang w:eastAsia="ja-JP"/>
              </w:rPr>
              <w:t>1700 Technology Drive, San Jose</w:t>
            </w:r>
            <w:r w:rsidR="000D3850" w:rsidRPr="002F1C84">
              <w:rPr>
                <w:rFonts w:eastAsia="MS Mincho"/>
                <w:b w:val="0"/>
                <w:sz w:val="20"/>
                <w:lang w:eastAsia="ja-JP"/>
              </w:rPr>
              <w:t>, CA</w:t>
            </w:r>
          </w:p>
        </w:tc>
        <w:tc>
          <w:tcPr>
            <w:tcW w:w="2127" w:type="dxa"/>
            <w:vAlign w:val="center"/>
          </w:tcPr>
          <w:p w:rsidR="009C34C8" w:rsidRPr="002F1C84" w:rsidRDefault="002F1C84" w:rsidP="00301726">
            <w:pPr>
              <w:pStyle w:val="T2"/>
              <w:spacing w:after="0"/>
              <w:ind w:left="0" w:right="0"/>
              <w:rPr>
                <w:rFonts w:eastAsia="MS Mincho"/>
                <w:b w:val="0"/>
                <w:sz w:val="20"/>
                <w:lang w:eastAsia="ja-JP"/>
              </w:rPr>
            </w:pPr>
            <w:r w:rsidRPr="002F1C84">
              <w:rPr>
                <w:rFonts w:eastAsia="MS Mincho"/>
                <w:b w:val="0"/>
                <w:sz w:val="20"/>
                <w:lang w:eastAsia="ja-JP"/>
              </w:rPr>
              <w:t>408-</w:t>
            </w:r>
            <w:r w:rsidR="00301726">
              <w:rPr>
                <w:rFonts w:eastAsia="MS Mincho"/>
                <w:b w:val="0"/>
                <w:sz w:val="20"/>
                <w:lang w:eastAsia="ja-JP"/>
              </w:rPr>
              <w:t>6521053</w:t>
            </w:r>
          </w:p>
        </w:tc>
        <w:tc>
          <w:tcPr>
            <w:tcW w:w="1671" w:type="dxa"/>
            <w:vAlign w:val="center"/>
          </w:tcPr>
          <w:p w:rsidR="009C34C8" w:rsidRPr="002F1C84" w:rsidRDefault="00422447"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w:t>
                            </w:r>
                            <w:r w:rsidR="006423D4">
                              <w:rPr>
                                <w:rFonts w:eastAsia="MS Mincho"/>
                                <w:lang w:eastAsia="ja-JP"/>
                              </w:rPr>
                              <w:t>5</w:t>
                            </w:r>
                            <w:r>
                              <w:t xml:space="preserve"> of P802.11af D</w:t>
                            </w:r>
                            <w:r w:rsidR="006423D4">
                              <w:rPr>
                                <w:rFonts w:eastAsia="MS Mincho"/>
                                <w:lang w:eastAsia="ja-JP"/>
                              </w:rPr>
                              <w:t>4</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w:t>
                            </w:r>
                            <w:r w:rsidR="006423D4">
                              <w:rPr>
                                <w:rFonts w:eastAsia="MS Mincho"/>
                                <w:lang w:eastAsia="ja-JP"/>
                              </w:rPr>
                              <w:t>4</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6423D4">
                              <w:rPr>
                                <w:rFonts w:eastAsia="MS Mincho"/>
                                <w:lang w:eastAsia="ja-JP"/>
                              </w:rPr>
                              <w:t>3005, 3006, and 3009</w:t>
                            </w:r>
                            <w:r>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w:t>
                      </w:r>
                      <w:r w:rsidR="006423D4">
                        <w:rPr>
                          <w:rFonts w:eastAsia="MS Mincho"/>
                          <w:lang w:eastAsia="ja-JP"/>
                        </w:rPr>
                        <w:t>5</w:t>
                      </w:r>
                      <w:r>
                        <w:t xml:space="preserve"> of P802.11af D</w:t>
                      </w:r>
                      <w:r w:rsidR="006423D4">
                        <w:rPr>
                          <w:rFonts w:eastAsia="MS Mincho"/>
                          <w:lang w:eastAsia="ja-JP"/>
                        </w:rPr>
                        <w:t>4</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w:t>
                      </w:r>
                      <w:r w:rsidR="006423D4">
                        <w:rPr>
                          <w:rFonts w:eastAsia="MS Mincho"/>
                          <w:lang w:eastAsia="ja-JP"/>
                        </w:rPr>
                        <w:t>4</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6423D4">
                        <w:rPr>
                          <w:rFonts w:eastAsia="MS Mincho"/>
                          <w:lang w:eastAsia="ja-JP"/>
                        </w:rPr>
                        <w:t>3005, 3006, and 3009</w:t>
                      </w:r>
                      <w:r>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Pr="00A3133F" w:rsidRDefault="007F509D" w:rsidP="007F509D">
      <w:pPr>
        <w:rPr>
          <w:rFonts w:eastAsia="MS Mincho"/>
          <w:lang w:eastAsia="ja-JP"/>
        </w:rPr>
      </w:pPr>
    </w:p>
    <w:tbl>
      <w:tblPr>
        <w:tblW w:w="5271"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0"/>
        <w:gridCol w:w="596"/>
        <w:gridCol w:w="886"/>
        <w:gridCol w:w="2278"/>
        <w:gridCol w:w="2350"/>
        <w:gridCol w:w="3321"/>
      </w:tblGrid>
      <w:tr w:rsidR="00EC29CF" w:rsidRPr="005B533A" w:rsidTr="00B54112">
        <w:trPr>
          <w:tblHeader/>
          <w:tblCellSpacing w:w="0" w:type="dxa"/>
        </w:trPr>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06D27" w:rsidRDefault="00EC29CF" w:rsidP="007406F0">
            <w:pPr>
              <w:jc w:val="center"/>
              <w:rPr>
                <w:b/>
                <w:bCs/>
                <w:sz w:val="24"/>
                <w:szCs w:val="24"/>
                <w:lang w:val="en-US"/>
              </w:rPr>
            </w:pPr>
            <w:r w:rsidRPr="00506D27">
              <w:rPr>
                <w:rFonts w:ascii="Arial" w:hAnsi="Arial" w:cs="Arial"/>
                <w:b/>
                <w:bCs/>
                <w:sz w:val="20"/>
                <w:lang w:val="en-US"/>
              </w:rPr>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Page</w:t>
            </w:r>
          </w:p>
        </w:tc>
        <w:tc>
          <w:tcPr>
            <w:tcW w:w="44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Clause</w:t>
            </w:r>
          </w:p>
        </w:tc>
        <w:tc>
          <w:tcPr>
            <w:tcW w:w="114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Comment</w:t>
            </w:r>
          </w:p>
        </w:tc>
        <w:tc>
          <w:tcPr>
            <w:tcW w:w="118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Proposed Change</w:t>
            </w:r>
          </w:p>
        </w:tc>
        <w:tc>
          <w:tcPr>
            <w:tcW w:w="1672" w:type="pct"/>
            <w:tcBorders>
              <w:top w:val="outset" w:sz="6" w:space="0" w:color="000000"/>
              <w:left w:val="outset" w:sz="6" w:space="0" w:color="000000"/>
              <w:bottom w:val="outset" w:sz="6" w:space="0" w:color="000000"/>
              <w:right w:val="outset" w:sz="6" w:space="0" w:color="000000"/>
            </w:tcBorders>
            <w:shd w:val="clear" w:color="auto" w:fill="C0C0C0"/>
          </w:tcPr>
          <w:p w:rsidR="00EC29CF" w:rsidRPr="005B533A" w:rsidRDefault="0000235C" w:rsidP="007406F0">
            <w:pPr>
              <w:jc w:val="center"/>
              <w:rPr>
                <w:rFonts w:ascii="Arial" w:hAnsi="Arial" w:cs="Arial"/>
                <w:b/>
                <w:bCs/>
                <w:color w:val="000000"/>
                <w:sz w:val="20"/>
                <w:lang w:val="en-US"/>
              </w:rPr>
            </w:pPr>
            <w:r>
              <w:rPr>
                <w:rFonts w:ascii="Arial" w:hAnsi="Arial" w:cs="Arial"/>
                <w:b/>
                <w:bCs/>
                <w:color w:val="000000"/>
                <w:sz w:val="20"/>
                <w:lang w:val="en-US"/>
              </w:rPr>
              <w:t xml:space="preserve">Proposed </w:t>
            </w:r>
            <w:r w:rsidR="00EC29CF">
              <w:rPr>
                <w:rFonts w:ascii="Arial" w:hAnsi="Arial" w:cs="Arial"/>
                <w:b/>
                <w:bCs/>
                <w:color w:val="000000"/>
                <w:sz w:val="20"/>
                <w:lang w:val="en-US"/>
              </w:rPr>
              <w:t>Resolution</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3005</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49.49</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8.4.2.164</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Local Maximum Transmit Power for 20 MHz fields indicates the Local Maximum Transmit Power for TVHT_W bandwidth" is confusing.</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to "the Local Maximum Transmit Power for W bandwidth fields indicates the Local Maximum Transmit Power for TVHT_W bandwidth" and redefine 20MHz, 40MHz, 80MHz, 160MHz as W, 2W, 4W, 8W. W in different band has different value.</w:t>
            </w:r>
          </w:p>
          <w:p w:rsidR="00EC29CF" w:rsidRPr="00EC29CF" w:rsidRDefault="00EC29CF" w:rsidP="00EC29CF">
            <w:pPr>
              <w:rPr>
                <w:rFonts w:eastAsia="MS Mincho"/>
                <w:szCs w:val="22"/>
                <w:lang w:eastAsia="ja-JP"/>
              </w:rPr>
            </w:pP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0D2699" w:rsidP="00EC29CF">
            <w:pPr>
              <w:rPr>
                <w:szCs w:val="22"/>
              </w:rPr>
            </w:pPr>
            <w:r>
              <w:rPr>
                <w:szCs w:val="22"/>
              </w:rPr>
              <w:t>REVISED</w:t>
            </w:r>
            <w:r w:rsidR="00EC29CF">
              <w:rPr>
                <w:szCs w:val="22"/>
              </w:rPr>
              <w:t>.</w:t>
            </w:r>
          </w:p>
          <w:p w:rsidR="00EC29CF" w:rsidRDefault="00EC29CF" w:rsidP="00EC29CF">
            <w:pPr>
              <w:rPr>
                <w:szCs w:val="22"/>
              </w:rPr>
            </w:pPr>
          </w:p>
          <w:p w:rsidR="00B54112" w:rsidRDefault="000D2699" w:rsidP="00EC29CF">
            <w:pPr>
              <w:rPr>
                <w:rFonts w:eastAsia="MS Mincho"/>
                <w:lang w:eastAsia="ja-JP"/>
              </w:rPr>
            </w:pPr>
            <w:r>
              <w:rPr>
                <w:rFonts w:eastAsia="MS Mincho"/>
                <w:lang w:eastAsia="ja-JP"/>
              </w:rPr>
              <w:t xml:space="preserve">The text is clear. We recommend the reviewer to propose a complete paragraph that can be considered by the task group. </w:t>
            </w:r>
          </w:p>
          <w:p w:rsidR="00B54112" w:rsidRDefault="00B54112" w:rsidP="00EC29CF">
            <w:pPr>
              <w:rPr>
                <w:rFonts w:eastAsia="MS Mincho"/>
                <w:lang w:eastAsia="ja-JP"/>
              </w:rPr>
            </w:pPr>
          </w:p>
          <w:p w:rsidR="00EC29CF" w:rsidRPr="00EC29CF" w:rsidRDefault="00B54112" w:rsidP="00B54112">
            <w:pPr>
              <w:rPr>
                <w:szCs w:val="22"/>
              </w:rPr>
            </w:pPr>
            <w:r>
              <w:rPr>
                <w:rFonts w:eastAsia="MS Mincho"/>
                <w:lang w:eastAsia="ja-JP"/>
              </w:rPr>
              <w:t>M</w:t>
            </w:r>
            <w:r w:rsidR="000D2699">
              <w:rPr>
                <w:rFonts w:eastAsia="MS Mincho"/>
                <w:lang w:eastAsia="ja-JP"/>
              </w:rPr>
              <w:t>inor editorial changes</w:t>
            </w:r>
            <w:r>
              <w:rPr>
                <w:rFonts w:eastAsia="MS Mincho"/>
                <w:lang w:eastAsia="ja-JP"/>
              </w:rPr>
              <w:t xml:space="preserve"> to the paragraph are done as given in editing</w:t>
            </w:r>
            <w:r w:rsidR="000D2699">
              <w:rPr>
                <w:rFonts w:eastAsia="MS Mincho"/>
                <w:lang w:eastAsia="ja-JP"/>
              </w:rPr>
              <w:t xml:space="preserve"> instruction section</w:t>
            </w:r>
            <w:r>
              <w:rPr>
                <w:rFonts w:eastAsia="MS Mincho"/>
                <w:lang w:eastAsia="ja-JP"/>
              </w:rPr>
              <w:t>.</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3006</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53.39</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8.4.2.170</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 xml:space="preserve">11n and 11ac provide better spatial reuse by restricting </w:t>
            </w:r>
            <w:proofErr w:type="gramStart"/>
            <w:r>
              <w:rPr>
                <w:rFonts w:ascii="Arial" w:hAnsi="Arial" w:cs="Arial"/>
                <w:sz w:val="20"/>
              </w:rPr>
              <w:t>Basic  MCS</w:t>
            </w:r>
            <w:proofErr w:type="gramEnd"/>
            <w:r>
              <w:rPr>
                <w:rFonts w:ascii="Arial" w:hAnsi="Arial" w:cs="Arial"/>
                <w:sz w:val="20"/>
              </w:rPr>
              <w:t xml:space="preserve"> Set of a BSS. This feature is missing in 11af.</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EC29CF" w:rsidRPr="006423D4" w:rsidRDefault="006423D4" w:rsidP="00EC29CF">
            <w:pPr>
              <w:rPr>
                <w:rFonts w:ascii="Arial" w:hAnsi="Arial" w:cs="Arial"/>
                <w:sz w:val="20"/>
              </w:rPr>
            </w:pPr>
            <w:r>
              <w:rPr>
                <w:rFonts w:ascii="Arial" w:hAnsi="Arial" w:cs="Arial"/>
                <w:sz w:val="20"/>
              </w:rPr>
              <w:t>Evaluate the feature to decide whether 11af need it.</w:t>
            </w: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C57DAB" w:rsidP="00EC29CF">
            <w:pPr>
              <w:rPr>
                <w:szCs w:val="22"/>
              </w:rPr>
            </w:pPr>
            <w:r>
              <w:rPr>
                <w:szCs w:val="22"/>
              </w:rPr>
              <w:t>REVISED</w:t>
            </w:r>
            <w:r w:rsidR="00C45EE1">
              <w:rPr>
                <w:szCs w:val="22"/>
              </w:rPr>
              <w:t>.</w:t>
            </w:r>
          </w:p>
          <w:p w:rsidR="008F07D2" w:rsidRDefault="008F07D2" w:rsidP="00EC29CF">
            <w:pPr>
              <w:rPr>
                <w:szCs w:val="22"/>
              </w:rPr>
            </w:pPr>
          </w:p>
          <w:p w:rsidR="008F07D2" w:rsidRDefault="00C57DAB" w:rsidP="00C57DAB">
            <w:pPr>
              <w:rPr>
                <w:szCs w:val="22"/>
              </w:rPr>
            </w:pPr>
            <w:r>
              <w:rPr>
                <w:szCs w:val="22"/>
              </w:rPr>
              <w:t xml:space="preserve">Editorial changes are given in the editing instructions to clarify that old “VHT Basic MCS Set” contains the MCSs for each NSS. </w:t>
            </w:r>
          </w:p>
          <w:p w:rsidR="00C57DAB" w:rsidRDefault="00C57DAB" w:rsidP="00C57DAB">
            <w:pPr>
              <w:rPr>
                <w:szCs w:val="22"/>
              </w:rPr>
            </w:pPr>
          </w:p>
          <w:p w:rsidR="00C57DAB" w:rsidRDefault="00C57DAB" w:rsidP="00C57DAB">
            <w:pPr>
              <w:rPr>
                <w:szCs w:val="22"/>
              </w:rPr>
            </w:pPr>
          </w:p>
          <w:p w:rsidR="00C57DAB" w:rsidRPr="00EC29CF" w:rsidRDefault="00C57DAB" w:rsidP="00C57DAB">
            <w:pPr>
              <w:rPr>
                <w:szCs w:val="22"/>
              </w:rPr>
            </w:pPr>
            <w:r>
              <w:rPr>
                <w:szCs w:val="22"/>
              </w:rPr>
              <w:t>The comment might be referring to another section as there is no text in 8.4.2.170 in Draft 5.0 of 11ac related to restricting basic MCS set.</w:t>
            </w:r>
          </w:p>
        </w:tc>
      </w:tr>
      <w:tr w:rsidR="00EC29CF" w:rsidRPr="005B533A" w:rsidTr="00B54112">
        <w:trPr>
          <w:tblCellSpacing w:w="0" w:type="dxa"/>
        </w:trPr>
        <w:tc>
          <w:tcPr>
            <w:tcW w:w="252" w:type="pct"/>
            <w:tcBorders>
              <w:top w:val="outset" w:sz="6" w:space="0" w:color="C0C0C0"/>
              <w:left w:val="outset" w:sz="6" w:space="0" w:color="C0C0C0"/>
              <w:bottom w:val="outset" w:sz="6" w:space="0" w:color="C0C0C0"/>
              <w:right w:val="outset" w:sz="6" w:space="0" w:color="C0C0C0"/>
            </w:tcBorders>
            <w:shd w:val="clear" w:color="auto" w:fill="FFFFFF"/>
          </w:tcPr>
          <w:p w:rsidR="00EC29CF" w:rsidRPr="00506D27" w:rsidRDefault="006423D4" w:rsidP="00EC29CF">
            <w:pPr>
              <w:rPr>
                <w:rFonts w:eastAsia="MS Mincho"/>
                <w:szCs w:val="22"/>
                <w:lang w:eastAsia="ja-JP"/>
              </w:rPr>
            </w:pPr>
            <w:r w:rsidRPr="00506D27">
              <w:rPr>
                <w:rFonts w:eastAsia="MS Mincho"/>
                <w:szCs w:val="22"/>
                <w:lang w:eastAsia="ja-JP"/>
              </w:rPr>
              <w:t>3009</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68.27</w:t>
            </w:r>
          </w:p>
          <w:p w:rsidR="00EC29CF" w:rsidRPr="00EC29CF" w:rsidRDefault="00EC29CF" w:rsidP="00EC29CF">
            <w:pPr>
              <w:rPr>
                <w:rFonts w:eastAsia="MS Mincho"/>
                <w:szCs w:val="22"/>
                <w:lang w:eastAsia="ja-JP"/>
              </w:rPr>
            </w:pPr>
          </w:p>
        </w:tc>
        <w:tc>
          <w:tcPr>
            <w:tcW w:w="446"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6423D4" w:rsidP="00EC29CF">
            <w:pPr>
              <w:rPr>
                <w:rFonts w:eastAsia="MS Mincho"/>
                <w:szCs w:val="22"/>
                <w:lang w:eastAsia="ja-JP"/>
              </w:rPr>
            </w:pPr>
            <w:r>
              <w:rPr>
                <w:rFonts w:eastAsia="MS Mincho"/>
                <w:szCs w:val="22"/>
                <w:lang w:eastAsia="ja-JP"/>
              </w:rPr>
              <w:t>10.42</w:t>
            </w:r>
          </w:p>
        </w:tc>
        <w:tc>
          <w:tcPr>
            <w:tcW w:w="1147"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 xml:space="preserve">Where is </w:t>
            </w:r>
            <w:proofErr w:type="spellStart"/>
            <w:r>
              <w:rPr>
                <w:rFonts w:ascii="Arial" w:hAnsi="Arial" w:cs="Arial"/>
                <w:sz w:val="20"/>
              </w:rPr>
              <w:t>OperationalVHTMCS_NSSSet</w:t>
            </w:r>
            <w:proofErr w:type="spellEnd"/>
            <w:r>
              <w:rPr>
                <w:rFonts w:ascii="Arial" w:hAnsi="Arial" w:cs="Arial"/>
                <w:sz w:val="20"/>
              </w:rPr>
              <w:t xml:space="preserve"> defined? To me only peer STA's MCS capabilities, BSS's </w:t>
            </w:r>
            <w:proofErr w:type="spellStart"/>
            <w:r>
              <w:rPr>
                <w:rFonts w:ascii="Arial" w:hAnsi="Arial" w:cs="Arial"/>
                <w:sz w:val="20"/>
              </w:rPr>
              <w:t>Bacsic</w:t>
            </w:r>
            <w:proofErr w:type="spellEnd"/>
            <w:r>
              <w:rPr>
                <w:rFonts w:ascii="Arial" w:hAnsi="Arial" w:cs="Arial"/>
                <w:sz w:val="20"/>
              </w:rPr>
              <w:t xml:space="preserve"> MCS Set, </w:t>
            </w:r>
            <w:proofErr w:type="spellStart"/>
            <w:r>
              <w:rPr>
                <w:rFonts w:ascii="Arial" w:hAnsi="Arial" w:cs="Arial"/>
                <w:sz w:val="20"/>
              </w:rPr>
              <w:t>madatory</w:t>
            </w:r>
            <w:proofErr w:type="spellEnd"/>
            <w:r>
              <w:rPr>
                <w:rFonts w:ascii="Arial" w:hAnsi="Arial" w:cs="Arial"/>
                <w:sz w:val="20"/>
              </w:rPr>
              <w:t xml:space="preserve"> MCS Set </w:t>
            </w:r>
            <w:proofErr w:type="gramStart"/>
            <w:r>
              <w:rPr>
                <w:rFonts w:ascii="Arial" w:hAnsi="Arial" w:cs="Arial"/>
                <w:sz w:val="20"/>
              </w:rPr>
              <w:t>are</w:t>
            </w:r>
            <w:proofErr w:type="gramEnd"/>
            <w:r>
              <w:rPr>
                <w:rFonts w:ascii="Arial" w:hAnsi="Arial" w:cs="Arial"/>
                <w:sz w:val="20"/>
              </w:rPr>
              <w:t xml:space="preserve"> defined.</w:t>
            </w:r>
          </w:p>
          <w:p w:rsidR="00EC29CF" w:rsidRPr="00EC29CF" w:rsidRDefault="00EC29CF" w:rsidP="00EC29CF">
            <w:pPr>
              <w:rPr>
                <w:rFonts w:eastAsia="MS Mincho"/>
                <w:szCs w:val="22"/>
                <w:lang w:eastAsia="ja-JP"/>
              </w:rPr>
            </w:pPr>
          </w:p>
        </w:tc>
        <w:tc>
          <w:tcPr>
            <w:tcW w:w="1183" w:type="pct"/>
            <w:tcBorders>
              <w:top w:val="outset" w:sz="6" w:space="0" w:color="C0C0C0"/>
              <w:left w:val="outset" w:sz="6" w:space="0" w:color="C0C0C0"/>
              <w:bottom w:val="outset" w:sz="6" w:space="0" w:color="C0C0C0"/>
              <w:right w:val="outset" w:sz="6" w:space="0" w:color="C0C0C0"/>
            </w:tcBorders>
            <w:shd w:val="clear" w:color="auto" w:fill="FFFFFF"/>
          </w:tcPr>
          <w:p w:rsidR="006423D4" w:rsidRDefault="006423D4" w:rsidP="006423D4">
            <w:pPr>
              <w:rPr>
                <w:rFonts w:ascii="Arial" w:hAnsi="Arial" w:cs="Arial"/>
                <w:sz w:val="20"/>
              </w:rPr>
            </w:pPr>
            <w:r>
              <w:rPr>
                <w:rFonts w:ascii="Arial" w:hAnsi="Arial" w:cs="Arial"/>
                <w:sz w:val="20"/>
              </w:rPr>
              <w:t>Clarify it.</w:t>
            </w:r>
          </w:p>
          <w:p w:rsidR="00EC29CF" w:rsidRPr="00EC29CF" w:rsidRDefault="00EC29CF" w:rsidP="00EC29CF">
            <w:pPr>
              <w:rPr>
                <w:rFonts w:eastAsia="MS Mincho"/>
                <w:szCs w:val="22"/>
                <w:lang w:eastAsia="ja-JP"/>
              </w:rPr>
            </w:pPr>
          </w:p>
        </w:tc>
        <w:tc>
          <w:tcPr>
            <w:tcW w:w="1672"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0D2699" w:rsidP="00EC29CF">
            <w:pPr>
              <w:rPr>
                <w:szCs w:val="22"/>
              </w:rPr>
            </w:pPr>
            <w:r>
              <w:rPr>
                <w:szCs w:val="22"/>
              </w:rPr>
              <w:t>REVISED</w:t>
            </w:r>
            <w:r w:rsidR="000675C1">
              <w:rPr>
                <w:szCs w:val="22"/>
              </w:rPr>
              <w:t>.</w:t>
            </w:r>
          </w:p>
          <w:p w:rsidR="000675C1" w:rsidRDefault="000675C1" w:rsidP="00EC29CF">
            <w:pPr>
              <w:rPr>
                <w:szCs w:val="22"/>
              </w:rPr>
            </w:pPr>
          </w:p>
          <w:p w:rsidR="000D2699" w:rsidRDefault="000D2699" w:rsidP="000D2699">
            <w:pPr>
              <w:rPr>
                <w:lang w:val="en-US"/>
              </w:rPr>
            </w:pPr>
            <w:r>
              <w:rPr>
                <w:szCs w:val="22"/>
              </w:rPr>
              <w:t xml:space="preserve">The parameter </w:t>
            </w:r>
            <w:proofErr w:type="spellStart"/>
            <w:r w:rsidRPr="000D2699">
              <w:rPr>
                <w:lang w:val="en-US"/>
              </w:rPr>
              <w:t>OperationalVHTMCS_NSSSet</w:t>
            </w:r>
            <w:proofErr w:type="spellEnd"/>
            <w:r w:rsidR="00460D1B">
              <w:rPr>
                <w:lang w:val="en-US"/>
              </w:rPr>
              <w:t xml:space="preserve"> is defined in </w:t>
            </w:r>
            <w:proofErr w:type="spellStart"/>
            <w:r w:rsidR="00460D1B">
              <w:rPr>
                <w:lang w:val="en-US"/>
              </w:rPr>
              <w:t>TGac</w:t>
            </w:r>
            <w:proofErr w:type="spellEnd"/>
            <w:r w:rsidR="00460D1B">
              <w:rPr>
                <w:lang w:val="en-US"/>
              </w:rPr>
              <w:t xml:space="preserve"> draft (section 6.3.4.2.2)</w:t>
            </w:r>
          </w:p>
          <w:p w:rsidR="000D2699" w:rsidRDefault="000D2699" w:rsidP="000D2699">
            <w:pPr>
              <w:rPr>
                <w:lang w:val="en-US"/>
              </w:rPr>
            </w:pPr>
          </w:p>
          <w:p w:rsidR="000D2699" w:rsidRPr="00EC29CF" w:rsidRDefault="000D2699" w:rsidP="000D2699">
            <w:pPr>
              <w:rPr>
                <w:szCs w:val="22"/>
              </w:rPr>
            </w:pPr>
            <w:r>
              <w:rPr>
                <w:lang w:val="en-US"/>
              </w:rPr>
              <w:t xml:space="preserve">The text needs to be updated to align with </w:t>
            </w:r>
            <w:proofErr w:type="spellStart"/>
            <w:r>
              <w:rPr>
                <w:lang w:val="en-US"/>
              </w:rPr>
              <w:t>TGac</w:t>
            </w:r>
            <w:proofErr w:type="spellEnd"/>
            <w:r>
              <w:rPr>
                <w:lang w:val="en-US"/>
              </w:rPr>
              <w:t xml:space="preserve"> draft 5.0 as shown in editing instructions section.</w:t>
            </w:r>
          </w:p>
        </w:tc>
      </w:tr>
    </w:tbl>
    <w:p w:rsidR="007F509D" w:rsidRDefault="007F509D" w:rsidP="007F509D"/>
    <w:p w:rsidR="000D2699" w:rsidRDefault="000D2699"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lastRenderedPageBreak/>
        <w:t>Editing instructions</w:t>
      </w:r>
      <w:r w:rsidR="000D2699">
        <w:rPr>
          <w:rFonts w:eastAsia="MS Mincho"/>
          <w:lang w:eastAsia="ja-JP"/>
        </w:rPr>
        <w:t>:</w:t>
      </w:r>
    </w:p>
    <w:p w:rsidR="002D5C9A"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8F07D2">
        <w:rPr>
          <w:b/>
          <w:i/>
          <w:lang w:val="en-US"/>
        </w:rPr>
        <w:t xml:space="preserve">the paragraph in </w:t>
      </w:r>
      <w:r w:rsidR="000D2699">
        <w:rPr>
          <w:b/>
          <w:i/>
          <w:lang w:val="en-US"/>
        </w:rPr>
        <w:t>8.4.2.164</w:t>
      </w:r>
      <w:r>
        <w:rPr>
          <w:b/>
          <w:i/>
          <w:lang w:val="en-US"/>
        </w:rPr>
        <w:t xml:space="preserve"> as shown</w:t>
      </w:r>
      <w:r w:rsidR="004D0D2B">
        <w:rPr>
          <w:b/>
          <w:i/>
          <w:lang w:val="en-US"/>
        </w:rPr>
        <w:t xml:space="preserve"> below</w:t>
      </w:r>
    </w:p>
    <w:p w:rsidR="000D2699" w:rsidRPr="000D2699" w:rsidRDefault="000D2699" w:rsidP="000D2699">
      <w:pPr>
        <w:rPr>
          <w:color w:val="000000"/>
          <w:sz w:val="20"/>
          <w:lang w:val="en-US"/>
        </w:rPr>
      </w:pPr>
    </w:p>
    <w:p w:rsidR="000D2699" w:rsidRPr="000D2699" w:rsidRDefault="000D2699" w:rsidP="000D2699">
      <w:pPr>
        <w:rPr>
          <w:color w:val="000000"/>
          <w:sz w:val="20"/>
          <w:lang w:val="en-US"/>
        </w:rPr>
      </w:pPr>
      <w:r w:rsidRPr="000D2699">
        <w:rPr>
          <w:lang w:val="en-US"/>
        </w:rPr>
        <w:t>For TVHT STA, the Local Maximum Transmit Power for 20 MHz field</w:t>
      </w:r>
      <w:r w:rsidRPr="000D2699">
        <w:rPr>
          <w:strike/>
          <w:lang w:val="en-US"/>
        </w:rPr>
        <w:t>s</w:t>
      </w:r>
      <w:r w:rsidRPr="000D2699">
        <w:rPr>
          <w:lang w:val="en-US"/>
        </w:rPr>
        <w:t xml:space="preserve"> indicates the Local Maximum Transmit Power for TVHT_W bandwidth; the local Maximum Transmit Power for 40 MHz field</w:t>
      </w:r>
      <w:r w:rsidRPr="000D2699">
        <w:rPr>
          <w:strike/>
          <w:lang w:val="en-US"/>
        </w:rPr>
        <w:t>s</w:t>
      </w:r>
      <w:r w:rsidRPr="000D2699">
        <w:rPr>
          <w:lang w:val="en-US"/>
        </w:rPr>
        <w:t xml:space="preserve"> indicates the Local Maximum Transmit Power for TVHT_2W or TVHT_W+W bandwidth; the local Maximum Transmit Power for 80 MHz field</w:t>
      </w:r>
      <w:r w:rsidRPr="000D2699">
        <w:rPr>
          <w:strike/>
          <w:lang w:val="en-US"/>
        </w:rPr>
        <w:t>s</w:t>
      </w:r>
      <w:r w:rsidRPr="000D2699">
        <w:rPr>
          <w:lang w:val="en-US"/>
        </w:rPr>
        <w:t xml:space="preserve"> indicates the Local Maximum Transmit Power for TVHT_4W or TVHT_2W+2W bandwidth; the local Maximum Transmit Power for 160/80+80 MHz fields is not included in the VHT Transmit Power Envelope element.</w:t>
      </w:r>
    </w:p>
    <w:p w:rsidR="000D2699" w:rsidRDefault="000D2699" w:rsidP="0032512A">
      <w:pPr>
        <w:rPr>
          <w:color w:val="000000"/>
          <w:sz w:val="20"/>
          <w:lang w:val="en-US"/>
        </w:rPr>
      </w:pPr>
    </w:p>
    <w:p w:rsidR="00B54112" w:rsidRDefault="00B54112" w:rsidP="0032512A">
      <w:pPr>
        <w:rPr>
          <w:color w:val="000000"/>
          <w:sz w:val="20"/>
          <w:lang w:val="en-US"/>
        </w:rPr>
      </w:pPr>
    </w:p>
    <w:p w:rsidR="00B54112" w:rsidRDefault="00B54112" w:rsidP="0032512A">
      <w:pPr>
        <w:rPr>
          <w:color w:val="000000"/>
          <w:sz w:val="20"/>
          <w:lang w:val="en-US"/>
        </w:rPr>
      </w:pPr>
    </w:p>
    <w:p w:rsidR="00B54112" w:rsidRDefault="00B54112" w:rsidP="0032512A">
      <w:pPr>
        <w:rPr>
          <w:b/>
          <w:i/>
          <w:lang w:val="en-US"/>
        </w:rPr>
      </w:pPr>
      <w:r w:rsidRPr="00C57DAB">
        <w:rPr>
          <w:b/>
          <w:i/>
          <w:lang w:val="en-US"/>
        </w:rPr>
        <w:t>TGaf editor: Change Figure 8-401ch as shown below</w:t>
      </w:r>
    </w:p>
    <w:p w:rsidR="00C57DAB" w:rsidRPr="00C57DAB" w:rsidRDefault="00C57DAB" w:rsidP="0032512A">
      <w:pPr>
        <w:rPr>
          <w:b/>
          <w:i/>
          <w:lang w:val="en-US"/>
        </w:rPr>
      </w:pPr>
    </w:p>
    <w:tbl>
      <w:tblPr>
        <w:tblStyle w:val="TableGrid"/>
        <w:tblW w:w="0" w:type="auto"/>
        <w:tblInd w:w="1278" w:type="dxa"/>
        <w:tblLook w:val="04A0" w:firstRow="1" w:lastRow="0" w:firstColumn="1" w:lastColumn="0" w:noHBand="0" w:noVBand="1"/>
      </w:tblPr>
      <w:tblGrid>
        <w:gridCol w:w="1116"/>
        <w:gridCol w:w="1404"/>
        <w:gridCol w:w="2160"/>
        <w:gridCol w:w="1890"/>
      </w:tblGrid>
      <w:tr w:rsidR="00B54112" w:rsidTr="00C57DAB">
        <w:tc>
          <w:tcPr>
            <w:tcW w:w="1116" w:type="dxa"/>
          </w:tcPr>
          <w:p w:rsidR="00B54112" w:rsidRDefault="00B54112" w:rsidP="0032512A">
            <w:pPr>
              <w:rPr>
                <w:color w:val="000000"/>
                <w:sz w:val="20"/>
                <w:lang w:val="en-US"/>
              </w:rPr>
            </w:pPr>
            <w:r>
              <w:rPr>
                <w:color w:val="000000"/>
                <w:sz w:val="20"/>
                <w:lang w:val="en-US"/>
              </w:rPr>
              <w:t>Element ID</w:t>
            </w:r>
          </w:p>
        </w:tc>
        <w:tc>
          <w:tcPr>
            <w:tcW w:w="1404" w:type="dxa"/>
          </w:tcPr>
          <w:p w:rsidR="00B54112" w:rsidRDefault="00B54112" w:rsidP="0032512A">
            <w:pPr>
              <w:rPr>
                <w:color w:val="000000"/>
                <w:sz w:val="20"/>
                <w:lang w:val="en-US"/>
              </w:rPr>
            </w:pPr>
            <w:r>
              <w:rPr>
                <w:color w:val="000000"/>
                <w:sz w:val="20"/>
                <w:lang w:val="en-US"/>
              </w:rPr>
              <w:t>Length</w:t>
            </w:r>
          </w:p>
        </w:tc>
        <w:tc>
          <w:tcPr>
            <w:tcW w:w="2160" w:type="dxa"/>
          </w:tcPr>
          <w:p w:rsidR="00B54112" w:rsidRDefault="00B54112" w:rsidP="0032512A">
            <w:pPr>
              <w:rPr>
                <w:color w:val="000000"/>
                <w:sz w:val="20"/>
                <w:lang w:val="en-US"/>
              </w:rPr>
            </w:pPr>
            <w:r>
              <w:rPr>
                <w:color w:val="000000"/>
                <w:sz w:val="20"/>
                <w:lang w:val="en-US"/>
              </w:rPr>
              <w:t>TVHT Operation Information</w:t>
            </w:r>
          </w:p>
        </w:tc>
        <w:tc>
          <w:tcPr>
            <w:tcW w:w="1890" w:type="dxa"/>
          </w:tcPr>
          <w:p w:rsidR="00B54112" w:rsidRDefault="00B54112" w:rsidP="0032512A">
            <w:pPr>
              <w:rPr>
                <w:color w:val="000000"/>
                <w:sz w:val="20"/>
                <w:lang w:val="en-US"/>
              </w:rPr>
            </w:pPr>
            <w:r w:rsidRPr="00B54112">
              <w:rPr>
                <w:strike/>
                <w:color w:val="000000"/>
                <w:sz w:val="20"/>
                <w:lang w:val="en-US"/>
              </w:rPr>
              <w:t>VHT Basic MCS Set</w:t>
            </w:r>
            <w:r>
              <w:rPr>
                <w:color w:val="000000"/>
                <w:sz w:val="20"/>
                <w:lang w:val="en-US"/>
              </w:rPr>
              <w:t xml:space="preserve"> </w:t>
            </w:r>
            <w:r w:rsidR="00FF0FB1">
              <w:rPr>
                <w:color w:val="000000"/>
                <w:sz w:val="20"/>
                <w:u w:val="single"/>
                <w:lang w:val="en-US"/>
              </w:rPr>
              <w:t xml:space="preserve">Basic </w:t>
            </w:r>
            <w:r w:rsidRPr="00B54112">
              <w:rPr>
                <w:color w:val="000000"/>
                <w:sz w:val="20"/>
                <w:u w:val="single"/>
                <w:lang w:val="en-US"/>
              </w:rPr>
              <w:t>VHT-MCS and NSS Set</w:t>
            </w:r>
          </w:p>
        </w:tc>
      </w:tr>
    </w:tbl>
    <w:p w:rsidR="00B54112" w:rsidRDefault="00B54112" w:rsidP="0032512A">
      <w:pPr>
        <w:rPr>
          <w:color w:val="000000"/>
          <w:sz w:val="20"/>
          <w:lang w:val="en-US"/>
        </w:rPr>
      </w:pPr>
    </w:p>
    <w:p w:rsidR="00C57DAB" w:rsidRDefault="00C57DAB" w:rsidP="0032512A">
      <w:pPr>
        <w:rPr>
          <w:color w:val="000000"/>
          <w:sz w:val="20"/>
          <w:lang w:val="en-US"/>
        </w:rPr>
      </w:pPr>
    </w:p>
    <w:p w:rsidR="00C57DAB" w:rsidRPr="00C57DAB" w:rsidRDefault="00C57DAB" w:rsidP="0032512A">
      <w:pPr>
        <w:rPr>
          <w:b/>
          <w:i/>
          <w:lang w:val="en-US"/>
        </w:rPr>
      </w:pPr>
      <w:r w:rsidRPr="00C57DAB">
        <w:rPr>
          <w:b/>
          <w:i/>
          <w:lang w:val="en-US"/>
        </w:rPr>
        <w:t>TGaf editor: Change the last paragraph of 8.4.2.170 as shown below</w:t>
      </w:r>
    </w:p>
    <w:p w:rsidR="00C57DAB" w:rsidRDefault="00C57DAB" w:rsidP="0032512A">
      <w:pPr>
        <w:rPr>
          <w:color w:val="000000"/>
          <w:sz w:val="20"/>
          <w:lang w:val="en-US"/>
        </w:rPr>
      </w:pPr>
    </w:p>
    <w:p w:rsidR="00C57DAB" w:rsidRPr="00C57DAB" w:rsidRDefault="00C57DAB" w:rsidP="00C57DAB">
      <w:pPr>
        <w:rPr>
          <w:lang w:val="en-US"/>
        </w:rPr>
      </w:pPr>
      <w:r w:rsidRPr="00C57DAB">
        <w:rPr>
          <w:lang w:val="en-US"/>
        </w:rPr>
        <w:t xml:space="preserve">The </w:t>
      </w:r>
      <w:r w:rsidRPr="00C57DAB">
        <w:rPr>
          <w:strike/>
          <w:lang w:val="en-US"/>
        </w:rPr>
        <w:t>VHT Basic MCS Set</w:t>
      </w:r>
      <w:r w:rsidRPr="00C57DAB">
        <w:rPr>
          <w:lang w:val="en-US"/>
        </w:rPr>
        <w:t xml:space="preserve"> </w:t>
      </w:r>
      <w:r w:rsidRPr="00C57DAB">
        <w:rPr>
          <w:u w:val="single"/>
          <w:lang w:val="en-US"/>
        </w:rPr>
        <w:t>Basic VHT-MCS and NSS Set</w:t>
      </w:r>
      <w:r>
        <w:rPr>
          <w:lang w:val="en-US"/>
        </w:rPr>
        <w:t xml:space="preserve"> </w:t>
      </w:r>
      <w:r w:rsidRPr="00C57DAB">
        <w:rPr>
          <w:lang w:val="en-US"/>
        </w:rPr>
        <w:t xml:space="preserve">field indicates the </w:t>
      </w:r>
      <w:r>
        <w:rPr>
          <w:lang w:val="en-US"/>
        </w:rPr>
        <w:t>VHT-</w:t>
      </w:r>
      <w:r w:rsidRPr="00C57DAB">
        <w:rPr>
          <w:lang w:val="en-US"/>
        </w:rPr>
        <w:t xml:space="preserve">MCSs for each </w:t>
      </w:r>
      <w:r w:rsidRPr="00C57DAB">
        <w:rPr>
          <w:strike/>
          <w:lang w:val="en-US"/>
        </w:rPr>
        <w:t>number of</w:t>
      </w:r>
      <w:r w:rsidRPr="00C57DAB">
        <w:rPr>
          <w:lang w:val="en-US"/>
        </w:rPr>
        <w:t xml:space="preserve"> spatial streams in VHT PPDU in TVWS bands that are supported by all TVHT STAs in the BSS (including IBSS). The </w:t>
      </w:r>
      <w:r w:rsidRPr="00C57DAB">
        <w:rPr>
          <w:strike/>
          <w:lang w:val="en-US"/>
        </w:rPr>
        <w:t>VHT Basic MCS Set</w:t>
      </w:r>
      <w:r w:rsidRPr="00C57DAB">
        <w:rPr>
          <w:lang w:val="en-US"/>
        </w:rPr>
        <w:t xml:space="preserve"> </w:t>
      </w:r>
      <w:r>
        <w:rPr>
          <w:lang w:val="en-US"/>
        </w:rPr>
        <w:t xml:space="preserve">Basic </w:t>
      </w:r>
      <w:r w:rsidRPr="00C57DAB">
        <w:rPr>
          <w:u w:val="single"/>
          <w:lang w:val="en-US"/>
        </w:rPr>
        <w:t>VHT-MCS and NSS Set</w:t>
      </w:r>
      <w:r>
        <w:rPr>
          <w:lang w:val="en-US"/>
        </w:rPr>
        <w:t xml:space="preserve"> </w:t>
      </w:r>
      <w:r w:rsidRPr="00C57DAB">
        <w:rPr>
          <w:lang w:val="en-US"/>
        </w:rPr>
        <w:t>field is a bitmap of size 16 bits; B8-B9, B10-B11, B12-B13, and B14-B15 are set to 3. For B0-B7, each 2 bits indicates the supported MCS set for</w:t>
      </w:r>
      <w:r>
        <w:rPr>
          <w:lang w:val="en-US"/>
        </w:rPr>
        <w:t xml:space="preserve"> </w:t>
      </w:r>
      <w:r w:rsidRPr="00C57DAB">
        <w:rPr>
          <w:i/>
          <w:lang w:val="en-US"/>
        </w:rPr>
        <w:t>N</w:t>
      </w:r>
      <w:r w:rsidRPr="00C57DAB">
        <w:rPr>
          <w:vertAlign w:val="subscript"/>
          <w:lang w:val="en-US"/>
        </w:rPr>
        <w:t>SS</w:t>
      </w:r>
      <w:r w:rsidRPr="00C57DAB">
        <w:rPr>
          <w:lang w:val="en-US"/>
        </w:rPr>
        <w:t xml:space="preserve"> from 1 to 4. The </w:t>
      </w:r>
      <w:r w:rsidRPr="00C57DAB">
        <w:rPr>
          <w:strike/>
          <w:lang w:val="en-US"/>
        </w:rPr>
        <w:t>VHT Basic MCS Set</w:t>
      </w:r>
      <w:r w:rsidRPr="00C57DAB">
        <w:rPr>
          <w:lang w:val="en-US"/>
        </w:rPr>
        <w:t xml:space="preserve"> </w:t>
      </w:r>
      <w:r>
        <w:rPr>
          <w:u w:val="single"/>
          <w:lang w:val="en-US"/>
        </w:rPr>
        <w:t xml:space="preserve">Basic VHT-MCS and NSS Set </w:t>
      </w:r>
      <w:r w:rsidRPr="00C57DAB">
        <w:rPr>
          <w:lang w:val="en-US"/>
        </w:rPr>
        <w:t>field is defined as B0-B7 of Rx MCS Map subfield in 8.4.2.160.3 (Supported VHT-MCS and NSS Set field).</w:t>
      </w:r>
    </w:p>
    <w:p w:rsidR="00C57DAB" w:rsidRPr="00C57DAB" w:rsidRDefault="00C57DAB" w:rsidP="0032512A">
      <w:pPr>
        <w:rPr>
          <w:lang w:val="en-US"/>
        </w:rPr>
      </w:pPr>
    </w:p>
    <w:p w:rsidR="00C57DAB" w:rsidRPr="00C57DAB" w:rsidRDefault="00C57DAB" w:rsidP="0032512A">
      <w:pPr>
        <w:rPr>
          <w:lang w:val="en-US"/>
        </w:rPr>
      </w:pPr>
    </w:p>
    <w:p w:rsidR="00B54112" w:rsidRDefault="00B54112" w:rsidP="0032512A">
      <w:pPr>
        <w:rPr>
          <w:color w:val="000000"/>
          <w:sz w:val="20"/>
          <w:lang w:val="en-US"/>
        </w:rPr>
      </w:pPr>
    </w:p>
    <w:p w:rsidR="003625B0" w:rsidRDefault="000D2699" w:rsidP="000D2699">
      <w:pPr>
        <w:pStyle w:val="SP3278539"/>
        <w:spacing w:before="480" w:after="240"/>
        <w:rPr>
          <w:b/>
          <w:i/>
        </w:rPr>
      </w:pPr>
      <w:r>
        <w:rPr>
          <w:b/>
          <w:i/>
        </w:rPr>
        <w:t xml:space="preserve">TGaf editor: Change the first paragraph of </w:t>
      </w:r>
      <w:r w:rsidRPr="000D2699">
        <w:rPr>
          <w:b/>
          <w:i/>
        </w:rPr>
        <w:t>10.42 Basic TVHT BSS functionality as shown below</w:t>
      </w:r>
    </w:p>
    <w:p w:rsidR="000D2699" w:rsidRPr="000D2699" w:rsidRDefault="000D2699" w:rsidP="000D2699">
      <w:pPr>
        <w:rPr>
          <w:lang w:val="en-US"/>
        </w:rPr>
      </w:pPr>
    </w:p>
    <w:p w:rsidR="000D2699" w:rsidRPr="000D2699" w:rsidRDefault="000D2699" w:rsidP="000D2699">
      <w:pPr>
        <w:rPr>
          <w:lang w:val="en-US"/>
        </w:rPr>
      </w:pPr>
      <w:r w:rsidRPr="000D2699">
        <w:rPr>
          <w:lang w:val="en-US"/>
        </w:rPr>
        <w:t xml:space="preserve">The STA that is creating the BSS shall be able to receive and transmit at each of the &lt;VHT-MCS, NSS&gt; tuple values indicated by the </w:t>
      </w:r>
      <w:proofErr w:type="spellStart"/>
      <w:r w:rsidRPr="000D2699">
        <w:rPr>
          <w:lang w:val="en-US"/>
        </w:rPr>
        <w:t>BSSBasicVHTMCS_NSSSet</w:t>
      </w:r>
      <w:proofErr w:type="spellEnd"/>
      <w:r w:rsidRPr="000D2699">
        <w:rPr>
          <w:lang w:val="en-US"/>
        </w:rPr>
        <w:t xml:space="preserve"> and</w:t>
      </w:r>
      <w:r>
        <w:rPr>
          <w:lang w:val="en-US"/>
        </w:rPr>
        <w:t xml:space="preserve"> </w:t>
      </w:r>
      <w:r w:rsidRPr="000D2699">
        <w:rPr>
          <w:u w:val="single"/>
          <w:lang w:val="en-US"/>
        </w:rPr>
        <w:t>shall be able to receive at each of the &lt;VHT-MCS, NSS&gt; tuple values indicated by the</w:t>
      </w:r>
      <w:r w:rsidRPr="000D2699">
        <w:rPr>
          <w:lang w:val="en-US"/>
        </w:rPr>
        <w:t xml:space="preserve"> </w:t>
      </w:r>
      <w:proofErr w:type="spellStart"/>
      <w:r w:rsidRPr="000D2699">
        <w:rPr>
          <w:lang w:val="en-US"/>
        </w:rPr>
        <w:t>OperationalVHTMCS_NSSSet</w:t>
      </w:r>
      <w:proofErr w:type="spellEnd"/>
      <w:r w:rsidRPr="000D2699">
        <w:rPr>
          <w:lang w:val="en-US"/>
        </w:rPr>
        <w:t>.</w:t>
      </w:r>
    </w:p>
    <w:sectPr w:rsidR="000D2699" w:rsidRPr="000D2699">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47" w:rsidRDefault="00422447">
      <w:r>
        <w:separator/>
      </w:r>
    </w:p>
  </w:endnote>
  <w:endnote w:type="continuationSeparator" w:id="0">
    <w:p w:rsidR="00422447" w:rsidRDefault="004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48" w:rsidRDefault="004E2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F365F9" w:rsidRDefault="00422447">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00235C">
      <w:t>Submission</w:t>
    </w:r>
    <w:r>
      <w:fldChar w:fldCharType="end"/>
    </w:r>
    <w:r w:rsidR="0000235C">
      <w:tab/>
      <w:t xml:space="preserve">page </w:t>
    </w:r>
    <w:r w:rsidR="0000235C">
      <w:fldChar w:fldCharType="begin"/>
    </w:r>
    <w:r w:rsidR="0000235C">
      <w:instrText xml:space="preserve">page </w:instrText>
    </w:r>
    <w:r w:rsidR="0000235C">
      <w:fldChar w:fldCharType="separate"/>
    </w:r>
    <w:r w:rsidR="004E2248">
      <w:rPr>
        <w:noProof/>
      </w:rPr>
      <w:t>1</w:t>
    </w:r>
    <w:r w:rsidR="0000235C">
      <w:fldChar w:fldCharType="end"/>
    </w:r>
    <w:r w:rsidR="0000235C">
      <w:tab/>
    </w:r>
    <w:r w:rsidR="0000235C">
      <w:rPr>
        <w:rFonts w:eastAsia="MS Mincho"/>
        <w:lang w:eastAsia="ja-JP"/>
      </w:rPr>
      <w:t>Tevfik Yucek, Qualcomm Inc.</w:t>
    </w:r>
  </w:p>
  <w:p w:rsidR="0000235C" w:rsidRDefault="000023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48" w:rsidRDefault="004E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47" w:rsidRDefault="00422447">
      <w:r>
        <w:separator/>
      </w:r>
    </w:p>
  </w:footnote>
  <w:footnote w:type="continuationSeparator" w:id="0">
    <w:p w:rsidR="00422447" w:rsidRDefault="0042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48" w:rsidRDefault="004E2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4445C4" w:rsidRDefault="00301726">
    <w:pPr>
      <w:pStyle w:val="Header"/>
      <w:tabs>
        <w:tab w:val="clear" w:pos="6480"/>
        <w:tab w:val="center" w:pos="4680"/>
        <w:tab w:val="right" w:pos="9360"/>
      </w:tabs>
      <w:rPr>
        <w:lang w:eastAsia="ko-KR"/>
      </w:rPr>
    </w:pPr>
    <w:r>
      <w:rPr>
        <w:rFonts w:eastAsia="MS Mincho"/>
        <w:lang w:eastAsia="ja-JP"/>
      </w:rPr>
      <w:t>March 2013</w:t>
    </w:r>
    <w:r w:rsidR="0000235C">
      <w:tab/>
    </w:r>
    <w:r w:rsidR="0000235C">
      <w:tab/>
    </w:r>
    <w:r w:rsidR="0000235C">
      <w:rPr>
        <w:rFonts w:eastAsia="MS Mincho" w:hint="eastAsia"/>
        <w:lang w:eastAsia="ja-JP"/>
      </w:rPr>
      <w:t>doc.</w:t>
    </w:r>
    <w:r w:rsidR="0000235C">
      <w:rPr>
        <w:rFonts w:eastAsia="MS Mincho" w:hint="eastAsia"/>
        <w:lang w:eastAsia="ja-JP"/>
      </w:rPr>
      <w:t xml:space="preserve">: IEEE </w:t>
    </w:r>
    <w:r w:rsidR="0000235C">
      <w:rPr>
        <w:rFonts w:eastAsia="MS Mincho" w:hint="eastAsia"/>
        <w:lang w:eastAsia="ja-JP"/>
      </w:rPr>
      <w:t>802.11-1</w:t>
    </w:r>
    <w:r>
      <w:rPr>
        <w:rFonts w:eastAsia="MS Mincho"/>
        <w:lang w:eastAsia="ja-JP"/>
      </w:rPr>
      <w:t>3</w:t>
    </w:r>
    <w:r w:rsidR="0000235C">
      <w:rPr>
        <w:rFonts w:eastAsia="MS Mincho" w:hint="eastAsia"/>
        <w:lang w:eastAsia="ja-JP"/>
      </w:rPr>
      <w:t>/</w:t>
    </w:r>
    <w:r w:rsidR="006423D4">
      <w:rPr>
        <w:rFonts w:eastAsia="MS Mincho"/>
        <w:lang w:eastAsia="ja-JP"/>
      </w:rPr>
      <w:t>0488</w:t>
    </w:r>
    <w:r w:rsidR="0000235C">
      <w:rPr>
        <w:rFonts w:eastAsia="MS Mincho"/>
        <w:lang w:eastAsia="ja-JP"/>
      </w:rPr>
      <w:t>-</w:t>
    </w:r>
    <w:r w:rsidR="0000235C">
      <w:rPr>
        <w:rFonts w:eastAsia="MS Mincho" w:hint="eastAsia"/>
        <w:lang w:eastAsia="ja-JP"/>
      </w:rPr>
      <w:t>r</w:t>
    </w:r>
    <w:r w:rsidR="004E2248">
      <w:rPr>
        <w:rFonts w:eastAsia="MS Mincho"/>
        <w:lang w:eastAsia="ja-JP"/>
      </w:rPr>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48" w:rsidRDefault="004E2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35C"/>
    <w:rsid w:val="00007A86"/>
    <w:rsid w:val="00012EF0"/>
    <w:rsid w:val="00017441"/>
    <w:rsid w:val="000174F5"/>
    <w:rsid w:val="00026560"/>
    <w:rsid w:val="00031E7A"/>
    <w:rsid w:val="000448D9"/>
    <w:rsid w:val="00046C06"/>
    <w:rsid w:val="00062277"/>
    <w:rsid w:val="000675C1"/>
    <w:rsid w:val="00070B27"/>
    <w:rsid w:val="000725AD"/>
    <w:rsid w:val="00073DC9"/>
    <w:rsid w:val="000817C1"/>
    <w:rsid w:val="00085A39"/>
    <w:rsid w:val="00087188"/>
    <w:rsid w:val="00091EC8"/>
    <w:rsid w:val="000A31AD"/>
    <w:rsid w:val="000A48FE"/>
    <w:rsid w:val="000A7182"/>
    <w:rsid w:val="000B0027"/>
    <w:rsid w:val="000B3ECD"/>
    <w:rsid w:val="000B4629"/>
    <w:rsid w:val="000C51D7"/>
    <w:rsid w:val="000C6E94"/>
    <w:rsid w:val="000D076D"/>
    <w:rsid w:val="000D2699"/>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A091C"/>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81445"/>
    <w:rsid w:val="002A2B26"/>
    <w:rsid w:val="002A66E2"/>
    <w:rsid w:val="002B5334"/>
    <w:rsid w:val="002C1822"/>
    <w:rsid w:val="002C21B8"/>
    <w:rsid w:val="002C6AFB"/>
    <w:rsid w:val="002D1106"/>
    <w:rsid w:val="002D4AE7"/>
    <w:rsid w:val="002D5C9A"/>
    <w:rsid w:val="002D5D1C"/>
    <w:rsid w:val="002E56F2"/>
    <w:rsid w:val="002E5FCC"/>
    <w:rsid w:val="002F1C84"/>
    <w:rsid w:val="002F2914"/>
    <w:rsid w:val="002F7F2B"/>
    <w:rsid w:val="003002D7"/>
    <w:rsid w:val="00301726"/>
    <w:rsid w:val="00322C28"/>
    <w:rsid w:val="00322E5F"/>
    <w:rsid w:val="0032491B"/>
    <w:rsid w:val="0032512A"/>
    <w:rsid w:val="003255C9"/>
    <w:rsid w:val="003257AB"/>
    <w:rsid w:val="0033094F"/>
    <w:rsid w:val="0034757A"/>
    <w:rsid w:val="00351424"/>
    <w:rsid w:val="003625B0"/>
    <w:rsid w:val="003650A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22447"/>
    <w:rsid w:val="00431C5C"/>
    <w:rsid w:val="0043477A"/>
    <w:rsid w:val="0043795E"/>
    <w:rsid w:val="00437D72"/>
    <w:rsid w:val="00442037"/>
    <w:rsid w:val="00442118"/>
    <w:rsid w:val="004445C4"/>
    <w:rsid w:val="00460D1B"/>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2248"/>
    <w:rsid w:val="004E5D1A"/>
    <w:rsid w:val="004F185D"/>
    <w:rsid w:val="004F4F03"/>
    <w:rsid w:val="005048D3"/>
    <w:rsid w:val="00506D27"/>
    <w:rsid w:val="00513A0D"/>
    <w:rsid w:val="005177EA"/>
    <w:rsid w:val="005178FD"/>
    <w:rsid w:val="00530786"/>
    <w:rsid w:val="00531961"/>
    <w:rsid w:val="00531AD2"/>
    <w:rsid w:val="005331AC"/>
    <w:rsid w:val="00536964"/>
    <w:rsid w:val="00537C16"/>
    <w:rsid w:val="00540087"/>
    <w:rsid w:val="00547FC8"/>
    <w:rsid w:val="00557E1C"/>
    <w:rsid w:val="00560D1A"/>
    <w:rsid w:val="00570A9D"/>
    <w:rsid w:val="00584B49"/>
    <w:rsid w:val="005943BE"/>
    <w:rsid w:val="00594AB6"/>
    <w:rsid w:val="0059675D"/>
    <w:rsid w:val="005A070A"/>
    <w:rsid w:val="005A0BF7"/>
    <w:rsid w:val="005A5CB4"/>
    <w:rsid w:val="005B2951"/>
    <w:rsid w:val="005B533A"/>
    <w:rsid w:val="005C5BE9"/>
    <w:rsid w:val="005D6FAE"/>
    <w:rsid w:val="005E7A81"/>
    <w:rsid w:val="006301B0"/>
    <w:rsid w:val="006355B6"/>
    <w:rsid w:val="00640230"/>
    <w:rsid w:val="006414B7"/>
    <w:rsid w:val="006423D4"/>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43E7"/>
    <w:rsid w:val="00727B56"/>
    <w:rsid w:val="00730B1B"/>
    <w:rsid w:val="00735C07"/>
    <w:rsid w:val="00735CB0"/>
    <w:rsid w:val="007369D7"/>
    <w:rsid w:val="007406F0"/>
    <w:rsid w:val="00740D09"/>
    <w:rsid w:val="00741B2B"/>
    <w:rsid w:val="00743CD0"/>
    <w:rsid w:val="00753F5A"/>
    <w:rsid w:val="007601AE"/>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8F07D2"/>
    <w:rsid w:val="0090101D"/>
    <w:rsid w:val="00915D80"/>
    <w:rsid w:val="0091704D"/>
    <w:rsid w:val="00922C90"/>
    <w:rsid w:val="00931363"/>
    <w:rsid w:val="00931794"/>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1A3B"/>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C3C7D"/>
    <w:rsid w:val="00AD176C"/>
    <w:rsid w:val="00AE3064"/>
    <w:rsid w:val="00AE5541"/>
    <w:rsid w:val="00AF00F3"/>
    <w:rsid w:val="00AF0197"/>
    <w:rsid w:val="00AF341B"/>
    <w:rsid w:val="00B05979"/>
    <w:rsid w:val="00B10BCD"/>
    <w:rsid w:val="00B14101"/>
    <w:rsid w:val="00B1795A"/>
    <w:rsid w:val="00B25025"/>
    <w:rsid w:val="00B33DAC"/>
    <w:rsid w:val="00B36C52"/>
    <w:rsid w:val="00B463BA"/>
    <w:rsid w:val="00B54112"/>
    <w:rsid w:val="00B54CC7"/>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5EE1"/>
    <w:rsid w:val="00C47FAE"/>
    <w:rsid w:val="00C50957"/>
    <w:rsid w:val="00C529D1"/>
    <w:rsid w:val="00C52D85"/>
    <w:rsid w:val="00C52F95"/>
    <w:rsid w:val="00C57DAB"/>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625F1"/>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900BB"/>
    <w:rsid w:val="00E90C5D"/>
    <w:rsid w:val="00E96795"/>
    <w:rsid w:val="00EA1EF6"/>
    <w:rsid w:val="00EB1290"/>
    <w:rsid w:val="00EB1FD7"/>
    <w:rsid w:val="00EB7C47"/>
    <w:rsid w:val="00EC1090"/>
    <w:rsid w:val="00EC1910"/>
    <w:rsid w:val="00EC29CF"/>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2B66"/>
    <w:rsid w:val="00FD4915"/>
    <w:rsid w:val="00FE3A40"/>
    <w:rsid w:val="00FF0FB1"/>
    <w:rsid w:val="00FF2ED6"/>
    <w:rsid w:val="00FF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 w:type="paragraph" w:customStyle="1" w:styleId="SP3278539">
    <w:name w:val="SP.3.278539"/>
    <w:basedOn w:val="Default"/>
    <w:next w:val="Default"/>
    <w:uiPriority w:val="99"/>
    <w:rsid w:val="000D2699"/>
    <w:rPr>
      <w:rFonts w:ascii="Times New Roman" w:hAnsi="Times New Roman" w:cs="Times New Roman"/>
      <w:color w:val="auto"/>
    </w:rPr>
  </w:style>
  <w:style w:type="paragraph" w:customStyle="1" w:styleId="SP3278638">
    <w:name w:val="SP.3.278638"/>
    <w:basedOn w:val="Default"/>
    <w:next w:val="Default"/>
    <w:uiPriority w:val="99"/>
    <w:rsid w:val="000D2699"/>
    <w:rPr>
      <w:rFonts w:ascii="Times New Roman" w:hAnsi="Times New Roman" w:cs="Times New Roman"/>
      <w:color w:val="auto"/>
    </w:rPr>
  </w:style>
  <w:style w:type="paragraph" w:customStyle="1" w:styleId="SP3278584">
    <w:name w:val="SP.3.278584"/>
    <w:basedOn w:val="Default"/>
    <w:next w:val="Default"/>
    <w:uiPriority w:val="99"/>
    <w:rsid w:val="000D2699"/>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 w:type="paragraph" w:customStyle="1" w:styleId="SP3278539">
    <w:name w:val="SP.3.278539"/>
    <w:basedOn w:val="Default"/>
    <w:next w:val="Default"/>
    <w:uiPriority w:val="99"/>
    <w:rsid w:val="000D2699"/>
    <w:rPr>
      <w:rFonts w:ascii="Times New Roman" w:hAnsi="Times New Roman" w:cs="Times New Roman"/>
      <w:color w:val="auto"/>
    </w:rPr>
  </w:style>
  <w:style w:type="paragraph" w:customStyle="1" w:styleId="SP3278638">
    <w:name w:val="SP.3.278638"/>
    <w:basedOn w:val="Default"/>
    <w:next w:val="Default"/>
    <w:uiPriority w:val="99"/>
    <w:rsid w:val="000D2699"/>
    <w:rPr>
      <w:rFonts w:ascii="Times New Roman" w:hAnsi="Times New Roman" w:cs="Times New Roman"/>
      <w:color w:val="auto"/>
    </w:rPr>
  </w:style>
  <w:style w:type="paragraph" w:customStyle="1" w:styleId="SP3278584">
    <w:name w:val="SP.3.278584"/>
    <w:basedOn w:val="Default"/>
    <w:next w:val="Default"/>
    <w:uiPriority w:val="99"/>
    <w:rsid w:val="000D269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0422569">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696360">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293023498">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342977046">
      <w:bodyDiv w:val="1"/>
      <w:marLeft w:val="0"/>
      <w:marRight w:val="0"/>
      <w:marTop w:val="0"/>
      <w:marBottom w:val="0"/>
      <w:divBdr>
        <w:top w:val="none" w:sz="0" w:space="0" w:color="auto"/>
        <w:left w:val="none" w:sz="0" w:space="0" w:color="auto"/>
        <w:bottom w:val="none" w:sz="0" w:space="0" w:color="auto"/>
        <w:right w:val="none" w:sz="0" w:space="0" w:color="auto"/>
      </w:divBdr>
    </w:div>
    <w:div w:id="388845598">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342860">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591934491">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0288757">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6067000">
      <w:bodyDiv w:val="1"/>
      <w:marLeft w:val="0"/>
      <w:marRight w:val="0"/>
      <w:marTop w:val="0"/>
      <w:marBottom w:val="0"/>
      <w:divBdr>
        <w:top w:val="none" w:sz="0" w:space="0" w:color="auto"/>
        <w:left w:val="none" w:sz="0" w:space="0" w:color="auto"/>
        <w:bottom w:val="none" w:sz="0" w:space="0" w:color="auto"/>
        <w:right w:val="none" w:sz="0" w:space="0" w:color="auto"/>
      </w:divBdr>
    </w:div>
    <w:div w:id="945192565">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58639">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090546087">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2221170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46906121">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0587726">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18626940">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0294649">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04543030">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036064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275854">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1192353">
      <w:bodyDiv w:val="1"/>
      <w:marLeft w:val="0"/>
      <w:marRight w:val="0"/>
      <w:marTop w:val="0"/>
      <w:marBottom w:val="0"/>
      <w:divBdr>
        <w:top w:val="none" w:sz="0" w:space="0" w:color="auto"/>
        <w:left w:val="none" w:sz="0" w:space="0" w:color="auto"/>
        <w:bottom w:val="none" w:sz="0" w:space="0" w:color="auto"/>
        <w:right w:val="none" w:sz="0" w:space="0" w:color="auto"/>
      </w:divBdr>
    </w:div>
    <w:div w:id="2142187771">
      <w:bodyDiv w:val="1"/>
      <w:marLeft w:val="0"/>
      <w:marRight w:val="0"/>
      <w:marTop w:val="0"/>
      <w:marBottom w:val="0"/>
      <w:divBdr>
        <w:top w:val="none" w:sz="0" w:space="0" w:color="auto"/>
        <w:left w:val="none" w:sz="0" w:space="0" w:color="auto"/>
        <w:bottom w:val="none" w:sz="0" w:space="0" w:color="auto"/>
        <w:right w:val="none" w:sz="0" w:space="0" w:color="auto"/>
      </w:divBdr>
    </w:div>
    <w:div w:id="2144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DF1B-D1CF-439B-9F10-27AAA49F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654</Words>
  <Characters>3732</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LB 195 misc comment resolutions</vt:lpstr>
      <vt:lpstr>doc.: IEEE 802.11-10/0794r1</vt:lpstr>
      <vt:lpstr>doc.: IEEE 802.11-10/0794r1</vt:lpstr>
    </vt:vector>
  </TitlesOfParts>
  <Company>Qualcomm</Company>
  <LinksUpToDate>false</LinksUpToDate>
  <CharactersWithSpaces>4378</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195 misc comment resolutions</dc:title>
  <dc:subject>Submission</dc:subject>
  <dc:creator>tyucek@qca.qualcomm.com</dc:creator>
  <cp:keywords>May 2013</cp:keywords>
  <cp:lastModifiedBy>Tevfik Yucek</cp:lastModifiedBy>
  <cp:revision>3</cp:revision>
  <dcterms:created xsi:type="dcterms:W3CDTF">2013-05-13T21:31:00Z</dcterms:created>
  <dcterms:modified xsi:type="dcterms:W3CDTF">2013-05-13T21:31:00Z</dcterms:modified>
</cp:coreProperties>
</file>