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BC3D0A">
            <w:pPr>
              <w:pStyle w:val="T2"/>
            </w:pPr>
            <w:r>
              <w:t>Link Setup Delay Query</w:t>
            </w:r>
          </w:p>
        </w:tc>
      </w:tr>
      <w:tr w:rsidR="00CA09B2">
        <w:trPr>
          <w:trHeight w:val="359"/>
          <w:jc w:val="center"/>
        </w:trPr>
        <w:tc>
          <w:tcPr>
            <w:tcW w:w="9576" w:type="dxa"/>
            <w:gridSpan w:val="5"/>
            <w:vAlign w:val="center"/>
          </w:tcPr>
          <w:p w:rsidR="00CA09B2" w:rsidRDefault="00CA09B2" w:rsidP="00BC3D0A">
            <w:pPr>
              <w:pStyle w:val="T2"/>
              <w:ind w:left="0"/>
              <w:rPr>
                <w:sz w:val="20"/>
              </w:rPr>
            </w:pPr>
            <w:r>
              <w:rPr>
                <w:sz w:val="20"/>
              </w:rPr>
              <w:t>Date:</w:t>
            </w:r>
            <w:r>
              <w:rPr>
                <w:b w:val="0"/>
                <w:sz w:val="20"/>
              </w:rPr>
              <w:t xml:space="preserve">  </w:t>
            </w:r>
            <w:r w:rsidR="00B3444A">
              <w:rPr>
                <w:b w:val="0"/>
                <w:sz w:val="20"/>
              </w:rPr>
              <w:t>2013-05</w:t>
            </w:r>
            <w:r w:rsidR="00BC3D0A">
              <w:rPr>
                <w:b w:val="0"/>
                <w:sz w:val="20"/>
              </w:rPr>
              <w:t>-</w:t>
            </w:r>
            <w:r w:rsidR="00B3444A">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81A41">
            <w:pPr>
              <w:pStyle w:val="T2"/>
              <w:spacing w:after="0"/>
              <w:ind w:left="0" w:right="0"/>
              <w:rPr>
                <w:b w:val="0"/>
                <w:sz w:val="20"/>
              </w:rPr>
            </w:pPr>
            <w:r>
              <w:rPr>
                <w:b w:val="0"/>
                <w:sz w:val="20"/>
              </w:rPr>
              <w:t>Jarkko Kneckt</w:t>
            </w:r>
          </w:p>
        </w:tc>
        <w:tc>
          <w:tcPr>
            <w:tcW w:w="2064" w:type="dxa"/>
            <w:vAlign w:val="center"/>
          </w:tcPr>
          <w:p w:rsidR="00CA09B2" w:rsidRDefault="00881A41">
            <w:pPr>
              <w:pStyle w:val="T2"/>
              <w:spacing w:after="0"/>
              <w:ind w:left="0" w:right="0"/>
              <w:rPr>
                <w:b w:val="0"/>
                <w:sz w:val="20"/>
              </w:rPr>
            </w:pPr>
            <w:r>
              <w:rPr>
                <w:b w:val="0"/>
                <w:sz w:val="20"/>
              </w:rPr>
              <w:t>Nokia</w:t>
            </w:r>
          </w:p>
        </w:tc>
        <w:tc>
          <w:tcPr>
            <w:tcW w:w="2814" w:type="dxa"/>
            <w:vAlign w:val="center"/>
          </w:tcPr>
          <w:p w:rsidR="00CA09B2" w:rsidRDefault="00881A41">
            <w:pPr>
              <w:pStyle w:val="T2"/>
              <w:spacing w:after="0"/>
              <w:ind w:left="0" w:right="0"/>
              <w:rPr>
                <w:b w:val="0"/>
                <w:sz w:val="20"/>
              </w:rPr>
            </w:pPr>
            <w:proofErr w:type="spellStart"/>
            <w:r>
              <w:rPr>
                <w:b w:val="0"/>
                <w:sz w:val="20"/>
              </w:rPr>
              <w:t>Otaniementie</w:t>
            </w:r>
            <w:proofErr w:type="spellEnd"/>
            <w:r>
              <w:rPr>
                <w:b w:val="0"/>
                <w:sz w:val="20"/>
              </w:rPr>
              <w:t xml:space="preserve"> 19b, 02150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214719">
            <w:pPr>
              <w:pStyle w:val="T2"/>
              <w:spacing w:after="0"/>
              <w:ind w:left="0" w:right="0"/>
              <w:rPr>
                <w:b w:val="0"/>
                <w:sz w:val="16"/>
              </w:rPr>
            </w:pPr>
            <w:r>
              <w:rPr>
                <w:b w:val="0"/>
                <w:sz w:val="16"/>
              </w:rPr>
              <w:t>Jarkko.Kneckt@nok</w:t>
            </w:r>
            <w:r w:rsidR="00881A41">
              <w:rPr>
                <w:b w:val="0"/>
                <w:sz w:val="16"/>
              </w:rPr>
              <w:t>i</w:t>
            </w:r>
            <w:r>
              <w:rPr>
                <w:b w:val="0"/>
                <w:sz w:val="16"/>
              </w:rPr>
              <w:t>a</w:t>
            </w:r>
            <w:r w:rsidR="00881A41">
              <w:rPr>
                <w:b w:val="0"/>
                <w:sz w:val="16"/>
              </w:rPr>
              <w:t>.com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C3D0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B3444A" w:rsidRDefault="00881A41">
                            <w:pPr>
                              <w:jc w:val="both"/>
                            </w:pPr>
                            <w:r>
                              <w:t xml:space="preserve">The submission provides normative to query link setup delays from the AP. </w:t>
                            </w:r>
                          </w:p>
                          <w:p w:rsidR="00B3444A" w:rsidRDefault="00B3444A">
                            <w:pPr>
                              <w:jc w:val="both"/>
                            </w:pPr>
                            <w:r>
                              <w:t xml:space="preserve">During the 802.11ai discussions many individuals have expressed worries that implementation of the APs and the infrastructure may cause differences to the link setup time. </w:t>
                            </w:r>
                          </w:p>
                          <w:p w:rsidR="00B3444A" w:rsidRDefault="00B3444A">
                            <w:pPr>
                              <w:jc w:val="both"/>
                            </w:pPr>
                          </w:p>
                          <w:p w:rsidR="0029020B" w:rsidRDefault="00B3444A">
                            <w:pPr>
                              <w:jc w:val="both"/>
                            </w:pPr>
                            <w:r>
                              <w:t xml:space="preserve">The link setup delay is one of the key performance criteria to select the AP for link setup. This submission allows the terminal to obtain the AP side link setup time. </w:t>
                            </w:r>
                          </w:p>
                          <w:p w:rsidR="00B3444A" w:rsidRDefault="00B3444A">
                            <w:pPr>
                              <w:jc w:val="both"/>
                            </w:pPr>
                          </w:p>
                          <w:p w:rsidR="00B11C3D" w:rsidRDefault="00B11C3D">
                            <w:pPr>
                              <w:jc w:val="both"/>
                            </w:pPr>
                            <w:r>
                              <w:t xml:space="preserve">The submission is related to SFD 12-151r15 requirement 4.6 Additional information related to 4 Security Framework. </w:t>
                            </w:r>
                          </w:p>
                          <w:p w:rsidR="00B11C3D" w:rsidRDefault="00B11C3D">
                            <w:pPr>
                              <w:jc w:val="both"/>
                            </w:pPr>
                            <w:bookmarkStart w:id="0" w:name="_GoBack"/>
                            <w:bookmarkEnd w:id="0"/>
                          </w:p>
                          <w:p w:rsidR="00B3444A" w:rsidRDefault="00B3444A">
                            <w:pPr>
                              <w:jc w:val="both"/>
                            </w:pPr>
                            <w:r>
                              <w:t xml:space="preserve">The submission solves the CID1150.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B3444A" w:rsidRDefault="00881A41">
                      <w:pPr>
                        <w:jc w:val="both"/>
                      </w:pPr>
                      <w:r>
                        <w:t xml:space="preserve">The submission provides normative to query link setup delays from the AP. </w:t>
                      </w:r>
                    </w:p>
                    <w:p w:rsidR="00B3444A" w:rsidRDefault="00B3444A">
                      <w:pPr>
                        <w:jc w:val="both"/>
                      </w:pPr>
                      <w:r>
                        <w:t xml:space="preserve">During the 802.11ai discussions many individuals have expressed worries that implementation of the APs and the infrastructure may cause differences to the link setup time. </w:t>
                      </w:r>
                    </w:p>
                    <w:p w:rsidR="00B3444A" w:rsidRDefault="00B3444A">
                      <w:pPr>
                        <w:jc w:val="both"/>
                      </w:pPr>
                    </w:p>
                    <w:p w:rsidR="0029020B" w:rsidRDefault="00B3444A">
                      <w:pPr>
                        <w:jc w:val="both"/>
                      </w:pPr>
                      <w:r>
                        <w:t xml:space="preserve">The link setup delay is one of the key performance criteria to select the AP for link setup. This submission allows the terminal to obtain the AP side link setup time. </w:t>
                      </w:r>
                    </w:p>
                    <w:p w:rsidR="00B3444A" w:rsidRDefault="00B3444A">
                      <w:pPr>
                        <w:jc w:val="both"/>
                      </w:pPr>
                    </w:p>
                    <w:p w:rsidR="00B11C3D" w:rsidRDefault="00B11C3D">
                      <w:pPr>
                        <w:jc w:val="both"/>
                      </w:pPr>
                      <w:r>
                        <w:t xml:space="preserve">The submission is related to SFD 12-151r15 requirement 4.6 Additional information related to 4 Security Framework. </w:t>
                      </w:r>
                    </w:p>
                    <w:p w:rsidR="00B11C3D" w:rsidRDefault="00B11C3D">
                      <w:pPr>
                        <w:jc w:val="both"/>
                      </w:pPr>
                      <w:bookmarkStart w:id="1" w:name="_GoBack"/>
                      <w:bookmarkEnd w:id="1"/>
                    </w:p>
                    <w:p w:rsidR="00B3444A" w:rsidRDefault="00B3444A">
                      <w:pPr>
                        <w:jc w:val="both"/>
                      </w:pPr>
                      <w:r>
                        <w:t xml:space="preserve">The submission solves the CID1150. </w:t>
                      </w:r>
                    </w:p>
                  </w:txbxContent>
                </v:textbox>
              </v:shape>
            </w:pict>
          </mc:Fallback>
        </mc:AlternateContent>
      </w:r>
    </w:p>
    <w:p w:rsidR="00CA09B2" w:rsidRDefault="00CA09B2" w:rsidP="00881A41">
      <w:r>
        <w:br w:type="page"/>
      </w:r>
    </w:p>
    <w:p w:rsidR="00881A41" w:rsidRDefault="00881A41">
      <w:pPr>
        <w:rPr>
          <w:rFonts w:ascii="Arial,Bold" w:hAnsi="Arial,Bold" w:cs="Arial,Bold"/>
          <w:b/>
          <w:bCs/>
          <w:sz w:val="20"/>
          <w:lang w:val="en-US"/>
        </w:rPr>
      </w:pPr>
    </w:p>
    <w:p w:rsidR="00CA09B2" w:rsidRDefault="00881A41">
      <w:r>
        <w:rPr>
          <w:rFonts w:ascii="Arial,Bold" w:hAnsi="Arial,Bold" w:cs="Arial,Bold"/>
          <w:b/>
          <w:bCs/>
          <w:sz w:val="20"/>
          <w:lang w:val="en-US"/>
        </w:rPr>
        <w:t>8.4.4 Access Network Query Protocol (ANQP) elements</w:t>
      </w:r>
    </w:p>
    <w:p w:rsidR="00881A41" w:rsidRDefault="00881A41"/>
    <w:p w:rsidR="007D4216" w:rsidRPr="007D4216" w:rsidRDefault="007D4216">
      <w:pPr>
        <w:rPr>
          <w:i/>
        </w:rPr>
      </w:pPr>
      <w:r w:rsidRPr="007D4216">
        <w:rPr>
          <w:i/>
          <w:highlight w:val="yellow"/>
        </w:rPr>
        <w:t>Instructions to the Editor: Add new row after AP List Response</w:t>
      </w:r>
    </w:p>
    <w:p w:rsidR="00881A41" w:rsidRDefault="00881A41"/>
    <w:p w:rsidR="00881A41" w:rsidRDefault="00881A41" w:rsidP="00881A41">
      <w:pPr>
        <w:jc w:val="center"/>
        <w:rPr>
          <w:rFonts w:ascii="Arial,Bold" w:hAnsi="Arial,Bold" w:cs="Arial,Bold"/>
          <w:b/>
          <w:bCs/>
          <w:sz w:val="20"/>
          <w:lang w:val="en-US"/>
        </w:rPr>
      </w:pPr>
      <w:r>
        <w:rPr>
          <w:rFonts w:ascii="Arial,Bold" w:hAnsi="Arial,Bold" w:cs="Arial,Bold"/>
          <w:b/>
          <w:bCs/>
          <w:sz w:val="20"/>
          <w:lang w:val="en-US"/>
        </w:rPr>
        <w:t>Table 8-184 — ANQP-element definitions</w:t>
      </w:r>
    </w:p>
    <w:tbl>
      <w:tblPr>
        <w:tblW w:w="0" w:type="auto"/>
        <w:jc w:val="center"/>
        <w:tblLook w:val="04A0" w:firstRow="1" w:lastRow="0" w:firstColumn="1" w:lastColumn="0" w:noHBand="0" w:noVBand="1"/>
      </w:tblPr>
      <w:tblGrid>
        <w:gridCol w:w="2115"/>
        <w:gridCol w:w="1275"/>
        <w:gridCol w:w="2619"/>
      </w:tblGrid>
      <w:tr w:rsidR="007D4216" w:rsidRPr="007D4216" w:rsidTr="007D421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ANQP-element 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Info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ANQP-element (subclause)</w:t>
            </w:r>
          </w:p>
        </w:tc>
      </w:tr>
      <w:tr w:rsidR="007D4216" w:rsidRPr="007D4216" w:rsidTr="007D421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u w:val="single"/>
                <w:lang w:val="en-US"/>
              </w:rPr>
            </w:pPr>
            <w:r w:rsidRPr="007D4216">
              <w:rPr>
                <w:rFonts w:ascii="Calibri" w:hAnsi="Calibri" w:cs="Calibri"/>
                <w:color w:val="000000"/>
                <w:szCs w:val="22"/>
                <w:u w:val="single"/>
                <w:lang w:val="en-US"/>
              </w:rPr>
              <w:t>Link Setup Delay</w:t>
            </w:r>
          </w:p>
        </w:tc>
        <w:tc>
          <w:tcPr>
            <w:tcW w:w="0" w:type="auto"/>
            <w:tcBorders>
              <w:top w:val="nil"/>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u w:val="single"/>
                <w:lang w:val="en-US"/>
              </w:rPr>
            </w:pPr>
            <w:r w:rsidRPr="007D4216">
              <w:rPr>
                <w:rFonts w:ascii="Calibri" w:hAnsi="Calibri" w:cs="Calibri"/>
                <w:color w:val="000000"/>
                <w:szCs w:val="22"/>
                <w:u w:val="single"/>
                <w:lang w:val="en-US"/>
              </w:rPr>
              <w:t>275</w:t>
            </w:r>
          </w:p>
        </w:tc>
        <w:tc>
          <w:tcPr>
            <w:tcW w:w="0" w:type="auto"/>
            <w:tcBorders>
              <w:top w:val="nil"/>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u w:val="single"/>
                <w:lang w:val="en-US"/>
              </w:rPr>
            </w:pPr>
            <w:r w:rsidRPr="007D4216">
              <w:rPr>
                <w:rFonts w:ascii="Calibri" w:hAnsi="Calibri" w:cs="Calibri"/>
                <w:color w:val="000000"/>
                <w:szCs w:val="22"/>
                <w:u w:val="single"/>
                <w:lang w:val="en-US"/>
              </w:rPr>
              <w:t>8.4.4.ai1</w:t>
            </w:r>
          </w:p>
        </w:tc>
      </w:tr>
      <w:tr w:rsidR="007D4216" w:rsidRPr="007D4216" w:rsidTr="007D421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Reserved</w:t>
            </w:r>
          </w:p>
        </w:tc>
        <w:tc>
          <w:tcPr>
            <w:tcW w:w="0" w:type="auto"/>
            <w:tcBorders>
              <w:top w:val="nil"/>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u w:val="single"/>
                <w:lang w:val="en-US"/>
              </w:rPr>
              <w:t>276</w:t>
            </w:r>
            <w:r w:rsidRPr="007D4216">
              <w:rPr>
                <w:rFonts w:ascii="Calibri" w:hAnsi="Calibri" w:cs="Calibri"/>
                <w:color w:val="000000"/>
                <w:szCs w:val="22"/>
                <w:lang w:val="en-US"/>
              </w:rPr>
              <w:t xml:space="preserve"> - 56796</w:t>
            </w:r>
          </w:p>
        </w:tc>
        <w:tc>
          <w:tcPr>
            <w:tcW w:w="0" w:type="auto"/>
            <w:tcBorders>
              <w:top w:val="nil"/>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n/a</w:t>
            </w:r>
          </w:p>
        </w:tc>
      </w:tr>
    </w:tbl>
    <w:p w:rsidR="007D4216" w:rsidRDefault="007D4216" w:rsidP="007D4216"/>
    <w:p w:rsidR="007D4216" w:rsidRDefault="007D4216" w:rsidP="007D4216"/>
    <w:p w:rsidR="007D4216" w:rsidRDefault="007D4216" w:rsidP="007D4216">
      <w:r>
        <w:rPr>
          <w:rFonts w:ascii="Arial,Bold" w:hAnsi="Arial,Bold" w:cs="Arial,Bold"/>
          <w:b/>
          <w:bCs/>
          <w:sz w:val="20"/>
          <w:lang w:val="en-US"/>
        </w:rPr>
        <w:t>8.4.4</w:t>
      </w:r>
      <w:proofErr w:type="gramStart"/>
      <w:r>
        <w:rPr>
          <w:rFonts w:ascii="Arial,Bold" w:hAnsi="Arial,Bold" w:cs="Arial,Bold"/>
          <w:b/>
          <w:bCs/>
          <w:sz w:val="20"/>
          <w:lang w:val="en-US"/>
        </w:rPr>
        <w:t>.ai1</w:t>
      </w:r>
      <w:proofErr w:type="gramEnd"/>
      <w:r>
        <w:rPr>
          <w:rFonts w:ascii="Arial,Bold" w:hAnsi="Arial,Bold" w:cs="Arial,Bold"/>
          <w:b/>
          <w:bCs/>
          <w:sz w:val="20"/>
          <w:lang w:val="en-US"/>
        </w:rPr>
        <w:t xml:space="preserve"> Link Setup Delay ANQP-element</w:t>
      </w:r>
    </w:p>
    <w:p w:rsidR="00CA09B2" w:rsidRDefault="007D4216" w:rsidP="007D4216">
      <w:pPr>
        <w:rPr>
          <w:b/>
          <w:sz w:val="24"/>
        </w:rPr>
      </w:pPr>
      <w:r w:rsidRPr="007D4216">
        <w:rPr>
          <w:i/>
          <w:highlight w:val="yellow"/>
        </w:rPr>
        <w:t>Instructions to the Editor: Insert new clause 8.4.4.ai1</w:t>
      </w:r>
    </w:p>
    <w:p w:rsidR="00CA09B2" w:rsidRDefault="00CA09B2"/>
    <w:p w:rsidR="007D4216" w:rsidRDefault="007D4216">
      <w:r>
        <w:t xml:space="preserve">The Link Setup Delay ANQP-element </w:t>
      </w:r>
      <w:r w:rsidR="00D31D67">
        <w:t xml:space="preserve">provides the signalling delays of the AP for the authentication or link setup signalling. The format of the Link Setup Delay ANQP-element is shown in </w:t>
      </w:r>
    </w:p>
    <w:p w:rsidR="00D31D67" w:rsidRDefault="00D31D67"/>
    <w:tbl>
      <w:tblPr>
        <w:tblW w:w="5760" w:type="dxa"/>
        <w:jc w:val="center"/>
        <w:tblInd w:w="93" w:type="dxa"/>
        <w:tblLook w:val="04A0" w:firstRow="1" w:lastRow="0" w:firstColumn="1" w:lastColumn="0" w:noHBand="0" w:noVBand="1"/>
      </w:tblPr>
      <w:tblGrid>
        <w:gridCol w:w="718"/>
        <w:gridCol w:w="864"/>
        <w:gridCol w:w="1546"/>
        <w:gridCol w:w="1010"/>
        <w:gridCol w:w="612"/>
        <w:gridCol w:w="1010"/>
      </w:tblGrid>
      <w:tr w:rsidR="00AD0A07" w:rsidRPr="007D4216" w:rsidTr="00D31D67">
        <w:trPr>
          <w:trHeight w:val="864"/>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Info ID</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Length</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7D4216" w:rsidRPr="007D4216" w:rsidRDefault="00E82244" w:rsidP="00AD0A07">
            <w:pPr>
              <w:jc w:val="center"/>
              <w:rPr>
                <w:rFonts w:ascii="Calibri" w:hAnsi="Calibri" w:cs="Calibri"/>
                <w:color w:val="000000"/>
                <w:szCs w:val="22"/>
                <w:lang w:val="en-US"/>
              </w:rPr>
            </w:pPr>
            <w:r>
              <w:rPr>
                <w:rFonts w:ascii="Calibri" w:hAnsi="Calibri" w:cs="Calibri"/>
                <w:color w:val="000000"/>
                <w:szCs w:val="22"/>
                <w:lang w:val="en-US"/>
              </w:rPr>
              <w:t xml:space="preserve">Number of </w:t>
            </w:r>
            <w:r w:rsidR="00AD0A07">
              <w:rPr>
                <w:rFonts w:ascii="Calibri" w:hAnsi="Calibri" w:cs="Calibri"/>
                <w:color w:val="000000"/>
                <w:szCs w:val="22"/>
                <w:lang w:val="en-US"/>
              </w:rPr>
              <w:t>Handling Delays</w:t>
            </w:r>
            <w:r>
              <w:rPr>
                <w:rFonts w:ascii="Calibri" w:hAnsi="Calibri" w:cs="Calibri"/>
                <w:color w:val="000000"/>
                <w:szCs w:val="22"/>
                <w:lang w:val="en-US"/>
              </w:rPr>
              <w:t xml:space="preserve"> </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7D4216" w:rsidRPr="007D4216" w:rsidRDefault="002B5456" w:rsidP="007D4216">
            <w:pPr>
              <w:jc w:val="center"/>
              <w:rPr>
                <w:rFonts w:ascii="Calibri" w:hAnsi="Calibri" w:cs="Calibri"/>
                <w:color w:val="000000"/>
                <w:szCs w:val="22"/>
                <w:lang w:val="en-US"/>
              </w:rPr>
            </w:pPr>
            <w:r>
              <w:rPr>
                <w:rFonts w:ascii="Calibri" w:hAnsi="Calibri" w:cs="Calibri"/>
                <w:color w:val="000000"/>
                <w:szCs w:val="22"/>
                <w:lang w:val="en-US"/>
              </w:rPr>
              <w:t>M</w:t>
            </w:r>
            <w:r w:rsidR="007D4216" w:rsidRPr="007D4216">
              <w:rPr>
                <w:rFonts w:ascii="Calibri" w:hAnsi="Calibri" w:cs="Calibri"/>
                <w:color w:val="000000"/>
                <w:szCs w:val="22"/>
                <w:lang w:val="en-US"/>
              </w:rPr>
              <w:t xml:space="preserve">essage </w:t>
            </w:r>
            <w:r w:rsidR="00AD0A07">
              <w:rPr>
                <w:rFonts w:ascii="Calibri" w:hAnsi="Calibri" w:cs="Calibri"/>
                <w:color w:val="000000"/>
                <w:szCs w:val="22"/>
                <w:lang w:val="en-US"/>
              </w:rPr>
              <w:t xml:space="preserve">Handling Delay </w:t>
            </w:r>
            <w:r w:rsidR="007D4216" w:rsidRPr="007D4216">
              <w:rPr>
                <w:rFonts w:ascii="Calibri" w:hAnsi="Calibri" w:cs="Calibri"/>
                <w:color w:val="000000"/>
                <w:szCs w:val="22"/>
                <w:lang w:val="en-US"/>
              </w:rPr>
              <w:t>1</w:t>
            </w:r>
          </w:p>
        </w:tc>
        <w:tc>
          <w:tcPr>
            <w:tcW w:w="614" w:type="dxa"/>
            <w:tcBorders>
              <w:top w:val="single" w:sz="4" w:space="0" w:color="auto"/>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7D4216" w:rsidRPr="007D4216" w:rsidRDefault="002B5456" w:rsidP="007D4216">
            <w:pPr>
              <w:jc w:val="center"/>
              <w:rPr>
                <w:rFonts w:ascii="Calibri" w:hAnsi="Calibri" w:cs="Calibri"/>
                <w:color w:val="000000"/>
                <w:szCs w:val="22"/>
                <w:lang w:val="en-US"/>
              </w:rPr>
            </w:pPr>
            <w:r>
              <w:rPr>
                <w:rFonts w:ascii="Calibri" w:hAnsi="Calibri" w:cs="Calibri"/>
                <w:color w:val="000000"/>
                <w:szCs w:val="22"/>
                <w:lang w:val="en-US"/>
              </w:rPr>
              <w:t>M</w:t>
            </w:r>
            <w:r w:rsidR="007D4216" w:rsidRPr="007D4216">
              <w:rPr>
                <w:rFonts w:ascii="Calibri" w:hAnsi="Calibri" w:cs="Calibri"/>
                <w:color w:val="000000"/>
                <w:szCs w:val="22"/>
                <w:lang w:val="en-US"/>
              </w:rPr>
              <w:t>essage</w:t>
            </w:r>
            <w:r w:rsidR="00AD0A07">
              <w:rPr>
                <w:rFonts w:ascii="Calibri" w:hAnsi="Calibri" w:cs="Calibri"/>
                <w:color w:val="000000"/>
                <w:szCs w:val="22"/>
                <w:lang w:val="en-US"/>
              </w:rPr>
              <w:t xml:space="preserve"> Handling Delay </w:t>
            </w:r>
            <w:r w:rsidR="007D4216" w:rsidRPr="007D4216">
              <w:rPr>
                <w:rFonts w:ascii="Calibri" w:hAnsi="Calibri" w:cs="Calibri"/>
                <w:color w:val="000000"/>
                <w:szCs w:val="22"/>
                <w:lang w:val="en-US"/>
              </w:rPr>
              <w:t xml:space="preserve"> N</w:t>
            </w:r>
          </w:p>
        </w:tc>
      </w:tr>
      <w:tr w:rsidR="00AD0A07" w:rsidRPr="007D4216" w:rsidTr="00D31D67">
        <w:trPr>
          <w:trHeight w:val="288"/>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2</w:t>
            </w:r>
          </w:p>
        </w:tc>
        <w:tc>
          <w:tcPr>
            <w:tcW w:w="864" w:type="dxa"/>
            <w:tcBorders>
              <w:top w:val="nil"/>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2</w:t>
            </w:r>
          </w:p>
        </w:tc>
        <w:tc>
          <w:tcPr>
            <w:tcW w:w="1552" w:type="dxa"/>
            <w:tcBorders>
              <w:top w:val="nil"/>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1</w:t>
            </w:r>
          </w:p>
        </w:tc>
        <w:tc>
          <w:tcPr>
            <w:tcW w:w="1005" w:type="dxa"/>
            <w:tcBorders>
              <w:top w:val="nil"/>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1</w:t>
            </w:r>
          </w:p>
        </w:tc>
        <w:tc>
          <w:tcPr>
            <w:tcW w:w="614" w:type="dxa"/>
            <w:tcBorders>
              <w:top w:val="nil"/>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 </w:t>
            </w:r>
            <w:r w:rsidR="00D31D67">
              <w:rPr>
                <w:rFonts w:ascii="Calibri" w:hAnsi="Calibri" w:cs="Calibri"/>
                <w:color w:val="000000"/>
                <w:szCs w:val="22"/>
                <w:lang w:val="en-US"/>
              </w:rPr>
              <w:t>…</w:t>
            </w:r>
          </w:p>
        </w:tc>
        <w:tc>
          <w:tcPr>
            <w:tcW w:w="1005" w:type="dxa"/>
            <w:tcBorders>
              <w:top w:val="nil"/>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1</w:t>
            </w:r>
          </w:p>
        </w:tc>
      </w:tr>
    </w:tbl>
    <w:p w:rsidR="007D4216" w:rsidRPr="00D31D67" w:rsidRDefault="00D31D67" w:rsidP="00D31D67">
      <w:pPr>
        <w:autoSpaceDE w:val="0"/>
        <w:autoSpaceDN w:val="0"/>
        <w:adjustRightInd w:val="0"/>
        <w:jc w:val="center"/>
        <w:rPr>
          <w:rFonts w:ascii="Arial,Bold" w:hAnsi="Arial,Bold" w:cs="Arial,Bold"/>
          <w:b/>
          <w:bCs/>
          <w:sz w:val="20"/>
          <w:lang w:val="en-US"/>
        </w:rPr>
      </w:pPr>
      <w:r>
        <w:rPr>
          <w:rFonts w:ascii="Arial,Bold" w:hAnsi="Arial,Bold" w:cs="Arial,Bold"/>
          <w:b/>
          <w:bCs/>
          <w:sz w:val="20"/>
          <w:lang w:val="en-US"/>
        </w:rPr>
        <w:t xml:space="preserve">Figure 8-ai1 — Link Setup Delay ANQP-element format </w:t>
      </w:r>
    </w:p>
    <w:p w:rsidR="00D31D67" w:rsidRDefault="00D31D67">
      <w:pPr>
        <w:rPr>
          <w:lang w:val="en-US"/>
        </w:rPr>
      </w:pPr>
    </w:p>
    <w:p w:rsidR="002B5456" w:rsidRDefault="002B5456">
      <w:pPr>
        <w:rPr>
          <w:rFonts w:ascii="TimesNewRoman" w:hAnsi="TimesNewRoman" w:cs="TimesNewRoman"/>
          <w:sz w:val="20"/>
          <w:lang w:val="en-US"/>
        </w:rPr>
      </w:pPr>
      <w:r>
        <w:t>The Info ID</w:t>
      </w:r>
      <w:r>
        <w:rPr>
          <w:rFonts w:ascii="TimesNewRoman" w:hAnsi="TimesNewRoman" w:cs="TimesNewRoman"/>
          <w:sz w:val="20"/>
          <w:lang w:val="en-US"/>
        </w:rPr>
        <w:t xml:space="preserve"> field is equal to the value in Table 8-184 corresponding to the Link Setup Delay ANQP-element.</w:t>
      </w:r>
    </w:p>
    <w:p w:rsidR="002B5456" w:rsidRDefault="002B5456">
      <w:pPr>
        <w:rPr>
          <w:rFonts w:ascii="TimesNewRoman" w:hAnsi="TimesNewRoman" w:cs="TimesNewRoman"/>
          <w:sz w:val="20"/>
          <w:lang w:val="en-US"/>
        </w:rPr>
      </w:pPr>
    </w:p>
    <w:p w:rsidR="002B5456" w:rsidRDefault="002B5456">
      <w:pPr>
        <w:rPr>
          <w:rFonts w:ascii="TimesNewRoman" w:hAnsi="TimesNewRoman" w:cs="TimesNewRoman"/>
          <w:sz w:val="20"/>
          <w:lang w:val="en-US"/>
        </w:rPr>
      </w:pPr>
      <w:r>
        <w:rPr>
          <w:rFonts w:ascii="TimesNewRoman" w:hAnsi="TimesNewRoman" w:cs="TimesNewRoman"/>
          <w:sz w:val="20"/>
          <w:lang w:val="en-US"/>
        </w:rPr>
        <w:t>The Length field is a 2-octet field whose value is set to 1 plus the total length of the Delay of Message fields.</w:t>
      </w:r>
    </w:p>
    <w:p w:rsidR="002B5456" w:rsidRDefault="002B5456">
      <w:pPr>
        <w:rPr>
          <w:rFonts w:ascii="TimesNewRoman" w:hAnsi="TimesNewRoman" w:cs="TimesNewRoman"/>
          <w:sz w:val="20"/>
          <w:lang w:val="en-US"/>
        </w:rPr>
      </w:pPr>
    </w:p>
    <w:p w:rsidR="002B5456" w:rsidRDefault="002B5456">
      <w:pPr>
        <w:rPr>
          <w:rFonts w:ascii="TimesNewRoman" w:hAnsi="TimesNewRoman" w:cs="TimesNewRoman"/>
          <w:sz w:val="20"/>
          <w:lang w:val="en-US"/>
        </w:rPr>
      </w:pPr>
      <w:r>
        <w:rPr>
          <w:rFonts w:ascii="TimesNewRoman" w:hAnsi="TimesNewRoman" w:cs="TimesNewRoman"/>
          <w:sz w:val="20"/>
          <w:lang w:val="en-US"/>
        </w:rPr>
        <w:t xml:space="preserve">The </w:t>
      </w:r>
      <w:r w:rsidR="00E82244">
        <w:rPr>
          <w:rFonts w:ascii="TimesNewRoman" w:hAnsi="TimesNewRoman" w:cs="TimesNewRoman"/>
          <w:sz w:val="20"/>
          <w:lang w:val="en-US"/>
        </w:rPr>
        <w:t xml:space="preserve">Number of </w:t>
      </w:r>
      <w:r w:rsidR="00D07893">
        <w:rPr>
          <w:rFonts w:ascii="TimesNewRoman" w:hAnsi="TimesNewRoman" w:cs="TimesNewRoman"/>
          <w:sz w:val="20"/>
          <w:lang w:val="en-US"/>
        </w:rPr>
        <w:t xml:space="preserve">Handling Delays </w:t>
      </w:r>
      <w:r>
        <w:rPr>
          <w:rFonts w:ascii="TimesNewRoman" w:hAnsi="TimesNewRoman" w:cs="TimesNewRoman"/>
          <w:sz w:val="20"/>
          <w:lang w:val="en-US"/>
        </w:rPr>
        <w:t xml:space="preserve">field </w:t>
      </w:r>
      <w:r w:rsidR="00E82244">
        <w:rPr>
          <w:rFonts w:ascii="TimesNewRoman" w:hAnsi="TimesNewRoman" w:cs="TimesNewRoman"/>
          <w:sz w:val="20"/>
          <w:lang w:val="en-US"/>
        </w:rPr>
        <w:t xml:space="preserve">indicates </w:t>
      </w:r>
      <w:r w:rsidR="006C79E0">
        <w:rPr>
          <w:rFonts w:ascii="TimesNewRoman" w:hAnsi="TimesNewRoman" w:cs="TimesNewRoman"/>
          <w:sz w:val="20"/>
          <w:lang w:val="en-US"/>
        </w:rPr>
        <w:t xml:space="preserve">the number of </w:t>
      </w:r>
      <w:r w:rsidR="00D07893">
        <w:rPr>
          <w:rFonts w:ascii="TimesNewRoman" w:hAnsi="TimesNewRoman" w:cs="TimesNewRoman"/>
          <w:sz w:val="20"/>
          <w:lang w:val="en-US"/>
        </w:rPr>
        <w:t xml:space="preserve">Message Handling </w:t>
      </w:r>
      <w:r w:rsidR="00D31D67">
        <w:rPr>
          <w:rFonts w:ascii="TimesNewRoman" w:hAnsi="TimesNewRoman" w:cs="TimesNewRoman"/>
          <w:sz w:val="20"/>
          <w:lang w:val="en-US"/>
        </w:rPr>
        <w:t xml:space="preserve">Delay fields in the Link Setup Delay ANQP-element. </w:t>
      </w:r>
    </w:p>
    <w:p w:rsidR="006C79E0" w:rsidRDefault="006C79E0">
      <w:pPr>
        <w:rPr>
          <w:rFonts w:ascii="TimesNewRoman" w:hAnsi="TimesNewRoman" w:cs="TimesNewRoman"/>
          <w:sz w:val="20"/>
          <w:lang w:val="en-US"/>
        </w:rPr>
      </w:pPr>
    </w:p>
    <w:p w:rsidR="00D07893" w:rsidRDefault="006C79E0">
      <w:pPr>
        <w:rPr>
          <w:rFonts w:ascii="TimesNewRoman" w:hAnsi="TimesNewRoman" w:cs="TimesNewRoman"/>
          <w:sz w:val="20"/>
          <w:lang w:val="en-US"/>
        </w:rPr>
      </w:pPr>
      <w:r>
        <w:rPr>
          <w:rFonts w:ascii="TimesNewRoman" w:hAnsi="TimesNewRoman" w:cs="TimesNewRoman"/>
          <w:sz w:val="20"/>
          <w:lang w:val="en-US"/>
        </w:rPr>
        <w:t xml:space="preserve">The Message </w:t>
      </w:r>
      <w:r w:rsidR="00D07893">
        <w:rPr>
          <w:rFonts w:ascii="TimesNewRoman" w:hAnsi="TimesNewRoman" w:cs="TimesNewRoman"/>
          <w:sz w:val="20"/>
          <w:lang w:val="en-US"/>
        </w:rPr>
        <w:t xml:space="preserve">Handling Delay </w:t>
      </w:r>
      <w:r>
        <w:rPr>
          <w:rFonts w:ascii="TimesNewRoman" w:hAnsi="TimesNewRoman" w:cs="TimesNewRoman"/>
          <w:sz w:val="20"/>
          <w:lang w:val="en-US"/>
        </w:rPr>
        <w:t xml:space="preserve">field </w:t>
      </w:r>
      <w:r w:rsidR="00576CC4">
        <w:rPr>
          <w:rFonts w:ascii="TimesNewRoman" w:hAnsi="TimesNewRoman" w:cs="TimesNewRoman"/>
          <w:sz w:val="20"/>
          <w:lang w:val="en-US"/>
        </w:rPr>
        <w:t xml:space="preserve">is an unsigned integer and </w:t>
      </w:r>
      <w:r>
        <w:rPr>
          <w:rFonts w:ascii="TimesNewRoman" w:hAnsi="TimesNewRoman" w:cs="TimesNewRoman"/>
          <w:sz w:val="20"/>
          <w:lang w:val="en-US"/>
        </w:rPr>
        <w:t xml:space="preserve">indicates </w:t>
      </w:r>
      <w:r w:rsidR="00BD1849">
        <w:rPr>
          <w:rFonts w:ascii="TimesNewRoman" w:hAnsi="TimesNewRoman" w:cs="TimesNewRoman"/>
          <w:sz w:val="20"/>
          <w:lang w:val="en-US"/>
        </w:rPr>
        <w:t xml:space="preserve">time </w:t>
      </w:r>
      <w:r w:rsidR="00576CC4">
        <w:rPr>
          <w:rFonts w:ascii="TimesNewRoman" w:hAnsi="TimesNewRoman" w:cs="TimesNewRoman"/>
          <w:sz w:val="20"/>
          <w:lang w:val="en-US"/>
        </w:rPr>
        <w:t xml:space="preserve">in units of 1 </w:t>
      </w:r>
      <w:proofErr w:type="spellStart"/>
      <w:r w:rsidR="00576CC4">
        <w:rPr>
          <w:rFonts w:ascii="TimesNewRoman" w:hAnsi="TimesNewRoman" w:cs="TimesNewRoman"/>
          <w:sz w:val="20"/>
          <w:lang w:val="en-US"/>
        </w:rPr>
        <w:t>ms.</w:t>
      </w:r>
      <w:proofErr w:type="spellEnd"/>
      <w:r w:rsidR="00576CC4">
        <w:rPr>
          <w:rFonts w:ascii="TimesNewRoman" w:hAnsi="TimesNewRoman" w:cs="TimesNewRoman"/>
          <w:sz w:val="20"/>
          <w:lang w:val="en-US"/>
        </w:rPr>
        <w:t xml:space="preserve"> </w:t>
      </w:r>
      <w:proofErr w:type="gramStart"/>
      <w:r w:rsidR="00576CC4">
        <w:rPr>
          <w:rFonts w:ascii="TimesNewRoman" w:hAnsi="TimesNewRoman" w:cs="TimesNewRoman"/>
          <w:sz w:val="20"/>
          <w:lang w:val="en-US"/>
        </w:rPr>
        <w:t>The</w:t>
      </w:r>
      <w:proofErr w:type="gramEnd"/>
      <w:r w:rsidR="00576CC4">
        <w:rPr>
          <w:rFonts w:ascii="TimesNewRoman" w:hAnsi="TimesNewRoman" w:cs="TimesNewRoman"/>
          <w:sz w:val="20"/>
          <w:lang w:val="en-US"/>
        </w:rPr>
        <w:t xml:space="preserve"> time is rounded down</w:t>
      </w:r>
      <w:r w:rsidR="00D07893">
        <w:rPr>
          <w:rFonts w:ascii="TimesNewRoman" w:hAnsi="TimesNewRoman" w:cs="TimesNewRoman"/>
          <w:sz w:val="20"/>
          <w:lang w:val="en-US"/>
        </w:rPr>
        <w:t xml:space="preserve">. The </w:t>
      </w:r>
      <w:r w:rsidR="00BD1849">
        <w:rPr>
          <w:rFonts w:ascii="TimesNewRoman" w:hAnsi="TimesNewRoman" w:cs="TimesNewRoman"/>
          <w:sz w:val="20"/>
          <w:lang w:val="en-US"/>
        </w:rPr>
        <w:t xml:space="preserve">time </w:t>
      </w:r>
      <w:r w:rsidR="00EA77A4">
        <w:rPr>
          <w:rFonts w:ascii="TimesNewRoman" w:hAnsi="TimesNewRoman" w:cs="TimesNewRoman"/>
          <w:sz w:val="20"/>
          <w:lang w:val="en-US"/>
        </w:rPr>
        <w:t xml:space="preserve">is </w:t>
      </w:r>
      <w:r w:rsidR="00BD1849">
        <w:rPr>
          <w:rFonts w:ascii="TimesNewRoman" w:hAnsi="TimesNewRoman" w:cs="TimesNewRoman"/>
          <w:sz w:val="20"/>
          <w:lang w:val="en-US"/>
        </w:rPr>
        <w:t xml:space="preserve">captured from </w:t>
      </w:r>
      <w:r w:rsidR="00D07893">
        <w:rPr>
          <w:rFonts w:ascii="TimesNewRoman" w:hAnsi="TimesNewRoman" w:cs="TimesNewRoman"/>
          <w:sz w:val="20"/>
          <w:lang w:val="en-US"/>
        </w:rPr>
        <w:t xml:space="preserve">the </w:t>
      </w:r>
      <w:r w:rsidR="00BD1849">
        <w:rPr>
          <w:rFonts w:ascii="TimesNewRoman" w:hAnsi="TimesNewRoman" w:cs="TimesNewRoman"/>
          <w:sz w:val="20"/>
          <w:lang w:val="en-US"/>
        </w:rPr>
        <w:t xml:space="preserve">epoch when </w:t>
      </w:r>
      <w:r w:rsidR="00D07893">
        <w:rPr>
          <w:rFonts w:ascii="TimesNewRoman" w:hAnsi="TimesNewRoman" w:cs="TimesNewRoman"/>
          <w:sz w:val="20"/>
          <w:lang w:val="en-US"/>
        </w:rPr>
        <w:t xml:space="preserve">AP receives an authentication protocol frame from the STA to the epoch when the AP </w:t>
      </w:r>
      <w:r w:rsidR="00EA77A4">
        <w:rPr>
          <w:rFonts w:ascii="TimesNewRoman" w:hAnsi="TimesNewRoman" w:cs="TimesNewRoman"/>
          <w:sz w:val="20"/>
          <w:lang w:val="en-US"/>
        </w:rPr>
        <w:t>is able to initi</w:t>
      </w:r>
      <w:r w:rsidR="00D07893">
        <w:rPr>
          <w:rFonts w:ascii="TimesNewRoman" w:hAnsi="TimesNewRoman" w:cs="TimesNewRoman"/>
          <w:sz w:val="20"/>
          <w:lang w:val="en-US"/>
        </w:rPr>
        <w:t xml:space="preserve">ate TXOP obtaining for the </w:t>
      </w:r>
      <w:r w:rsidR="00EA77A4">
        <w:rPr>
          <w:rFonts w:ascii="TimesNewRoman" w:hAnsi="TimesNewRoman" w:cs="TimesNewRoman"/>
          <w:sz w:val="20"/>
          <w:lang w:val="en-US"/>
        </w:rPr>
        <w:t xml:space="preserve">authentication protocol specific </w:t>
      </w:r>
      <w:r w:rsidR="00D07893">
        <w:rPr>
          <w:rFonts w:ascii="TimesNewRoman" w:hAnsi="TimesNewRoman" w:cs="TimesNewRoman"/>
          <w:sz w:val="20"/>
          <w:lang w:val="en-US"/>
        </w:rPr>
        <w:t xml:space="preserve">response </w:t>
      </w:r>
      <w:r w:rsidR="00EA77A4">
        <w:rPr>
          <w:rFonts w:ascii="TimesNewRoman" w:hAnsi="TimesNewRoman" w:cs="TimesNewRoman"/>
          <w:sz w:val="20"/>
          <w:lang w:val="en-US"/>
        </w:rPr>
        <w:t xml:space="preserve">frame to </w:t>
      </w:r>
      <w:r w:rsidR="00D07893">
        <w:rPr>
          <w:rFonts w:ascii="TimesNewRoman" w:hAnsi="TimesNewRoman" w:cs="TimesNewRoman"/>
          <w:sz w:val="20"/>
          <w:lang w:val="en-US"/>
        </w:rPr>
        <w:t>the STA.</w:t>
      </w:r>
    </w:p>
    <w:p w:rsidR="00D07893" w:rsidRDefault="00D07893">
      <w:pPr>
        <w:rPr>
          <w:rFonts w:ascii="TimesNewRoman" w:hAnsi="TimesNewRoman" w:cs="TimesNewRoman"/>
          <w:sz w:val="20"/>
          <w:lang w:val="en-US"/>
        </w:rPr>
      </w:pPr>
    </w:p>
    <w:p w:rsidR="00D07893" w:rsidRDefault="00407291">
      <w:pPr>
        <w:rPr>
          <w:rFonts w:ascii="TimesNewRoman" w:hAnsi="TimesNewRoman" w:cs="TimesNewRoman"/>
          <w:sz w:val="20"/>
          <w:lang w:val="en-US"/>
        </w:rPr>
      </w:pPr>
      <w:r>
        <w:rPr>
          <w:rFonts w:ascii="TimesNewRoman" w:hAnsi="TimesNewRoman" w:cs="TimesNewRoman"/>
          <w:sz w:val="20"/>
          <w:lang w:val="en-US"/>
        </w:rPr>
        <w:t xml:space="preserve">The Message Handling Delay </w:t>
      </w:r>
      <w:r w:rsidR="00EA77A4">
        <w:rPr>
          <w:rFonts w:ascii="TimesNewRoman" w:hAnsi="TimesNewRoman" w:cs="TimesNewRoman"/>
          <w:sz w:val="20"/>
          <w:lang w:val="en-US"/>
        </w:rPr>
        <w:t xml:space="preserve">field indicates the delay </w:t>
      </w:r>
      <w:r w:rsidR="00BD1849">
        <w:rPr>
          <w:rFonts w:ascii="TimesNewRoman" w:hAnsi="TimesNewRoman" w:cs="TimesNewRoman"/>
          <w:sz w:val="20"/>
          <w:lang w:val="en-US"/>
        </w:rPr>
        <w:t xml:space="preserve">of </w:t>
      </w:r>
      <w:r w:rsidR="00EA77A4">
        <w:rPr>
          <w:rFonts w:ascii="TimesNewRoman" w:hAnsi="TimesNewRoman" w:cs="TimesNewRoman"/>
          <w:sz w:val="20"/>
          <w:lang w:val="en-US"/>
        </w:rPr>
        <w:t xml:space="preserve">the </w:t>
      </w:r>
      <w:r w:rsidR="00D07893">
        <w:rPr>
          <w:rFonts w:ascii="TimesNewRoman" w:hAnsi="TimesNewRoman" w:cs="TimesNewRoman"/>
          <w:sz w:val="20"/>
          <w:lang w:val="en-US"/>
        </w:rPr>
        <w:t xml:space="preserve">first </w:t>
      </w:r>
      <w:r w:rsidR="00EA77A4">
        <w:rPr>
          <w:rFonts w:ascii="TimesNewRoman" w:hAnsi="TimesNewRoman" w:cs="TimesNewRoman"/>
          <w:sz w:val="20"/>
          <w:lang w:val="en-US"/>
        </w:rPr>
        <w:t xml:space="preserve">authentication protocol specific response frame. If the authentication protocol </w:t>
      </w:r>
      <w:r w:rsidR="00BD1849">
        <w:rPr>
          <w:rFonts w:ascii="TimesNewRoman" w:hAnsi="TimesNewRoman" w:cs="TimesNewRoman"/>
          <w:sz w:val="20"/>
          <w:lang w:val="en-US"/>
        </w:rPr>
        <w:t xml:space="preserve">has </w:t>
      </w:r>
      <w:r w:rsidR="00EA77A4">
        <w:rPr>
          <w:rFonts w:ascii="TimesNewRoman" w:hAnsi="TimesNewRoman" w:cs="TimesNewRoman"/>
          <w:sz w:val="20"/>
          <w:lang w:val="en-US"/>
        </w:rPr>
        <w:t xml:space="preserve">more response frames than </w:t>
      </w:r>
      <w:r>
        <w:rPr>
          <w:rFonts w:ascii="TimesNewRoman" w:hAnsi="TimesNewRoman" w:cs="TimesNewRoman"/>
          <w:sz w:val="20"/>
          <w:lang w:val="en-US"/>
        </w:rPr>
        <w:t xml:space="preserve">the </w:t>
      </w:r>
      <w:r w:rsidR="00EA77A4">
        <w:rPr>
          <w:rFonts w:ascii="TimesNewRoman" w:hAnsi="TimesNewRoman" w:cs="TimesNewRoman"/>
          <w:sz w:val="20"/>
          <w:lang w:val="en-US"/>
        </w:rPr>
        <w:t xml:space="preserve">number of the Message Handling Delay fields in the Link Setup Delay ANQP-element, the </w:t>
      </w:r>
      <w:r w:rsidR="00BD1849">
        <w:rPr>
          <w:rFonts w:ascii="TimesNewRoman" w:hAnsi="TimesNewRoman" w:cs="TimesNewRoman"/>
          <w:sz w:val="20"/>
          <w:lang w:val="en-US"/>
        </w:rPr>
        <w:t xml:space="preserve">response </w:t>
      </w:r>
      <w:r w:rsidR="00EA77A4">
        <w:rPr>
          <w:rFonts w:ascii="TimesNewRoman" w:hAnsi="TimesNewRoman" w:cs="TimesNewRoman"/>
          <w:sz w:val="20"/>
          <w:lang w:val="en-US"/>
        </w:rPr>
        <w:t xml:space="preserve">delays </w:t>
      </w:r>
      <w:r w:rsidR="00BD1849">
        <w:rPr>
          <w:rFonts w:ascii="TimesNewRoman" w:hAnsi="TimesNewRoman" w:cs="TimesNewRoman"/>
          <w:sz w:val="20"/>
          <w:lang w:val="en-US"/>
        </w:rPr>
        <w:t xml:space="preserve">that are not reported </w:t>
      </w:r>
      <w:r w:rsidR="00EA77A4">
        <w:rPr>
          <w:rFonts w:ascii="TimesNewRoman" w:hAnsi="TimesNewRoman" w:cs="TimesNewRoman"/>
          <w:sz w:val="20"/>
          <w:lang w:val="en-US"/>
        </w:rPr>
        <w:t xml:space="preserve">are considered unknown. </w:t>
      </w:r>
    </w:p>
    <w:p w:rsidR="00576CC4" w:rsidRDefault="00576CC4">
      <w:pPr>
        <w:rPr>
          <w:rFonts w:ascii="TimesNewRoman" w:hAnsi="TimesNewRoman" w:cs="TimesNewRoman"/>
          <w:sz w:val="20"/>
          <w:lang w:val="en-US"/>
        </w:rPr>
      </w:pPr>
      <w:r>
        <w:rPr>
          <w:rFonts w:ascii="TimesNewRoman" w:hAnsi="TimesNewRoman" w:cs="TimesNewRoman"/>
          <w:sz w:val="20"/>
          <w:lang w:val="en-US"/>
        </w:rPr>
        <w:t>Value 254 indicates that the time is 254</w:t>
      </w:r>
      <w:r w:rsidR="00BD1849">
        <w:rPr>
          <w:rFonts w:ascii="TimesNewRoman" w:hAnsi="TimesNewRoman" w:cs="TimesNewRoman"/>
          <w:sz w:val="20"/>
          <w:lang w:val="en-US"/>
        </w:rPr>
        <w:t xml:space="preserve"> </w:t>
      </w:r>
      <w:r>
        <w:rPr>
          <w:rFonts w:ascii="TimesNewRoman" w:hAnsi="TimesNewRoman" w:cs="TimesNewRoman"/>
          <w:sz w:val="20"/>
          <w:lang w:val="en-US"/>
        </w:rPr>
        <w:t xml:space="preserve">ms or larger. Value 255 indicates that the time is not known. </w:t>
      </w:r>
    </w:p>
    <w:p w:rsidR="004D2DB2" w:rsidRDefault="004D2DB2">
      <w:pPr>
        <w:rPr>
          <w:rFonts w:ascii="TimesNewRoman" w:hAnsi="TimesNewRoman" w:cs="TimesNewRoman"/>
          <w:sz w:val="20"/>
          <w:lang w:val="en-US"/>
        </w:rPr>
      </w:pPr>
    </w:p>
    <w:p w:rsidR="008F2690" w:rsidRDefault="008F2690">
      <w:pPr>
        <w:rPr>
          <w:rFonts w:ascii="TimesNewRoman" w:hAnsi="TimesNewRoman" w:cs="TimesNewRoman"/>
          <w:sz w:val="20"/>
          <w:lang w:val="en-US"/>
        </w:rPr>
      </w:pPr>
    </w:p>
    <w:p w:rsidR="004D2DB2" w:rsidRDefault="004D2DB2" w:rsidP="004D2DB2">
      <w:pPr>
        <w:autoSpaceDE w:val="0"/>
        <w:autoSpaceDN w:val="0"/>
        <w:adjustRightInd w:val="0"/>
        <w:rPr>
          <w:rFonts w:ascii="Arial,Bold" w:hAnsi="Arial,Bold" w:cs="Arial,Bold"/>
          <w:b/>
          <w:bCs/>
          <w:szCs w:val="22"/>
          <w:lang w:val="en-US"/>
        </w:rPr>
      </w:pPr>
      <w:r>
        <w:rPr>
          <w:rFonts w:ascii="Arial,Bold" w:hAnsi="Arial,Bold" w:cs="Arial,Bold"/>
          <w:b/>
          <w:bCs/>
          <w:szCs w:val="22"/>
          <w:lang w:val="en-US"/>
        </w:rPr>
        <w:t>10.24 WLAN interworking with external networks procedures</w:t>
      </w:r>
    </w:p>
    <w:p w:rsidR="004D2DB2" w:rsidRDefault="004D2DB2" w:rsidP="004D2DB2">
      <w:pPr>
        <w:autoSpaceDE w:val="0"/>
        <w:autoSpaceDN w:val="0"/>
        <w:adjustRightInd w:val="0"/>
        <w:rPr>
          <w:rFonts w:ascii="Arial,Bold" w:hAnsi="Arial,Bold" w:cs="Arial,Bold"/>
          <w:b/>
          <w:bCs/>
          <w:szCs w:val="22"/>
          <w:lang w:val="en-US"/>
        </w:rPr>
      </w:pPr>
    </w:p>
    <w:p w:rsidR="004D2DB2" w:rsidRDefault="004D2DB2" w:rsidP="004D2DB2">
      <w:pPr>
        <w:rPr>
          <w:rFonts w:ascii="Arial,Bold" w:hAnsi="Arial,Bold" w:cs="Arial,Bold"/>
          <w:b/>
          <w:bCs/>
          <w:sz w:val="20"/>
          <w:lang w:val="en-US"/>
        </w:rPr>
      </w:pPr>
      <w:r>
        <w:rPr>
          <w:rFonts w:ascii="Arial,Bold" w:hAnsi="Arial,Bold" w:cs="Arial,Bold"/>
          <w:b/>
          <w:bCs/>
          <w:sz w:val="20"/>
          <w:lang w:val="en-US"/>
        </w:rPr>
        <w:t>10.24.3 Interworking procedures: generic advertisement service (GAS)</w:t>
      </w:r>
    </w:p>
    <w:p w:rsidR="00E7304C" w:rsidRPr="00E7304C" w:rsidRDefault="00246F8D" w:rsidP="004D2DB2">
      <w:pPr>
        <w:rPr>
          <w:rStyle w:val="Emphasis"/>
        </w:rPr>
      </w:pPr>
      <w:r w:rsidRPr="007D4216">
        <w:rPr>
          <w:i/>
          <w:highlight w:val="yellow"/>
        </w:rPr>
        <w:t>Instructions to the Editor:</w:t>
      </w:r>
      <w:r w:rsidR="0013424F">
        <w:rPr>
          <w:i/>
          <w:highlight w:val="yellow"/>
        </w:rPr>
        <w:t xml:space="preserve"> </w:t>
      </w:r>
      <w:r w:rsidR="00E7304C" w:rsidRPr="00246F8D">
        <w:rPr>
          <w:rStyle w:val="Emphasis"/>
          <w:highlight w:val="yellow"/>
        </w:rPr>
        <w:t>Insert the following three new rows to Table 10-10</w:t>
      </w:r>
    </w:p>
    <w:p w:rsidR="00E7304C" w:rsidRDefault="00E7304C" w:rsidP="004D2DB2">
      <w:pPr>
        <w:rPr>
          <w:rFonts w:ascii="Arial,Bold" w:hAnsi="Arial,Bold" w:cs="Arial,Bold"/>
          <w:b/>
          <w:bCs/>
          <w:sz w:val="20"/>
        </w:rPr>
      </w:pPr>
    </w:p>
    <w:p w:rsidR="00E7304C" w:rsidRPr="00E7304C" w:rsidRDefault="00E7304C" w:rsidP="00E7304C">
      <w:pPr>
        <w:jc w:val="center"/>
        <w:rPr>
          <w:rFonts w:ascii="Arial,Bold" w:hAnsi="Arial,Bold" w:cs="Arial,Bold"/>
          <w:b/>
          <w:bCs/>
          <w:sz w:val="20"/>
        </w:rPr>
      </w:pPr>
      <w:r>
        <w:rPr>
          <w:rFonts w:ascii="Arial,Bold" w:hAnsi="Arial,Bold" w:cs="Arial,Bold"/>
          <w:b/>
          <w:bCs/>
          <w:sz w:val="20"/>
          <w:lang w:val="en-US"/>
        </w:rPr>
        <w:t>Table 10-10 — ANQP usage</w:t>
      </w:r>
    </w:p>
    <w:tbl>
      <w:tblPr>
        <w:tblW w:w="5760" w:type="dxa"/>
        <w:jc w:val="center"/>
        <w:tblInd w:w="93" w:type="dxa"/>
        <w:tblLook w:val="04A0" w:firstRow="1" w:lastRow="0" w:firstColumn="1" w:lastColumn="0" w:noHBand="0" w:noVBand="1"/>
      </w:tblPr>
      <w:tblGrid>
        <w:gridCol w:w="1074"/>
        <w:gridCol w:w="1227"/>
        <w:gridCol w:w="960"/>
        <w:gridCol w:w="814"/>
        <w:gridCol w:w="853"/>
        <w:gridCol w:w="832"/>
      </w:tblGrid>
      <w:tr w:rsidR="00E7304C" w:rsidRPr="00E7304C" w:rsidTr="00E7304C">
        <w:trPr>
          <w:trHeight w:val="288"/>
          <w:jc w:val="center"/>
        </w:trPr>
        <w:tc>
          <w:tcPr>
            <w:tcW w:w="1074" w:type="dxa"/>
            <w:tcBorders>
              <w:top w:val="nil"/>
              <w:left w:val="nil"/>
              <w:bottom w:val="nil"/>
              <w:right w:val="nil"/>
            </w:tcBorders>
            <w:shd w:val="clear" w:color="auto" w:fill="auto"/>
            <w:noWrap/>
            <w:vAlign w:val="bottom"/>
            <w:hideMark/>
          </w:tcPr>
          <w:p w:rsidR="00E7304C" w:rsidRPr="00E7304C" w:rsidRDefault="00E7304C" w:rsidP="00E7304C">
            <w:pPr>
              <w:jc w:val="center"/>
              <w:rPr>
                <w:rFonts w:ascii="Calibri" w:hAnsi="Calibri" w:cs="Calibri"/>
                <w:color w:val="000000"/>
                <w:szCs w:val="22"/>
                <w:lang w:val="en-US"/>
              </w:rPr>
            </w:pPr>
          </w:p>
        </w:tc>
        <w:tc>
          <w:tcPr>
            <w:tcW w:w="1227" w:type="dxa"/>
            <w:tcBorders>
              <w:top w:val="nil"/>
              <w:left w:val="nil"/>
              <w:bottom w:val="nil"/>
              <w:right w:val="nil"/>
            </w:tcBorders>
            <w:shd w:val="clear" w:color="auto" w:fill="auto"/>
            <w:noWrap/>
            <w:vAlign w:val="bottom"/>
            <w:hideMark/>
          </w:tcPr>
          <w:p w:rsidR="00E7304C" w:rsidRPr="00E7304C" w:rsidRDefault="00E7304C" w:rsidP="00E7304C">
            <w:p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rsidR="00E7304C" w:rsidRPr="00E7304C" w:rsidRDefault="00E7304C" w:rsidP="00E7304C">
            <w:pPr>
              <w:jc w:val="center"/>
              <w:rPr>
                <w:rFonts w:ascii="Calibri" w:hAnsi="Calibri" w:cs="Calibri"/>
                <w:color w:val="000000"/>
                <w:szCs w:val="22"/>
                <w:lang w:val="en-US"/>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BSS</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IBSS</w:t>
            </w:r>
          </w:p>
        </w:tc>
      </w:tr>
      <w:tr w:rsidR="00E7304C" w:rsidRPr="00E7304C" w:rsidTr="00E7304C">
        <w:trPr>
          <w:trHeight w:val="1152"/>
          <w:jc w:val="center"/>
        </w:trPr>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ANQP-element name</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ANQP-element (subclause)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ANQP-element type</w:t>
            </w:r>
          </w:p>
        </w:tc>
        <w:tc>
          <w:tcPr>
            <w:tcW w:w="814"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AP</w:t>
            </w:r>
          </w:p>
        </w:tc>
        <w:tc>
          <w:tcPr>
            <w:tcW w:w="853"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Non-AP STA</w:t>
            </w:r>
          </w:p>
        </w:tc>
        <w:tc>
          <w:tcPr>
            <w:tcW w:w="832"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STA</w:t>
            </w:r>
          </w:p>
        </w:tc>
      </w:tr>
      <w:tr w:rsidR="00E7304C" w:rsidRPr="00E7304C" w:rsidTr="00E7304C">
        <w:trPr>
          <w:trHeight w:val="576"/>
          <w:jc w:val="center"/>
        </w:trPr>
        <w:tc>
          <w:tcPr>
            <w:tcW w:w="1074" w:type="dxa"/>
            <w:tcBorders>
              <w:top w:val="nil"/>
              <w:left w:val="single" w:sz="4" w:space="0" w:color="auto"/>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lastRenderedPageBreak/>
              <w:t>Query AP List</w:t>
            </w:r>
          </w:p>
        </w:tc>
        <w:tc>
          <w:tcPr>
            <w:tcW w:w="1227"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8.4.4.20</w:t>
            </w:r>
          </w:p>
        </w:tc>
        <w:tc>
          <w:tcPr>
            <w:tcW w:w="960"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Q</w:t>
            </w:r>
          </w:p>
        </w:tc>
        <w:tc>
          <w:tcPr>
            <w:tcW w:w="814"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T, R</w:t>
            </w:r>
          </w:p>
        </w:tc>
        <w:tc>
          <w:tcPr>
            <w:tcW w:w="853"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T,R</w:t>
            </w:r>
          </w:p>
        </w:tc>
        <w:tc>
          <w:tcPr>
            <w:tcW w:w="832"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T,R</w:t>
            </w:r>
          </w:p>
        </w:tc>
      </w:tr>
      <w:tr w:rsidR="00E7304C" w:rsidRPr="00E7304C" w:rsidTr="00E7304C">
        <w:trPr>
          <w:trHeight w:val="576"/>
          <w:jc w:val="center"/>
        </w:trPr>
        <w:tc>
          <w:tcPr>
            <w:tcW w:w="1074" w:type="dxa"/>
            <w:tcBorders>
              <w:top w:val="nil"/>
              <w:left w:val="single" w:sz="4" w:space="0" w:color="auto"/>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AP List Response</w:t>
            </w:r>
          </w:p>
        </w:tc>
        <w:tc>
          <w:tcPr>
            <w:tcW w:w="1227"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8.4.4.21</w:t>
            </w:r>
          </w:p>
        </w:tc>
        <w:tc>
          <w:tcPr>
            <w:tcW w:w="960"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S</w:t>
            </w:r>
          </w:p>
        </w:tc>
        <w:tc>
          <w:tcPr>
            <w:tcW w:w="814"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T</w:t>
            </w:r>
          </w:p>
        </w:tc>
        <w:tc>
          <w:tcPr>
            <w:tcW w:w="853"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R</w:t>
            </w:r>
          </w:p>
        </w:tc>
        <w:tc>
          <w:tcPr>
            <w:tcW w:w="832"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p>
        </w:tc>
      </w:tr>
      <w:tr w:rsidR="00E7304C" w:rsidRPr="00E7304C" w:rsidTr="00E7304C">
        <w:trPr>
          <w:trHeight w:val="864"/>
          <w:jc w:val="center"/>
        </w:trPr>
        <w:tc>
          <w:tcPr>
            <w:tcW w:w="1074" w:type="dxa"/>
            <w:tcBorders>
              <w:top w:val="nil"/>
              <w:left w:val="single" w:sz="4" w:space="0" w:color="auto"/>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Link Setup Delay</w:t>
            </w:r>
          </w:p>
        </w:tc>
        <w:tc>
          <w:tcPr>
            <w:tcW w:w="1227"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8.4.4.ai1</w:t>
            </w:r>
          </w:p>
        </w:tc>
        <w:tc>
          <w:tcPr>
            <w:tcW w:w="960"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S</w:t>
            </w:r>
          </w:p>
        </w:tc>
        <w:tc>
          <w:tcPr>
            <w:tcW w:w="814"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T</w:t>
            </w:r>
          </w:p>
        </w:tc>
        <w:tc>
          <w:tcPr>
            <w:tcW w:w="853"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R</w:t>
            </w:r>
          </w:p>
        </w:tc>
        <w:tc>
          <w:tcPr>
            <w:tcW w:w="832"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T, R</w:t>
            </w:r>
          </w:p>
        </w:tc>
      </w:tr>
    </w:tbl>
    <w:p w:rsidR="00E7304C" w:rsidRDefault="00E7304C" w:rsidP="004D2DB2">
      <w:pPr>
        <w:rPr>
          <w:rFonts w:ascii="TimesNewRoman" w:hAnsi="TimesNewRoman" w:cs="TimesNewRoman"/>
          <w:sz w:val="20"/>
          <w:lang w:val="en-US"/>
        </w:rPr>
      </w:pPr>
    </w:p>
    <w:p w:rsidR="00E7304C" w:rsidRDefault="00E7304C" w:rsidP="00164949">
      <w:pPr>
        <w:pStyle w:val="Heading3"/>
        <w:rPr>
          <w:lang w:val="en-US"/>
        </w:rPr>
      </w:pPr>
      <w:r>
        <w:rPr>
          <w:lang w:val="en-US"/>
        </w:rPr>
        <w:t>10.24.3.2</w:t>
      </w:r>
      <w:proofErr w:type="gramStart"/>
      <w:r>
        <w:rPr>
          <w:lang w:val="en-US"/>
        </w:rPr>
        <w:t>.ai1</w:t>
      </w:r>
      <w:proofErr w:type="gramEnd"/>
      <w:r>
        <w:rPr>
          <w:lang w:val="en-US"/>
        </w:rPr>
        <w:t xml:space="preserve"> Link Setup Delay </w:t>
      </w:r>
    </w:p>
    <w:p w:rsidR="00246F8D" w:rsidRPr="00E7304C" w:rsidRDefault="0013424F" w:rsidP="00246F8D">
      <w:pPr>
        <w:rPr>
          <w:rStyle w:val="Emphasis"/>
        </w:rPr>
      </w:pPr>
      <w:r w:rsidRPr="007D4216">
        <w:rPr>
          <w:i/>
          <w:highlight w:val="yellow"/>
        </w:rPr>
        <w:t>Instructions to the Editor:</w:t>
      </w:r>
      <w:r>
        <w:rPr>
          <w:i/>
          <w:highlight w:val="yellow"/>
        </w:rPr>
        <w:t xml:space="preserve"> </w:t>
      </w:r>
      <w:r w:rsidR="00246F8D" w:rsidRPr="00246F8D">
        <w:rPr>
          <w:rStyle w:val="Emphasis"/>
          <w:highlight w:val="yellow"/>
        </w:rPr>
        <w:t>Insert the new subclause 10.24.3.2.ai1</w:t>
      </w:r>
    </w:p>
    <w:p w:rsidR="00164949" w:rsidRPr="00246F8D" w:rsidRDefault="00164949" w:rsidP="00164949"/>
    <w:p w:rsidR="00164949" w:rsidRPr="00BD1849" w:rsidRDefault="00164949" w:rsidP="0016494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STA may use Link Setup Delay ANQP-element </w:t>
      </w:r>
      <w:r w:rsidR="008F2690">
        <w:rPr>
          <w:rFonts w:ascii="TimesNewRoman" w:hAnsi="TimesNewRoman" w:cs="TimesNewRoman"/>
          <w:sz w:val="20"/>
          <w:lang w:val="en-US"/>
        </w:rPr>
        <w:t xml:space="preserve">(see 8.4.4.ai1) </w:t>
      </w:r>
      <w:r>
        <w:rPr>
          <w:rFonts w:ascii="TimesNewRoman" w:hAnsi="TimesNewRoman" w:cs="TimesNewRoman"/>
          <w:sz w:val="20"/>
          <w:lang w:val="en-US"/>
        </w:rPr>
        <w:t xml:space="preserve">to retrieve an AP's link setup delay using the Query List procedure in 10.24.3.2.2. </w:t>
      </w:r>
    </w:p>
    <w:sectPr w:rsidR="00164949" w:rsidRPr="00BD1849">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AB3" w:rsidRDefault="00452AB3">
      <w:r>
        <w:separator/>
      </w:r>
    </w:p>
  </w:endnote>
  <w:endnote w:type="continuationSeparator" w:id="0">
    <w:p w:rsidR="00452AB3" w:rsidRDefault="0045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0A" w:rsidRDefault="00BC3D0A" w:rsidP="00BC3D0A">
    <w:pPr>
      <w:pStyle w:val="Footer"/>
      <w:jc w:val="center"/>
      <w:rPr>
        <w:rFonts w:ascii="Arial" w:hAnsi="Arial" w:cs="Arial"/>
        <w:b/>
        <w:color w:val="3E8430"/>
        <w:sz w:val="20"/>
      </w:rPr>
    </w:pPr>
    <w:bookmarkStart w:id="4" w:name="aliashDOCCompanyConfiden1FooterEvenPages"/>
  </w:p>
  <w:bookmarkEnd w:id="4"/>
  <w:p w:rsidR="00BC3D0A" w:rsidRDefault="00BC3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0A" w:rsidRDefault="00BC3D0A" w:rsidP="00BC3D0A">
    <w:pPr>
      <w:pStyle w:val="Footer"/>
      <w:tabs>
        <w:tab w:val="clear" w:pos="6480"/>
        <w:tab w:val="center" w:pos="4680"/>
        <w:tab w:val="right" w:pos="9360"/>
      </w:tabs>
      <w:jc w:val="center"/>
      <w:rPr>
        <w:rFonts w:ascii="Arial" w:hAnsi="Arial" w:cs="Arial"/>
        <w:b/>
        <w:color w:val="3E8430"/>
        <w:sz w:val="20"/>
      </w:rPr>
    </w:pPr>
    <w:bookmarkStart w:id="5" w:name="aliashDOCCompanyConfidenti1FooterPrimary"/>
  </w:p>
  <w:bookmarkEnd w:id="5"/>
  <w:p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r w:rsidR="00BC3D0A">
      <w:t>Submission</w:t>
    </w:r>
    <w:r>
      <w:fldChar w:fldCharType="end"/>
    </w:r>
    <w:r>
      <w:tab/>
      <w:t xml:space="preserve">page </w:t>
    </w:r>
    <w:r>
      <w:fldChar w:fldCharType="begin"/>
    </w:r>
    <w:r>
      <w:instrText xml:space="preserve">page </w:instrText>
    </w:r>
    <w:r>
      <w:fldChar w:fldCharType="separate"/>
    </w:r>
    <w:r w:rsidR="00B11C3D">
      <w:rPr>
        <w:noProof/>
      </w:rPr>
      <w:t>1</w:t>
    </w:r>
    <w:r>
      <w:fldChar w:fldCharType="end"/>
    </w:r>
    <w:r>
      <w:tab/>
    </w:r>
    <w:fldSimple w:instr=" COMMENTS  \* MERGEFORMAT ">
      <w:r w:rsidR="00881A41">
        <w:t>Jarkko Kneckt, Nokia</w:t>
      </w:r>
    </w:fldSimple>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0A" w:rsidRDefault="00BC3D0A" w:rsidP="00BC3D0A">
    <w:pPr>
      <w:pStyle w:val="Footer"/>
      <w:jc w:val="center"/>
      <w:rPr>
        <w:rFonts w:ascii="Arial" w:hAnsi="Arial" w:cs="Arial"/>
        <w:b/>
        <w:color w:val="3E8430"/>
        <w:sz w:val="20"/>
      </w:rPr>
    </w:pPr>
    <w:bookmarkStart w:id="7" w:name="aliashDOCCompanyConfiden1FooterFirstPage"/>
  </w:p>
  <w:bookmarkEnd w:id="7"/>
  <w:p w:rsidR="00BC3D0A" w:rsidRDefault="00BC3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AB3" w:rsidRDefault="00452AB3">
      <w:r>
        <w:separator/>
      </w:r>
    </w:p>
  </w:footnote>
  <w:footnote w:type="continuationSeparator" w:id="0">
    <w:p w:rsidR="00452AB3" w:rsidRDefault="00452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0A" w:rsidRDefault="00BC3D0A" w:rsidP="00BC3D0A">
    <w:pPr>
      <w:pStyle w:val="Header"/>
      <w:jc w:val="center"/>
      <w:rPr>
        <w:rFonts w:ascii="Arial" w:hAnsi="Arial" w:cs="Arial"/>
        <w:color w:val="3E8430"/>
        <w:sz w:val="20"/>
      </w:rPr>
    </w:pPr>
    <w:bookmarkStart w:id="2" w:name="aliashDOCCompanyConfiden1HeaderEvenPages"/>
  </w:p>
  <w:bookmarkEnd w:id="2"/>
  <w:p w:rsidR="00BC3D0A" w:rsidRDefault="00BC3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0A" w:rsidRDefault="00BC3D0A" w:rsidP="00BC3D0A">
    <w:pPr>
      <w:pStyle w:val="Header"/>
      <w:tabs>
        <w:tab w:val="clear" w:pos="6480"/>
        <w:tab w:val="center" w:pos="4680"/>
        <w:tab w:val="right" w:pos="9360"/>
      </w:tabs>
      <w:jc w:val="center"/>
      <w:rPr>
        <w:rFonts w:ascii="Arial" w:hAnsi="Arial" w:cs="Arial"/>
        <w:color w:val="3E8430"/>
        <w:sz w:val="20"/>
      </w:rPr>
    </w:pPr>
    <w:bookmarkStart w:id="3" w:name="aliashDOCCompanyConfidenti1HeaderPrimary"/>
  </w:p>
  <w:bookmarkEnd w:id="3"/>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B3444A">
      <w:t>May 2013</w:t>
    </w:r>
    <w:r>
      <w:fldChar w:fldCharType="end"/>
    </w:r>
    <w:r>
      <w:tab/>
    </w:r>
    <w:r>
      <w:tab/>
    </w:r>
    <w:fldSimple w:instr=" TITLE  \* MERGEFORMAT ">
      <w:r w:rsidR="00B3444A">
        <w:t>doc.: IEEE 802.11-13/438r2</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0A" w:rsidRDefault="00BC3D0A" w:rsidP="00BC3D0A">
    <w:pPr>
      <w:pStyle w:val="Header"/>
      <w:jc w:val="center"/>
      <w:rPr>
        <w:rFonts w:ascii="Arial" w:hAnsi="Arial" w:cs="Arial"/>
        <w:color w:val="3E8430"/>
        <w:sz w:val="20"/>
      </w:rPr>
    </w:pPr>
    <w:bookmarkStart w:id="6" w:name="aliashDOCCompanyConfiden1HeaderFirstPage"/>
  </w:p>
  <w:bookmarkEnd w:id="6"/>
  <w:p w:rsidR="00BC3D0A" w:rsidRDefault="00BC3D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0A"/>
    <w:rsid w:val="0013424F"/>
    <w:rsid w:val="00164949"/>
    <w:rsid w:val="001D723B"/>
    <w:rsid w:val="00214719"/>
    <w:rsid w:val="00246F8D"/>
    <w:rsid w:val="0029020B"/>
    <w:rsid w:val="002B5456"/>
    <w:rsid w:val="002D44BE"/>
    <w:rsid w:val="00407291"/>
    <w:rsid w:val="00442037"/>
    <w:rsid w:val="00452AB3"/>
    <w:rsid w:val="004947D2"/>
    <w:rsid w:val="004B064B"/>
    <w:rsid w:val="004D2DB2"/>
    <w:rsid w:val="00576CC4"/>
    <w:rsid w:val="0062440B"/>
    <w:rsid w:val="006C0727"/>
    <w:rsid w:val="006C79E0"/>
    <w:rsid w:val="006E145F"/>
    <w:rsid w:val="00770572"/>
    <w:rsid w:val="007D4216"/>
    <w:rsid w:val="00881A41"/>
    <w:rsid w:val="008F2690"/>
    <w:rsid w:val="009F2FBC"/>
    <w:rsid w:val="00AA427C"/>
    <w:rsid w:val="00AB3D1C"/>
    <w:rsid w:val="00AD0A07"/>
    <w:rsid w:val="00B11C3D"/>
    <w:rsid w:val="00B3444A"/>
    <w:rsid w:val="00BC3D0A"/>
    <w:rsid w:val="00BD1849"/>
    <w:rsid w:val="00BE68C2"/>
    <w:rsid w:val="00CA09B2"/>
    <w:rsid w:val="00D07893"/>
    <w:rsid w:val="00D31D67"/>
    <w:rsid w:val="00DC5A7B"/>
    <w:rsid w:val="00E7304C"/>
    <w:rsid w:val="00E756A5"/>
    <w:rsid w:val="00E76452"/>
    <w:rsid w:val="00E82244"/>
    <w:rsid w:val="00EA77A4"/>
    <w:rsid w:val="00F4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Emphasis">
    <w:name w:val="Emphasis"/>
    <w:basedOn w:val="DefaultParagraphFont"/>
    <w:qFormat/>
    <w:rsid w:val="00E7304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Emphasis">
    <w:name w:val="Emphasis"/>
    <w:basedOn w:val="DefaultParagraphFont"/>
    <w:qFormat/>
    <w:rsid w:val="00E730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0173">
      <w:bodyDiv w:val="1"/>
      <w:marLeft w:val="0"/>
      <w:marRight w:val="0"/>
      <w:marTop w:val="0"/>
      <w:marBottom w:val="0"/>
      <w:divBdr>
        <w:top w:val="none" w:sz="0" w:space="0" w:color="auto"/>
        <w:left w:val="none" w:sz="0" w:space="0" w:color="auto"/>
        <w:bottom w:val="none" w:sz="0" w:space="0" w:color="auto"/>
        <w:right w:val="none" w:sz="0" w:space="0" w:color="auto"/>
      </w:divBdr>
    </w:div>
    <w:div w:id="1264147830">
      <w:bodyDiv w:val="1"/>
      <w:marLeft w:val="0"/>
      <w:marRight w:val="0"/>
      <w:marTop w:val="0"/>
      <w:marBottom w:val="0"/>
      <w:divBdr>
        <w:top w:val="none" w:sz="0" w:space="0" w:color="auto"/>
        <w:left w:val="none" w:sz="0" w:space="0" w:color="auto"/>
        <w:bottom w:val="none" w:sz="0" w:space="0" w:color="auto"/>
        <w:right w:val="none" w:sz="0" w:space="0" w:color="auto"/>
      </w:divBdr>
    </w:div>
    <w:div w:id="16682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5Hawaii\11ai\omat_esitykse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802.11-13/438r2</vt:lpstr>
    </vt:vector>
  </TitlesOfParts>
  <Company>Some Company</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802.11-13/438r3</dc:title>
  <dc:subject>Submission</dc:subject>
  <dc:creator>Kneckt Jarkko (Nokia-NRC/Helsinki)</dc:creator>
  <cp:keywords>May 2013</cp:keywords>
  <dc:description>Jarkko Kneckt, Nokia</dc:description>
  <cp:lastModifiedBy>Kneckt Jarkko (Nokia-NRC/Helsinki)</cp:lastModifiedBy>
  <cp:revision>2</cp:revision>
  <cp:lastPrinted>1900-12-31T21:00:00Z</cp:lastPrinted>
  <dcterms:created xsi:type="dcterms:W3CDTF">2013-05-14T20:47:00Z</dcterms:created>
  <dcterms:modified xsi:type="dcterms:W3CDTF">2013-05-14T20:47:00Z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ad4d469a-e626-441b-bfcb-fa5d07f7eb6d</vt:lpwstr>
  </property>
  <property fmtid="{D5CDD505-2E9C-101B-9397-08002B2CF9AE}" pid="3" name="NokiaConfidentiality">
    <vt:lpwstr>Public</vt:lpwstr>
  </property>
</Properties>
</file>