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C3D0A">
            <w:pPr>
              <w:pStyle w:val="T2"/>
            </w:pPr>
            <w:r>
              <w:t>Link Setup Delay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C3D0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3D0A">
              <w:rPr>
                <w:b w:val="0"/>
                <w:sz w:val="20"/>
              </w:rPr>
              <w:t>2013-04-</w:t>
            </w:r>
            <w:r w:rsidR="00407291">
              <w:rPr>
                <w:b w:val="0"/>
                <w:sz w:val="20"/>
              </w:rPr>
              <w:t>24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81A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:rsidR="00CA09B2" w:rsidRDefault="00881A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CA09B2" w:rsidRDefault="00881A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Otaniementie 19b, 02150 Espoo Finland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1471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Jarkko.Kneckt@nok</w:t>
            </w:r>
            <w:r w:rsidR="00881A41">
              <w:rPr>
                <w:b w:val="0"/>
                <w:sz w:val="16"/>
              </w:rPr>
              <w:t>i</w:t>
            </w:r>
            <w:r>
              <w:rPr>
                <w:b w:val="0"/>
                <w:sz w:val="16"/>
              </w:rPr>
              <w:t>a</w:t>
            </w:r>
            <w:r w:rsidR="00881A41">
              <w:rPr>
                <w:b w:val="0"/>
                <w:sz w:val="16"/>
              </w:rPr>
              <w:t>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C3D0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81A41">
                            <w:pPr>
                              <w:jc w:val="both"/>
                            </w:pPr>
                            <w:r>
                              <w:t xml:space="preserve">The submission provides normative to query link setup delays from the AP. The submission is related to presentation </w:t>
                            </w:r>
                            <w:r w:rsidR="00407291">
                              <w:t>11-13/</w:t>
                            </w:r>
                            <w:bookmarkStart w:id="0" w:name="_GoBack"/>
                            <w:bookmarkEnd w:id="0"/>
                            <w:r>
                              <w:t xml:space="preserve">414r0.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81A41">
                      <w:pPr>
                        <w:jc w:val="both"/>
                      </w:pPr>
                      <w:r>
                        <w:t xml:space="preserve">The submission provides normative to query link setup delays from the AP. The submission is related to presentation </w:t>
                      </w:r>
                      <w:r w:rsidR="00407291">
                        <w:t>11-13/</w:t>
                      </w:r>
                      <w:bookmarkStart w:id="1" w:name="_GoBack"/>
                      <w:bookmarkEnd w:id="1"/>
                      <w:r>
                        <w:t xml:space="preserve">414r0.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81A41">
      <w:r>
        <w:br w:type="page"/>
      </w:r>
    </w:p>
    <w:p w:rsidR="00881A41" w:rsidRDefault="00881A41">
      <w:pPr>
        <w:rPr>
          <w:rFonts w:ascii="Arial,Bold" w:hAnsi="Arial,Bold" w:cs="Arial,Bold"/>
          <w:b/>
          <w:bCs/>
          <w:sz w:val="20"/>
          <w:lang w:val="en-US"/>
        </w:rPr>
      </w:pPr>
    </w:p>
    <w:p w:rsidR="00CA09B2" w:rsidRDefault="00881A41">
      <w:r>
        <w:rPr>
          <w:rFonts w:ascii="Arial,Bold" w:hAnsi="Arial,Bold" w:cs="Arial,Bold"/>
          <w:b/>
          <w:bCs/>
          <w:sz w:val="20"/>
          <w:lang w:val="en-US"/>
        </w:rPr>
        <w:t>8.4.4 Access Network Query Protocol (ANQP) elements</w:t>
      </w:r>
    </w:p>
    <w:p w:rsidR="00881A41" w:rsidRDefault="00881A41"/>
    <w:p w:rsidR="007D4216" w:rsidRPr="007D4216" w:rsidRDefault="007D4216">
      <w:pPr>
        <w:rPr>
          <w:i/>
        </w:rPr>
      </w:pPr>
      <w:r w:rsidRPr="007D4216">
        <w:rPr>
          <w:i/>
          <w:highlight w:val="yellow"/>
        </w:rPr>
        <w:t>Instructions to the Editor: Add new row after AP List Response</w:t>
      </w:r>
    </w:p>
    <w:p w:rsidR="00881A41" w:rsidRDefault="00881A41"/>
    <w:p w:rsidR="00881A41" w:rsidRDefault="00881A41" w:rsidP="00881A41">
      <w:pPr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8-184 — ANQP-element definitions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1275"/>
        <w:gridCol w:w="2619"/>
      </w:tblGrid>
      <w:tr w:rsidR="007D4216" w:rsidRPr="007D4216" w:rsidTr="007D421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ANQP-element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Info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ANQP-element (subclause)</w:t>
            </w:r>
          </w:p>
        </w:tc>
      </w:tr>
      <w:tr w:rsidR="007D4216" w:rsidRPr="007D4216" w:rsidTr="007D421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u w:val="single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u w:val="single"/>
                <w:lang w:val="en-US"/>
              </w:rPr>
              <w:t>Link Setup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u w:val="single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u w:val="single"/>
                <w:lang w:val="en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u w:val="single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u w:val="single"/>
                <w:lang w:val="en-US"/>
              </w:rPr>
              <w:t>8.4.4.ai1</w:t>
            </w:r>
          </w:p>
        </w:tc>
      </w:tr>
      <w:tr w:rsidR="007D4216" w:rsidRPr="007D4216" w:rsidTr="007D421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Reserved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u w:val="single"/>
                <w:lang w:val="en-US"/>
              </w:rPr>
              <w:t>276</w:t>
            </w: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- 56796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n/a</w:t>
            </w:r>
          </w:p>
        </w:tc>
      </w:tr>
    </w:tbl>
    <w:p w:rsidR="007D4216" w:rsidRDefault="007D4216" w:rsidP="007D4216"/>
    <w:p w:rsidR="007D4216" w:rsidRDefault="007D4216" w:rsidP="007D4216"/>
    <w:p w:rsidR="007D4216" w:rsidRDefault="007D4216" w:rsidP="007D4216">
      <w:r>
        <w:rPr>
          <w:rFonts w:ascii="Arial,Bold" w:hAnsi="Arial,Bold" w:cs="Arial,Bold"/>
          <w:b/>
          <w:bCs/>
          <w:sz w:val="20"/>
          <w:lang w:val="en-US"/>
        </w:rPr>
        <w:t>8.4.4.ai1 Link Setup Delay ANQP-element</w:t>
      </w:r>
    </w:p>
    <w:p w:rsidR="00CA09B2" w:rsidRDefault="007D4216" w:rsidP="007D4216">
      <w:pPr>
        <w:rPr>
          <w:b/>
          <w:sz w:val="24"/>
        </w:rPr>
      </w:pPr>
      <w:r w:rsidRPr="007D4216">
        <w:rPr>
          <w:i/>
          <w:highlight w:val="yellow"/>
        </w:rPr>
        <w:t>Instructions to the Editor: Insert new clause 8.4.4.ai1</w:t>
      </w:r>
    </w:p>
    <w:p w:rsidR="00CA09B2" w:rsidRDefault="00CA09B2"/>
    <w:p w:rsidR="007D4216" w:rsidRDefault="007D4216">
      <w:r>
        <w:t xml:space="preserve">The Link Setup Delay ANQP-element </w:t>
      </w:r>
      <w:r w:rsidR="00D31D67">
        <w:t xml:space="preserve">provides the signalling delays of the AP for the authentication or link setup signalling. The format of the Link Setup Delay ANQP-element is shown in </w:t>
      </w:r>
    </w:p>
    <w:p w:rsidR="00D31D67" w:rsidRDefault="00D31D67"/>
    <w:tbl>
      <w:tblPr>
        <w:tblW w:w="5760" w:type="dxa"/>
        <w:jc w:val="center"/>
        <w:tblInd w:w="93" w:type="dxa"/>
        <w:tblLook w:val="04A0" w:firstRow="1" w:lastRow="0" w:firstColumn="1" w:lastColumn="0" w:noHBand="0" w:noVBand="1"/>
      </w:tblPr>
      <w:tblGrid>
        <w:gridCol w:w="718"/>
        <w:gridCol w:w="864"/>
        <w:gridCol w:w="1546"/>
        <w:gridCol w:w="1010"/>
        <w:gridCol w:w="612"/>
        <w:gridCol w:w="1010"/>
      </w:tblGrid>
      <w:tr w:rsidR="00AD0A07" w:rsidRPr="007D4216" w:rsidTr="00D31D67">
        <w:trPr>
          <w:trHeight w:val="8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Info ID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Length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E82244" w:rsidP="00AD0A07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Number of </w:t>
            </w:r>
            <w:r w:rsidR="00AD0A07">
              <w:rPr>
                <w:rFonts w:ascii="Calibri" w:hAnsi="Calibri" w:cs="Calibri"/>
                <w:color w:val="000000"/>
                <w:szCs w:val="22"/>
                <w:lang w:val="en-US"/>
              </w:rPr>
              <w:t>Handling Delays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2B545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</w:t>
            </w:r>
            <w:r w:rsidR="007D4216"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essage </w:t>
            </w:r>
            <w:r w:rsidR="00AD0A0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Handling Delay </w:t>
            </w:r>
            <w:r w:rsidR="007D4216"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...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2B545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</w:t>
            </w:r>
            <w:r w:rsidR="007D4216"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essage</w:t>
            </w:r>
            <w:r w:rsidR="00AD0A0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Handling Delay </w:t>
            </w:r>
            <w:r w:rsidR="007D4216"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N</w:t>
            </w:r>
          </w:p>
        </w:tc>
      </w:tr>
      <w:tr w:rsidR="00AD0A07" w:rsidRPr="007D4216" w:rsidTr="00D31D67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  <w:r w:rsidR="00D31D67">
              <w:rPr>
                <w:rFonts w:ascii="Calibri" w:hAnsi="Calibri" w:cs="Calibri"/>
                <w:color w:val="000000"/>
                <w:szCs w:val="22"/>
                <w:lang w:val="en-US"/>
              </w:rPr>
              <w:t>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6" w:rsidRPr="007D4216" w:rsidRDefault="007D4216" w:rsidP="007D4216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D4216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</w:tr>
    </w:tbl>
    <w:p w:rsidR="007D4216" w:rsidRPr="00D31D67" w:rsidRDefault="00D31D67" w:rsidP="00D31D6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8-ai1 — Link Setup Delay ANQP-element format </w:t>
      </w:r>
    </w:p>
    <w:p w:rsidR="00D31D67" w:rsidRDefault="00D31D67">
      <w:pPr>
        <w:rPr>
          <w:lang w:val="en-US"/>
        </w:rPr>
      </w:pPr>
    </w:p>
    <w:p w:rsidR="002B5456" w:rsidRDefault="002B5456">
      <w:pPr>
        <w:rPr>
          <w:rFonts w:ascii="TimesNewRoman" w:hAnsi="TimesNewRoman" w:cs="TimesNewRoman"/>
          <w:sz w:val="20"/>
          <w:lang w:val="en-US"/>
        </w:rPr>
      </w:pPr>
      <w:r>
        <w:t>The Info ID</w:t>
      </w:r>
      <w:r>
        <w:rPr>
          <w:rFonts w:ascii="TimesNewRoman" w:hAnsi="TimesNewRoman" w:cs="TimesNewRoman"/>
          <w:sz w:val="20"/>
          <w:lang w:val="en-US"/>
        </w:rPr>
        <w:t xml:space="preserve"> field is equal to the value in Table 8-184 corresponding to the Link Setup Delay ANQP-element.</w:t>
      </w:r>
    </w:p>
    <w:p w:rsidR="002B5456" w:rsidRDefault="002B5456">
      <w:pPr>
        <w:rPr>
          <w:rFonts w:ascii="TimesNewRoman" w:hAnsi="TimesNewRoman" w:cs="TimesNewRoman"/>
          <w:sz w:val="20"/>
          <w:lang w:val="en-US"/>
        </w:rPr>
      </w:pPr>
    </w:p>
    <w:p w:rsidR="002B5456" w:rsidRDefault="002B5456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Length field is a 2-octet field whose value is set to 1 plus the total length of the Delay of Message fields.</w:t>
      </w:r>
    </w:p>
    <w:p w:rsidR="002B5456" w:rsidRDefault="002B5456">
      <w:pPr>
        <w:rPr>
          <w:rFonts w:ascii="TimesNewRoman" w:hAnsi="TimesNewRoman" w:cs="TimesNewRoman"/>
          <w:sz w:val="20"/>
          <w:lang w:val="en-US"/>
        </w:rPr>
      </w:pPr>
    </w:p>
    <w:p w:rsidR="002B5456" w:rsidRDefault="002B5456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</w:t>
      </w:r>
      <w:r w:rsidR="00E82244">
        <w:rPr>
          <w:rFonts w:ascii="TimesNewRoman" w:hAnsi="TimesNewRoman" w:cs="TimesNewRoman"/>
          <w:sz w:val="20"/>
          <w:lang w:val="en-US"/>
        </w:rPr>
        <w:t xml:space="preserve">Number of </w:t>
      </w:r>
      <w:r w:rsidR="00D07893">
        <w:rPr>
          <w:rFonts w:ascii="TimesNewRoman" w:hAnsi="TimesNewRoman" w:cs="TimesNewRoman"/>
          <w:sz w:val="20"/>
          <w:lang w:val="en-US"/>
        </w:rPr>
        <w:t xml:space="preserve">Handling Delays </w:t>
      </w:r>
      <w:r>
        <w:rPr>
          <w:rFonts w:ascii="TimesNewRoman" w:hAnsi="TimesNewRoman" w:cs="TimesNewRoman"/>
          <w:sz w:val="20"/>
          <w:lang w:val="en-US"/>
        </w:rPr>
        <w:t xml:space="preserve">field </w:t>
      </w:r>
      <w:r w:rsidR="00E82244">
        <w:rPr>
          <w:rFonts w:ascii="TimesNewRoman" w:hAnsi="TimesNewRoman" w:cs="TimesNewRoman"/>
          <w:sz w:val="20"/>
          <w:lang w:val="en-US"/>
        </w:rPr>
        <w:t xml:space="preserve">indicates </w:t>
      </w:r>
      <w:r w:rsidR="006C79E0">
        <w:rPr>
          <w:rFonts w:ascii="TimesNewRoman" w:hAnsi="TimesNewRoman" w:cs="TimesNewRoman"/>
          <w:sz w:val="20"/>
          <w:lang w:val="en-US"/>
        </w:rPr>
        <w:t xml:space="preserve">the number of </w:t>
      </w:r>
      <w:r w:rsidR="00D07893">
        <w:rPr>
          <w:rFonts w:ascii="TimesNewRoman" w:hAnsi="TimesNewRoman" w:cs="TimesNewRoman"/>
          <w:sz w:val="20"/>
          <w:lang w:val="en-US"/>
        </w:rPr>
        <w:t xml:space="preserve">Message Handling </w:t>
      </w:r>
      <w:r w:rsidR="00D31D67">
        <w:rPr>
          <w:rFonts w:ascii="TimesNewRoman" w:hAnsi="TimesNewRoman" w:cs="TimesNewRoman"/>
          <w:sz w:val="20"/>
          <w:lang w:val="en-US"/>
        </w:rPr>
        <w:t xml:space="preserve">Delay fields in the Link Setup Delay ANQP-element. </w:t>
      </w:r>
    </w:p>
    <w:p w:rsidR="006C79E0" w:rsidRDefault="006C79E0">
      <w:pPr>
        <w:rPr>
          <w:rFonts w:ascii="TimesNewRoman" w:hAnsi="TimesNewRoman" w:cs="TimesNewRoman"/>
          <w:sz w:val="20"/>
          <w:lang w:val="en-US"/>
        </w:rPr>
      </w:pPr>
    </w:p>
    <w:p w:rsidR="00D07893" w:rsidRDefault="006C79E0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Message </w:t>
      </w:r>
      <w:r w:rsidR="00D07893">
        <w:rPr>
          <w:rFonts w:ascii="TimesNewRoman" w:hAnsi="TimesNewRoman" w:cs="TimesNewRoman"/>
          <w:sz w:val="20"/>
          <w:lang w:val="en-US"/>
        </w:rPr>
        <w:t xml:space="preserve">Handling Delay </w:t>
      </w:r>
      <w:r>
        <w:rPr>
          <w:rFonts w:ascii="TimesNewRoman" w:hAnsi="TimesNewRoman" w:cs="TimesNewRoman"/>
          <w:sz w:val="20"/>
          <w:lang w:val="en-US"/>
        </w:rPr>
        <w:t xml:space="preserve">field </w:t>
      </w:r>
      <w:r w:rsidR="00576CC4">
        <w:rPr>
          <w:rFonts w:ascii="TimesNewRoman" w:hAnsi="TimesNewRoman" w:cs="TimesNewRoman"/>
          <w:sz w:val="20"/>
          <w:lang w:val="en-US"/>
        </w:rPr>
        <w:t xml:space="preserve">is an unsigned integer and </w:t>
      </w:r>
      <w:r>
        <w:rPr>
          <w:rFonts w:ascii="TimesNewRoman" w:hAnsi="TimesNewRoman" w:cs="TimesNewRoman"/>
          <w:sz w:val="20"/>
          <w:lang w:val="en-US"/>
        </w:rPr>
        <w:t xml:space="preserve">indicates </w:t>
      </w:r>
      <w:r w:rsidR="00BD1849">
        <w:rPr>
          <w:rFonts w:ascii="TimesNewRoman" w:hAnsi="TimesNewRoman" w:cs="TimesNewRoman"/>
          <w:sz w:val="20"/>
          <w:lang w:val="en-US"/>
        </w:rPr>
        <w:t xml:space="preserve">time </w:t>
      </w:r>
      <w:r w:rsidR="00576CC4">
        <w:rPr>
          <w:rFonts w:ascii="TimesNewRoman" w:hAnsi="TimesNewRoman" w:cs="TimesNewRoman"/>
          <w:sz w:val="20"/>
          <w:lang w:val="en-US"/>
        </w:rPr>
        <w:t>in units of 1 ms. The time is rounded down</w:t>
      </w:r>
      <w:r w:rsidR="00D07893">
        <w:rPr>
          <w:rFonts w:ascii="TimesNewRoman" w:hAnsi="TimesNewRoman" w:cs="TimesNewRoman"/>
          <w:sz w:val="20"/>
          <w:lang w:val="en-US"/>
        </w:rPr>
        <w:t xml:space="preserve">. The </w:t>
      </w:r>
      <w:r w:rsidR="00BD1849">
        <w:rPr>
          <w:rFonts w:ascii="TimesNewRoman" w:hAnsi="TimesNewRoman" w:cs="TimesNewRoman"/>
          <w:sz w:val="20"/>
          <w:lang w:val="en-US"/>
        </w:rPr>
        <w:t xml:space="preserve">time </w:t>
      </w:r>
      <w:r w:rsidR="00EA77A4">
        <w:rPr>
          <w:rFonts w:ascii="TimesNewRoman" w:hAnsi="TimesNewRoman" w:cs="TimesNewRoman"/>
          <w:sz w:val="20"/>
          <w:lang w:val="en-US"/>
        </w:rPr>
        <w:t xml:space="preserve">is </w:t>
      </w:r>
      <w:r w:rsidR="00BD1849">
        <w:rPr>
          <w:rFonts w:ascii="TimesNewRoman" w:hAnsi="TimesNewRoman" w:cs="TimesNewRoman"/>
          <w:sz w:val="20"/>
          <w:lang w:val="en-US"/>
        </w:rPr>
        <w:t xml:space="preserve">captured from </w:t>
      </w:r>
      <w:r w:rsidR="00D07893">
        <w:rPr>
          <w:rFonts w:ascii="TimesNewRoman" w:hAnsi="TimesNewRoman" w:cs="TimesNewRoman"/>
          <w:sz w:val="20"/>
          <w:lang w:val="en-US"/>
        </w:rPr>
        <w:t xml:space="preserve">the </w:t>
      </w:r>
      <w:r w:rsidR="00BD1849">
        <w:rPr>
          <w:rFonts w:ascii="TimesNewRoman" w:hAnsi="TimesNewRoman" w:cs="TimesNewRoman"/>
          <w:sz w:val="20"/>
          <w:lang w:val="en-US"/>
        </w:rPr>
        <w:t xml:space="preserve">epoch when </w:t>
      </w:r>
      <w:r w:rsidR="00D07893">
        <w:rPr>
          <w:rFonts w:ascii="TimesNewRoman" w:hAnsi="TimesNewRoman" w:cs="TimesNewRoman"/>
          <w:sz w:val="20"/>
          <w:lang w:val="en-US"/>
        </w:rPr>
        <w:t xml:space="preserve">AP receives an authentication protocol frame from the STA to the epoch when the AP </w:t>
      </w:r>
      <w:r w:rsidR="00EA77A4">
        <w:rPr>
          <w:rFonts w:ascii="TimesNewRoman" w:hAnsi="TimesNewRoman" w:cs="TimesNewRoman"/>
          <w:sz w:val="20"/>
          <w:lang w:val="en-US"/>
        </w:rPr>
        <w:t>is able to initi</w:t>
      </w:r>
      <w:r w:rsidR="00D07893">
        <w:rPr>
          <w:rFonts w:ascii="TimesNewRoman" w:hAnsi="TimesNewRoman" w:cs="TimesNewRoman"/>
          <w:sz w:val="20"/>
          <w:lang w:val="en-US"/>
        </w:rPr>
        <w:t xml:space="preserve">ate TXOP obtaining for the </w:t>
      </w:r>
      <w:r w:rsidR="00EA77A4">
        <w:rPr>
          <w:rFonts w:ascii="TimesNewRoman" w:hAnsi="TimesNewRoman" w:cs="TimesNewRoman"/>
          <w:sz w:val="20"/>
          <w:lang w:val="en-US"/>
        </w:rPr>
        <w:t xml:space="preserve">authentication protocol specific </w:t>
      </w:r>
      <w:r w:rsidR="00D07893">
        <w:rPr>
          <w:rFonts w:ascii="TimesNewRoman" w:hAnsi="TimesNewRoman" w:cs="TimesNewRoman"/>
          <w:sz w:val="20"/>
          <w:lang w:val="en-US"/>
        </w:rPr>
        <w:t xml:space="preserve">response </w:t>
      </w:r>
      <w:r w:rsidR="00EA77A4">
        <w:rPr>
          <w:rFonts w:ascii="TimesNewRoman" w:hAnsi="TimesNewRoman" w:cs="TimesNewRoman"/>
          <w:sz w:val="20"/>
          <w:lang w:val="en-US"/>
        </w:rPr>
        <w:t xml:space="preserve">frame to </w:t>
      </w:r>
      <w:r w:rsidR="00D07893">
        <w:rPr>
          <w:rFonts w:ascii="TimesNewRoman" w:hAnsi="TimesNewRoman" w:cs="TimesNewRoman"/>
          <w:sz w:val="20"/>
          <w:lang w:val="en-US"/>
        </w:rPr>
        <w:t>the STA.</w:t>
      </w:r>
    </w:p>
    <w:p w:rsidR="00D07893" w:rsidRDefault="00D07893">
      <w:pPr>
        <w:rPr>
          <w:rFonts w:ascii="TimesNewRoman" w:hAnsi="TimesNewRoman" w:cs="TimesNewRoman"/>
          <w:sz w:val="20"/>
          <w:lang w:val="en-US"/>
        </w:rPr>
      </w:pPr>
    </w:p>
    <w:p w:rsidR="00D07893" w:rsidRDefault="00407291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Message Handling Delay </w:t>
      </w:r>
      <w:r w:rsidR="00EA77A4">
        <w:rPr>
          <w:rFonts w:ascii="TimesNewRoman" w:hAnsi="TimesNewRoman" w:cs="TimesNewRoman"/>
          <w:sz w:val="20"/>
          <w:lang w:val="en-US"/>
        </w:rPr>
        <w:t xml:space="preserve">field indicates the delay </w:t>
      </w:r>
      <w:r w:rsidR="00BD1849">
        <w:rPr>
          <w:rFonts w:ascii="TimesNewRoman" w:hAnsi="TimesNewRoman" w:cs="TimesNewRoman"/>
          <w:sz w:val="20"/>
          <w:lang w:val="en-US"/>
        </w:rPr>
        <w:t xml:space="preserve">of </w:t>
      </w:r>
      <w:r w:rsidR="00EA77A4">
        <w:rPr>
          <w:rFonts w:ascii="TimesNewRoman" w:hAnsi="TimesNewRoman" w:cs="TimesNewRoman"/>
          <w:sz w:val="20"/>
          <w:lang w:val="en-US"/>
        </w:rPr>
        <w:t xml:space="preserve">the </w:t>
      </w:r>
      <w:r w:rsidR="00D07893">
        <w:rPr>
          <w:rFonts w:ascii="TimesNewRoman" w:hAnsi="TimesNewRoman" w:cs="TimesNewRoman"/>
          <w:sz w:val="20"/>
          <w:lang w:val="en-US"/>
        </w:rPr>
        <w:t xml:space="preserve">first </w:t>
      </w:r>
      <w:r w:rsidR="00EA77A4">
        <w:rPr>
          <w:rFonts w:ascii="TimesNewRoman" w:hAnsi="TimesNewRoman" w:cs="TimesNewRoman"/>
          <w:sz w:val="20"/>
          <w:lang w:val="en-US"/>
        </w:rPr>
        <w:t xml:space="preserve">authentication protocol specific response frame. If the authentication protocol </w:t>
      </w:r>
      <w:r w:rsidR="00BD1849">
        <w:rPr>
          <w:rFonts w:ascii="TimesNewRoman" w:hAnsi="TimesNewRoman" w:cs="TimesNewRoman"/>
          <w:sz w:val="20"/>
          <w:lang w:val="en-US"/>
        </w:rPr>
        <w:t xml:space="preserve">has </w:t>
      </w:r>
      <w:r w:rsidR="00EA77A4">
        <w:rPr>
          <w:rFonts w:ascii="TimesNewRoman" w:hAnsi="TimesNewRoman" w:cs="TimesNewRoman"/>
          <w:sz w:val="20"/>
          <w:lang w:val="en-US"/>
        </w:rPr>
        <w:t xml:space="preserve">more response frames than </w:t>
      </w:r>
      <w:r>
        <w:rPr>
          <w:rFonts w:ascii="TimesNewRoman" w:hAnsi="TimesNewRoman" w:cs="TimesNewRoman"/>
          <w:sz w:val="20"/>
          <w:lang w:val="en-US"/>
        </w:rPr>
        <w:t xml:space="preserve">the </w:t>
      </w:r>
      <w:r w:rsidR="00EA77A4">
        <w:rPr>
          <w:rFonts w:ascii="TimesNewRoman" w:hAnsi="TimesNewRoman" w:cs="TimesNewRoman"/>
          <w:sz w:val="20"/>
          <w:lang w:val="en-US"/>
        </w:rPr>
        <w:t xml:space="preserve">number of the Message Handling Delay fields in the Link Setup Delay ANQP-element, the </w:t>
      </w:r>
      <w:r w:rsidR="00BD1849">
        <w:rPr>
          <w:rFonts w:ascii="TimesNewRoman" w:hAnsi="TimesNewRoman" w:cs="TimesNewRoman"/>
          <w:sz w:val="20"/>
          <w:lang w:val="en-US"/>
        </w:rPr>
        <w:t xml:space="preserve">response </w:t>
      </w:r>
      <w:r w:rsidR="00EA77A4">
        <w:rPr>
          <w:rFonts w:ascii="TimesNewRoman" w:hAnsi="TimesNewRoman" w:cs="TimesNewRoman"/>
          <w:sz w:val="20"/>
          <w:lang w:val="en-US"/>
        </w:rPr>
        <w:t xml:space="preserve">delays </w:t>
      </w:r>
      <w:r w:rsidR="00BD1849">
        <w:rPr>
          <w:rFonts w:ascii="TimesNewRoman" w:hAnsi="TimesNewRoman" w:cs="TimesNewRoman"/>
          <w:sz w:val="20"/>
          <w:lang w:val="en-US"/>
        </w:rPr>
        <w:t xml:space="preserve">that are not reported </w:t>
      </w:r>
      <w:r w:rsidR="00EA77A4">
        <w:rPr>
          <w:rFonts w:ascii="TimesNewRoman" w:hAnsi="TimesNewRoman" w:cs="TimesNewRoman"/>
          <w:sz w:val="20"/>
          <w:lang w:val="en-US"/>
        </w:rPr>
        <w:t xml:space="preserve">are considered unknown. </w:t>
      </w:r>
    </w:p>
    <w:p w:rsidR="00576CC4" w:rsidRPr="00BD1849" w:rsidRDefault="00576CC4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Value 254 indicates that the time is 254</w:t>
      </w:r>
      <w:r w:rsidR="00BD1849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ms or larger. Value 255 indicates that the time is not known. </w:t>
      </w:r>
    </w:p>
    <w:sectPr w:rsidR="00576CC4" w:rsidRPr="00BD1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B6" w:rsidRDefault="002E34B6">
      <w:r>
        <w:separator/>
      </w:r>
    </w:p>
  </w:endnote>
  <w:endnote w:type="continuationSeparator" w:id="0">
    <w:p w:rsidR="002E34B6" w:rsidRDefault="002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0A" w:rsidRDefault="00BC3D0A" w:rsidP="00BC3D0A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" w:name="aliashDOCCompanyConfiden1FooterEvenPages"/>
  </w:p>
  <w:bookmarkEnd w:id="4"/>
  <w:p w:rsidR="00BC3D0A" w:rsidRDefault="00BC3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0A" w:rsidRDefault="00BC3D0A" w:rsidP="00BC3D0A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5" w:name="aliashDOCCompanyConfidenti1FooterPrimary"/>
  </w:p>
  <w:bookmarkEnd w:id="5"/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3D0A"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07291">
      <w:rPr>
        <w:noProof/>
      </w:rPr>
      <w:t>1</w:t>
    </w:r>
    <w:r>
      <w:fldChar w:fldCharType="end"/>
    </w:r>
    <w:r>
      <w:tab/>
    </w:r>
    <w:r w:rsidR="002E34B6">
      <w:fldChar w:fldCharType="begin"/>
    </w:r>
    <w:r w:rsidR="002E34B6">
      <w:instrText xml:space="preserve"> COMMENTS  \* MERGEFORMAT </w:instrText>
    </w:r>
    <w:r w:rsidR="002E34B6">
      <w:fldChar w:fldCharType="separate"/>
    </w:r>
    <w:r w:rsidR="00881A41">
      <w:t>Jarkko Kneckt, Nokia</w:t>
    </w:r>
    <w:r w:rsidR="002E34B6"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0A" w:rsidRDefault="00BC3D0A" w:rsidP="00BC3D0A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FirstPage"/>
  </w:p>
  <w:bookmarkEnd w:id="7"/>
  <w:p w:rsidR="00BC3D0A" w:rsidRDefault="00BC3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B6" w:rsidRDefault="002E34B6">
      <w:r>
        <w:separator/>
      </w:r>
    </w:p>
  </w:footnote>
  <w:footnote w:type="continuationSeparator" w:id="0">
    <w:p w:rsidR="002E34B6" w:rsidRDefault="002E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0A" w:rsidRDefault="00BC3D0A" w:rsidP="00BC3D0A">
    <w:pPr>
      <w:pStyle w:val="Header"/>
      <w:jc w:val="center"/>
      <w:rPr>
        <w:rFonts w:ascii="Arial" w:hAnsi="Arial" w:cs="Arial"/>
        <w:color w:val="3E8430"/>
        <w:sz w:val="20"/>
      </w:rPr>
    </w:pPr>
    <w:bookmarkStart w:id="2" w:name="aliashDOCCompanyConfiden1HeaderEvenPages"/>
  </w:p>
  <w:bookmarkEnd w:id="2"/>
  <w:p w:rsidR="00BC3D0A" w:rsidRDefault="00BC3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0A" w:rsidRDefault="00BC3D0A" w:rsidP="00BC3D0A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3" w:name="aliashDOCCompanyConfidenti1HeaderPrimary"/>
  </w:p>
  <w:bookmarkEnd w:id="3"/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81A41">
      <w:t>April 2013</w:t>
    </w:r>
    <w:r>
      <w:fldChar w:fldCharType="end"/>
    </w:r>
    <w:r>
      <w:tab/>
    </w:r>
    <w:r>
      <w:tab/>
    </w:r>
    <w:r w:rsidR="002E34B6">
      <w:fldChar w:fldCharType="begin"/>
    </w:r>
    <w:r w:rsidR="002E34B6">
      <w:instrText xml:space="preserve"> TITLE  \* MERGEFORMAT </w:instrText>
    </w:r>
    <w:r w:rsidR="002E34B6">
      <w:fldChar w:fldCharType="separate"/>
    </w:r>
    <w:r w:rsidR="00407291">
      <w:t>doc.: IEEE 802.11-13/438r0</w:t>
    </w:r>
    <w:r w:rsidR="002E34B6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0A" w:rsidRDefault="00BC3D0A" w:rsidP="00BC3D0A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FirstPage"/>
  </w:p>
  <w:bookmarkEnd w:id="6"/>
  <w:p w:rsidR="00BC3D0A" w:rsidRDefault="00BC3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A"/>
    <w:rsid w:val="001D723B"/>
    <w:rsid w:val="00214719"/>
    <w:rsid w:val="0029020B"/>
    <w:rsid w:val="002B5456"/>
    <w:rsid w:val="002D44BE"/>
    <w:rsid w:val="002E34B6"/>
    <w:rsid w:val="00407291"/>
    <w:rsid w:val="00442037"/>
    <w:rsid w:val="004B064B"/>
    <w:rsid w:val="00576CC4"/>
    <w:rsid w:val="0062440B"/>
    <w:rsid w:val="006C0727"/>
    <w:rsid w:val="006C79E0"/>
    <w:rsid w:val="006E145F"/>
    <w:rsid w:val="00770572"/>
    <w:rsid w:val="007D4216"/>
    <w:rsid w:val="00881A41"/>
    <w:rsid w:val="009F2FBC"/>
    <w:rsid w:val="00AA427C"/>
    <w:rsid w:val="00AD0A07"/>
    <w:rsid w:val="00BC3D0A"/>
    <w:rsid w:val="00BD1849"/>
    <w:rsid w:val="00BE68C2"/>
    <w:rsid w:val="00CA09B2"/>
    <w:rsid w:val="00D07893"/>
    <w:rsid w:val="00D31D67"/>
    <w:rsid w:val="00DC5A7B"/>
    <w:rsid w:val="00E756A5"/>
    <w:rsid w:val="00E82244"/>
    <w:rsid w:val="00EA77A4"/>
    <w:rsid w:val="00F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305Hawaii\11ai\omat_esitykse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802.11-13/438r0</vt:lpstr>
    </vt:vector>
  </TitlesOfParts>
  <Company>Some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802.11-13/438r0</dc:title>
  <dc:subject>Submission</dc:subject>
  <dc:creator>Kneckt Jarkko (Nokia-NRC/Helsinki)</dc:creator>
  <cp:keywords>April 2013</cp:keywords>
  <dc:description>Jarkko Kneckt, Nokia</dc:description>
  <cp:lastModifiedBy>Kneckt Jarkko (Nokia-NRC/Helsinki)</cp:lastModifiedBy>
  <cp:revision>2</cp:revision>
  <cp:lastPrinted>1900-12-31T21:00:00Z</cp:lastPrinted>
  <dcterms:created xsi:type="dcterms:W3CDTF">2013-04-24T07:33:00Z</dcterms:created>
  <dcterms:modified xsi:type="dcterms:W3CDTF">2013-04-24T07:33:00Z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ad4d469a-e626-441b-bfcb-fa5d07f7eb6d</vt:lpwstr>
  </property>
  <property fmtid="{D5CDD505-2E9C-101B-9397-08002B2CF9AE}" pid="3" name="NokiaConfidentiality">
    <vt:lpwstr>Public</vt:lpwstr>
  </property>
</Properties>
</file>