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2970"/>
        <w:gridCol w:w="1170"/>
        <w:gridCol w:w="2718"/>
      </w:tblGrid>
      <w:tr w:rsidR="00CA09B2">
        <w:trPr>
          <w:trHeight w:val="485"/>
          <w:jc w:val="center"/>
        </w:trPr>
        <w:tc>
          <w:tcPr>
            <w:tcW w:w="9576" w:type="dxa"/>
            <w:gridSpan w:val="5"/>
            <w:vAlign w:val="center"/>
          </w:tcPr>
          <w:p w:rsidR="00CA09B2" w:rsidRDefault="009E0F15" w:rsidP="00EB3328">
            <w:pPr>
              <w:pStyle w:val="T2"/>
            </w:pPr>
            <w:r>
              <w:t>Comments on FCC NPRM 12-118</w:t>
            </w:r>
          </w:p>
        </w:tc>
      </w:tr>
      <w:tr w:rsidR="00CA09B2">
        <w:trPr>
          <w:trHeight w:val="359"/>
          <w:jc w:val="center"/>
        </w:trPr>
        <w:tc>
          <w:tcPr>
            <w:tcW w:w="9576" w:type="dxa"/>
            <w:gridSpan w:val="5"/>
            <w:vAlign w:val="center"/>
          </w:tcPr>
          <w:p w:rsidR="00CA09B2" w:rsidRDefault="00CA09B2" w:rsidP="00E330D6">
            <w:pPr>
              <w:pStyle w:val="T2"/>
              <w:ind w:left="0"/>
              <w:rPr>
                <w:sz w:val="20"/>
              </w:rPr>
            </w:pPr>
            <w:r>
              <w:rPr>
                <w:sz w:val="20"/>
              </w:rPr>
              <w:t>Date:</w:t>
            </w:r>
            <w:r w:rsidR="009E0F15">
              <w:rPr>
                <w:b w:val="0"/>
                <w:sz w:val="20"/>
              </w:rPr>
              <w:t xml:space="preserve">  2013</w:t>
            </w:r>
            <w:r w:rsidR="00DF095C">
              <w:rPr>
                <w:b w:val="0"/>
                <w:sz w:val="20"/>
              </w:rPr>
              <w:t>-</w:t>
            </w:r>
            <w:r w:rsidR="000C2E1E">
              <w:rPr>
                <w:b w:val="0"/>
                <w:sz w:val="20"/>
              </w:rPr>
              <w:t>0</w:t>
            </w:r>
            <w:r w:rsidR="00E330D6">
              <w:rPr>
                <w:b w:val="0"/>
                <w:sz w:val="20"/>
              </w:rPr>
              <w:t>2</w:t>
            </w:r>
            <w:r>
              <w:rPr>
                <w:b w:val="0"/>
                <w:sz w:val="20"/>
              </w:rPr>
              <w:t>-</w:t>
            </w:r>
            <w:r w:rsidR="006C6D48">
              <w:rPr>
                <w:b w:val="0"/>
                <w:sz w:val="20"/>
              </w:rPr>
              <w:t>1</w:t>
            </w:r>
            <w:r w:rsidR="00E330D6">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E719E">
        <w:trPr>
          <w:jc w:val="center"/>
        </w:trPr>
        <w:tc>
          <w:tcPr>
            <w:tcW w:w="1458" w:type="dxa"/>
            <w:vAlign w:val="center"/>
          </w:tcPr>
          <w:p w:rsidR="00CA09B2" w:rsidRDefault="00CA09B2">
            <w:pPr>
              <w:pStyle w:val="T2"/>
              <w:spacing w:after="0"/>
              <w:ind w:left="0" w:right="0"/>
              <w:jc w:val="left"/>
              <w:rPr>
                <w:sz w:val="20"/>
              </w:rPr>
            </w:pPr>
            <w:r>
              <w:rPr>
                <w:sz w:val="20"/>
              </w:rPr>
              <w:t>Name</w:t>
            </w:r>
          </w:p>
        </w:tc>
        <w:tc>
          <w:tcPr>
            <w:tcW w:w="1260"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9E461D" w:rsidTr="009E719E">
        <w:trPr>
          <w:jc w:val="center"/>
        </w:trPr>
        <w:tc>
          <w:tcPr>
            <w:tcW w:w="1458" w:type="dxa"/>
            <w:vAlign w:val="center"/>
          </w:tcPr>
          <w:p w:rsidR="009E461D" w:rsidRDefault="009E461D">
            <w:pPr>
              <w:pStyle w:val="T2"/>
              <w:spacing w:after="0"/>
              <w:ind w:left="0" w:right="0"/>
              <w:rPr>
                <w:b w:val="0"/>
                <w:sz w:val="20"/>
              </w:rPr>
            </w:pPr>
            <w:r>
              <w:rPr>
                <w:b w:val="0"/>
                <w:sz w:val="20"/>
              </w:rPr>
              <w:t>Ron Porat</w:t>
            </w:r>
          </w:p>
        </w:tc>
        <w:tc>
          <w:tcPr>
            <w:tcW w:w="1260" w:type="dxa"/>
            <w:vAlign w:val="center"/>
          </w:tcPr>
          <w:p w:rsidR="009E461D" w:rsidRDefault="009E461D">
            <w:pPr>
              <w:pStyle w:val="T2"/>
              <w:spacing w:after="0"/>
              <w:ind w:left="0" w:right="0"/>
              <w:rPr>
                <w:b w:val="0"/>
                <w:sz w:val="20"/>
              </w:rPr>
            </w:pPr>
            <w:r>
              <w:rPr>
                <w:b w:val="0"/>
                <w:sz w:val="20"/>
              </w:rPr>
              <w:t>Broadcom</w:t>
            </w:r>
          </w:p>
        </w:tc>
        <w:tc>
          <w:tcPr>
            <w:tcW w:w="2970" w:type="dxa"/>
            <w:vAlign w:val="center"/>
          </w:tcPr>
          <w:p w:rsidR="009E461D" w:rsidRPr="003D62C3" w:rsidRDefault="009E461D" w:rsidP="009E461D">
            <w:pPr>
              <w:pStyle w:val="NormalWeb"/>
              <w:jc w:val="center"/>
              <w:rPr>
                <w:lang w:val="nl-NL"/>
              </w:rPr>
            </w:pPr>
            <w:r>
              <w:rPr>
                <w:rFonts w:ascii="Arial" w:hAnsi="Arial" w:cs="Arial"/>
                <w:sz w:val="20"/>
                <w:szCs w:val="20"/>
              </w:rPr>
              <w:t>16340 West Bernardo Dr., San Diego, CA 92127</w:t>
            </w:r>
          </w:p>
        </w:tc>
        <w:tc>
          <w:tcPr>
            <w:tcW w:w="1170" w:type="dxa"/>
            <w:vAlign w:val="center"/>
          </w:tcPr>
          <w:p w:rsidR="009E461D" w:rsidRPr="003D62C3" w:rsidRDefault="009E461D" w:rsidP="009E461D">
            <w:pPr>
              <w:jc w:val="center"/>
              <w:rPr>
                <w:sz w:val="24"/>
                <w:szCs w:val="24"/>
                <w:lang w:val="nl-NL"/>
              </w:rPr>
            </w:pPr>
            <w:r>
              <w:rPr>
                <w:sz w:val="24"/>
                <w:szCs w:val="24"/>
                <w:lang w:val="nl-NL"/>
              </w:rPr>
              <w:t>858-521-5409</w:t>
            </w:r>
          </w:p>
        </w:tc>
        <w:tc>
          <w:tcPr>
            <w:tcW w:w="2718" w:type="dxa"/>
            <w:vAlign w:val="center"/>
          </w:tcPr>
          <w:p w:rsidR="009E461D" w:rsidRPr="003D62C3" w:rsidRDefault="00B15E56" w:rsidP="009E461D">
            <w:pPr>
              <w:jc w:val="center"/>
              <w:rPr>
                <w:sz w:val="24"/>
                <w:szCs w:val="24"/>
                <w:lang w:val="nl-NL"/>
              </w:rPr>
            </w:pPr>
            <w:hyperlink r:id="rId8" w:history="1">
              <w:r w:rsidR="009E461D" w:rsidRPr="00425F0C">
                <w:rPr>
                  <w:rStyle w:val="Hyperlink"/>
                  <w:sz w:val="24"/>
                  <w:szCs w:val="24"/>
                  <w:lang w:val="nl-NL"/>
                </w:rPr>
                <w:t>rporat@broadcom.com</w:t>
              </w:r>
            </w:hyperlink>
          </w:p>
        </w:tc>
      </w:tr>
      <w:tr w:rsidR="009E0F15" w:rsidTr="009E719E">
        <w:trPr>
          <w:jc w:val="center"/>
        </w:trPr>
        <w:tc>
          <w:tcPr>
            <w:tcW w:w="1458" w:type="dxa"/>
            <w:vAlign w:val="center"/>
          </w:tcPr>
          <w:p w:rsidR="009E0F15" w:rsidRDefault="009E0F15">
            <w:pPr>
              <w:pStyle w:val="T2"/>
              <w:spacing w:after="0"/>
              <w:ind w:left="0" w:right="0"/>
              <w:rPr>
                <w:b w:val="0"/>
                <w:sz w:val="20"/>
              </w:rPr>
            </w:pPr>
            <w:r>
              <w:rPr>
                <w:b w:val="0"/>
                <w:sz w:val="20"/>
              </w:rPr>
              <w:t>Vinko Erceg</w:t>
            </w:r>
          </w:p>
        </w:tc>
        <w:tc>
          <w:tcPr>
            <w:tcW w:w="1260" w:type="dxa"/>
            <w:vAlign w:val="center"/>
          </w:tcPr>
          <w:p w:rsidR="009E0F15" w:rsidRDefault="009E0F15">
            <w:pPr>
              <w:pStyle w:val="T2"/>
              <w:spacing w:after="0"/>
              <w:ind w:left="0" w:right="0"/>
              <w:rPr>
                <w:b w:val="0"/>
                <w:sz w:val="20"/>
              </w:rPr>
            </w:pPr>
            <w:r>
              <w:rPr>
                <w:b w:val="0"/>
                <w:sz w:val="20"/>
              </w:rPr>
              <w:t>Broadcom</w:t>
            </w:r>
          </w:p>
        </w:tc>
        <w:tc>
          <w:tcPr>
            <w:tcW w:w="2970" w:type="dxa"/>
            <w:vAlign w:val="center"/>
          </w:tcPr>
          <w:p w:rsidR="009E0F15" w:rsidRDefault="009E0F15" w:rsidP="009E461D">
            <w:pPr>
              <w:pStyle w:val="NormalWeb"/>
              <w:jc w:val="center"/>
              <w:rPr>
                <w:rFonts w:ascii="Arial" w:hAnsi="Arial" w:cs="Arial"/>
                <w:sz w:val="20"/>
                <w:szCs w:val="20"/>
              </w:rPr>
            </w:pPr>
          </w:p>
        </w:tc>
        <w:tc>
          <w:tcPr>
            <w:tcW w:w="1170" w:type="dxa"/>
            <w:vAlign w:val="center"/>
          </w:tcPr>
          <w:p w:rsidR="009E0F15" w:rsidRDefault="009E0F15" w:rsidP="009E461D">
            <w:pPr>
              <w:jc w:val="center"/>
              <w:rPr>
                <w:sz w:val="24"/>
                <w:szCs w:val="24"/>
                <w:lang w:val="nl-NL"/>
              </w:rPr>
            </w:pPr>
          </w:p>
        </w:tc>
        <w:tc>
          <w:tcPr>
            <w:tcW w:w="2718" w:type="dxa"/>
            <w:vAlign w:val="center"/>
          </w:tcPr>
          <w:p w:rsidR="009E0F15" w:rsidRDefault="009E0F15" w:rsidP="009E461D">
            <w:pPr>
              <w:jc w:val="center"/>
            </w:pPr>
          </w:p>
        </w:tc>
      </w:tr>
    </w:tbl>
    <w:p w:rsidR="0076647B" w:rsidRDefault="0076647B" w:rsidP="0076647B"/>
    <w:p w:rsidR="00531E7E" w:rsidRDefault="00531E7E" w:rsidP="0076647B"/>
    <w:p w:rsidR="009E0F15" w:rsidRPr="00E0274B" w:rsidRDefault="009E0F15" w:rsidP="0076647B">
      <w:pPr>
        <w:rPr>
          <w:u w:val="single"/>
        </w:rPr>
      </w:pPr>
    </w:p>
    <w:p w:rsidR="009E0F15" w:rsidRDefault="009E0F15" w:rsidP="009E0F15">
      <w:pPr>
        <w:pStyle w:val="Heading4"/>
      </w:pPr>
      <w:r>
        <w:t>Before the</w:t>
      </w:r>
    </w:p>
    <w:p w:rsidR="009E0F15" w:rsidRDefault="009E0F15" w:rsidP="009E0F15">
      <w:pPr>
        <w:jc w:val="center"/>
        <w:rPr>
          <w:b/>
          <w:sz w:val="24"/>
        </w:rPr>
      </w:pPr>
      <w:r>
        <w:rPr>
          <w:b/>
          <w:sz w:val="24"/>
        </w:rPr>
        <w:t>FEDERAL COMMUNICATIONS COMMISSION</w:t>
      </w:r>
    </w:p>
    <w:p w:rsidR="009E0F15" w:rsidRDefault="009E0F15" w:rsidP="009E0F15">
      <w:pPr>
        <w:jc w:val="center"/>
        <w:rPr>
          <w:b/>
          <w:sz w:val="20"/>
        </w:rPr>
      </w:pPr>
      <w:smartTag w:uri="urn:schemas-microsoft-com:office:smarttags" w:element="place">
        <w:smartTag w:uri="urn:schemas-microsoft-com:office:smarttags" w:element="City">
          <w:r>
            <w:rPr>
              <w:b/>
              <w:sz w:val="24"/>
            </w:rPr>
            <w:t>Washington</w:t>
          </w:r>
        </w:smartTag>
        <w:r>
          <w:rPr>
            <w:b/>
            <w:sz w:val="24"/>
          </w:rPr>
          <w:t xml:space="preserve">, </w:t>
        </w:r>
        <w:smartTag w:uri="urn:schemas-microsoft-com:office:smarttags" w:element="State">
          <w:r>
            <w:rPr>
              <w:b/>
              <w:sz w:val="24"/>
            </w:rPr>
            <w:t>D.C.</w:t>
          </w:r>
        </w:smartTag>
        <w:r>
          <w:rPr>
            <w:b/>
            <w:sz w:val="24"/>
          </w:rPr>
          <w:t xml:space="preserve"> </w:t>
        </w:r>
        <w:smartTag w:uri="urn:schemas-microsoft-com:office:smarttags" w:element="PostalCode">
          <w:r>
            <w:rPr>
              <w:b/>
              <w:sz w:val="24"/>
            </w:rPr>
            <w:t>20554</w:t>
          </w:r>
        </w:smartTag>
      </w:smartTag>
    </w:p>
    <w:p w:rsidR="009E0F15" w:rsidRDefault="009E0F15" w:rsidP="009E0F15">
      <w:pPr>
        <w:jc w:val="center"/>
        <w:rPr>
          <w:b/>
          <w:bCs/>
        </w:rPr>
      </w:pPr>
    </w:p>
    <w:p w:rsidR="009E0F15" w:rsidRDefault="009E0F15" w:rsidP="009E0F15">
      <w:pPr>
        <w:jc w:val="center"/>
        <w:rPr>
          <w:b/>
          <w:bCs/>
        </w:rPr>
      </w:pPr>
    </w:p>
    <w:p w:rsidR="009E0F15" w:rsidRDefault="009E0F15" w:rsidP="009E0F15">
      <w:pPr>
        <w:jc w:val="center"/>
        <w:rPr>
          <w:b/>
          <w:bCs/>
        </w:rPr>
      </w:pPr>
    </w:p>
    <w:tbl>
      <w:tblPr>
        <w:tblW w:w="9648" w:type="dxa"/>
        <w:tblInd w:w="214" w:type="dxa"/>
        <w:tblLayout w:type="fixed"/>
        <w:tblLook w:val="0000"/>
      </w:tblPr>
      <w:tblGrid>
        <w:gridCol w:w="4754"/>
        <w:gridCol w:w="450"/>
        <w:gridCol w:w="4444"/>
      </w:tblGrid>
      <w:tr w:rsidR="009E0F15" w:rsidTr="00D3216A">
        <w:trPr>
          <w:trHeight w:val="1890"/>
        </w:trPr>
        <w:tc>
          <w:tcPr>
            <w:tcW w:w="4754" w:type="dxa"/>
          </w:tcPr>
          <w:p w:rsidR="009E0F15" w:rsidRDefault="009E0F15" w:rsidP="00D3216A">
            <w:pPr>
              <w:ind w:right="-18"/>
              <w:rPr>
                <w:sz w:val="24"/>
                <w:szCs w:val="24"/>
              </w:rPr>
            </w:pPr>
            <w:r>
              <w:rPr>
                <w:sz w:val="24"/>
                <w:szCs w:val="24"/>
              </w:rPr>
              <w:t>In the Matter of</w:t>
            </w:r>
          </w:p>
          <w:p w:rsidR="009E0F15" w:rsidRDefault="009E0F15" w:rsidP="00D3216A">
            <w:pPr>
              <w:ind w:right="-18"/>
              <w:rPr>
                <w:sz w:val="24"/>
                <w:szCs w:val="24"/>
              </w:rPr>
            </w:pPr>
          </w:p>
          <w:p w:rsidR="009E0F15" w:rsidRPr="00C923F5" w:rsidRDefault="009E0F15" w:rsidP="00D3216A">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Expanding the Economic and Innovation</w:t>
            </w:r>
          </w:p>
          <w:p w:rsidR="009E0F15" w:rsidRPr="00C923F5" w:rsidRDefault="009E0F15" w:rsidP="00D3216A">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Opportunities of Spectrum Through Incentive</w:t>
            </w:r>
          </w:p>
          <w:p w:rsidR="009E0F15" w:rsidRPr="00C923F5" w:rsidRDefault="009E0F15" w:rsidP="00D3216A">
            <w:pPr>
              <w:autoSpaceDE w:val="0"/>
              <w:autoSpaceDN w:val="0"/>
              <w:adjustRightInd w:val="0"/>
              <w:rPr>
                <w:rFonts w:eastAsia="Calibri"/>
                <w:color w:val="010101"/>
                <w:sz w:val="24"/>
                <w:szCs w:val="24"/>
                <w:lang w:val="en-US"/>
              </w:rPr>
            </w:pPr>
            <w:r w:rsidRPr="00C923F5">
              <w:rPr>
                <w:rFonts w:eastAsia="TimesNewRoman"/>
                <w:color w:val="010101"/>
                <w:sz w:val="24"/>
                <w:szCs w:val="24"/>
                <w:lang w:val="en-US"/>
              </w:rPr>
              <w:t>Auctions</w:t>
            </w:r>
            <w:r w:rsidRPr="00C923F5">
              <w:rPr>
                <w:rFonts w:eastAsia="Calibri"/>
                <w:color w:val="010101"/>
                <w:sz w:val="24"/>
                <w:szCs w:val="24"/>
                <w:lang w:val="en-US"/>
              </w:rPr>
              <w:t xml:space="preserve"> </w:t>
            </w:r>
          </w:p>
          <w:p w:rsidR="009E0F15" w:rsidRDefault="009E0F15" w:rsidP="00D3216A">
            <w:pPr>
              <w:tabs>
                <w:tab w:val="left" w:pos="720"/>
              </w:tabs>
              <w:suppressAutoHyphens/>
              <w:rPr>
                <w:sz w:val="24"/>
                <w:szCs w:val="24"/>
              </w:rPr>
            </w:pPr>
          </w:p>
          <w:p w:rsidR="009E0F15" w:rsidRDefault="009E0F15" w:rsidP="00D3216A">
            <w:pPr>
              <w:tabs>
                <w:tab w:val="left" w:pos="720"/>
              </w:tabs>
              <w:suppressAutoHyphens/>
              <w:rPr>
                <w:sz w:val="24"/>
                <w:szCs w:val="24"/>
              </w:rPr>
            </w:pPr>
          </w:p>
        </w:tc>
        <w:tc>
          <w:tcPr>
            <w:tcW w:w="450" w:type="dxa"/>
          </w:tcPr>
          <w:p w:rsidR="009E0F15" w:rsidRDefault="009E0F15" w:rsidP="00D3216A">
            <w:pPr>
              <w:rPr>
                <w:b/>
                <w:sz w:val="24"/>
                <w:szCs w:val="24"/>
              </w:rPr>
            </w:pPr>
          </w:p>
        </w:tc>
        <w:tc>
          <w:tcPr>
            <w:tcW w:w="4444" w:type="dxa"/>
          </w:tcPr>
          <w:p w:rsidR="009E0F15" w:rsidRDefault="009E0F15" w:rsidP="00D3216A">
            <w:pPr>
              <w:rPr>
                <w:sz w:val="24"/>
                <w:szCs w:val="24"/>
              </w:rPr>
            </w:pPr>
          </w:p>
          <w:p w:rsidR="009E0F15" w:rsidRDefault="009E0F15" w:rsidP="00D3216A">
            <w:pPr>
              <w:rPr>
                <w:sz w:val="24"/>
                <w:szCs w:val="24"/>
              </w:rPr>
            </w:pPr>
            <w:r>
              <w:rPr>
                <w:sz w:val="24"/>
                <w:szCs w:val="24"/>
              </w:rPr>
              <w:t xml:space="preserve"> </w:t>
            </w:r>
          </w:p>
          <w:p w:rsidR="009E0F15" w:rsidRDefault="009E0F15" w:rsidP="00D3216A">
            <w:pPr>
              <w:tabs>
                <w:tab w:val="center" w:pos="4680"/>
              </w:tabs>
              <w:suppressAutoHyphens/>
              <w:rPr>
                <w:sz w:val="24"/>
                <w:szCs w:val="24"/>
              </w:rPr>
            </w:pPr>
          </w:p>
          <w:p w:rsidR="009E0F15" w:rsidRDefault="009E0F15" w:rsidP="00D3216A">
            <w:pPr>
              <w:rPr>
                <w:spacing w:val="-2"/>
                <w:sz w:val="24"/>
                <w:szCs w:val="24"/>
              </w:rPr>
            </w:pPr>
            <w:r w:rsidRPr="00C923F5">
              <w:rPr>
                <w:rFonts w:eastAsia="TimesNewRoman"/>
                <w:color w:val="010101"/>
                <w:sz w:val="24"/>
                <w:szCs w:val="24"/>
                <w:lang w:val="en-US"/>
              </w:rPr>
              <w:t>Docket No. 12-268</w:t>
            </w:r>
          </w:p>
          <w:p w:rsidR="009E0F15" w:rsidRDefault="009E0F15" w:rsidP="00D3216A">
            <w:pPr>
              <w:rPr>
                <w:spacing w:val="-2"/>
                <w:sz w:val="24"/>
                <w:szCs w:val="24"/>
              </w:rPr>
            </w:pPr>
          </w:p>
          <w:p w:rsidR="009E0F15" w:rsidRDefault="009E0F15" w:rsidP="00D3216A">
            <w:pPr>
              <w:rPr>
                <w:spacing w:val="-2"/>
                <w:sz w:val="24"/>
                <w:szCs w:val="24"/>
              </w:rPr>
            </w:pPr>
          </w:p>
          <w:p w:rsidR="009E0F15" w:rsidRDefault="009E0F15" w:rsidP="00D3216A">
            <w:pPr>
              <w:rPr>
                <w:spacing w:val="-2"/>
                <w:sz w:val="24"/>
                <w:szCs w:val="24"/>
              </w:rPr>
            </w:pPr>
          </w:p>
          <w:p w:rsidR="009E0F15" w:rsidRDefault="009E0F15" w:rsidP="00D3216A">
            <w:pPr>
              <w:rPr>
                <w:spacing w:val="-2"/>
                <w:sz w:val="24"/>
                <w:szCs w:val="24"/>
              </w:rPr>
            </w:pPr>
          </w:p>
        </w:tc>
      </w:tr>
    </w:tbl>
    <w:p w:rsidR="009E0F15" w:rsidRDefault="009E0F15" w:rsidP="009E0F15">
      <w:pPr>
        <w:sectPr w:rsidR="009E0F15" w:rsidSect="00D3216A">
          <w:pgSz w:w="12240" w:h="15840"/>
          <w:pgMar w:top="1440" w:right="1080" w:bottom="1440" w:left="1080" w:header="720" w:footer="720" w:gutter="0"/>
          <w:cols w:space="720"/>
          <w:docGrid w:linePitch="360"/>
        </w:sectPr>
      </w:pPr>
    </w:p>
    <w:p w:rsidR="009E0F15" w:rsidRDefault="009E0F15" w:rsidP="009E0F15">
      <w:pPr>
        <w:autoSpaceDE w:val="0"/>
        <w:autoSpaceDN w:val="0"/>
        <w:adjustRightInd w:val="0"/>
        <w:rPr>
          <w:rFonts w:ascii="TimesNewRoman,Bold" w:eastAsia="Calibri" w:hAnsi="TimesNewRoman,Bold" w:cs="TimesNewRoman,Bold"/>
          <w:b/>
          <w:bCs/>
          <w:color w:val="010101"/>
          <w:szCs w:val="22"/>
          <w:lang w:val="en-US"/>
        </w:rPr>
      </w:pPr>
    </w:p>
    <w:p w:rsidR="009E0F15" w:rsidRDefault="009E0F15" w:rsidP="009E0F15">
      <w:pPr>
        <w:jc w:val="center"/>
        <w:rPr>
          <w:b/>
          <w:sz w:val="24"/>
          <w:szCs w:val="24"/>
          <w:u w:val="single"/>
        </w:rPr>
      </w:pPr>
    </w:p>
    <w:p w:rsidR="009E0F15" w:rsidRDefault="009E0F15" w:rsidP="009E0F15">
      <w:pPr>
        <w:jc w:val="center"/>
        <w:rPr>
          <w:b/>
          <w:sz w:val="24"/>
          <w:szCs w:val="24"/>
          <w:u w:val="single"/>
        </w:rPr>
      </w:pPr>
    </w:p>
    <w:p w:rsidR="009E0F15" w:rsidRPr="002B5102" w:rsidRDefault="00CC4A26" w:rsidP="009E0F15">
      <w:pPr>
        <w:jc w:val="center"/>
        <w:rPr>
          <w:b/>
          <w:sz w:val="24"/>
          <w:szCs w:val="24"/>
          <w:u w:val="single"/>
        </w:rPr>
      </w:pPr>
      <w:r>
        <w:rPr>
          <w:b/>
          <w:sz w:val="24"/>
          <w:szCs w:val="24"/>
          <w:u w:val="single"/>
        </w:rPr>
        <w:t xml:space="preserve">REPLY </w:t>
      </w:r>
      <w:r w:rsidR="009E0F15" w:rsidRPr="002B5102">
        <w:rPr>
          <w:b/>
          <w:sz w:val="24"/>
          <w:szCs w:val="24"/>
          <w:u w:val="single"/>
        </w:rPr>
        <w:t>COMMENTS OF</w:t>
      </w:r>
      <w:r w:rsidR="009E0F15">
        <w:rPr>
          <w:b/>
          <w:sz w:val="24"/>
          <w:szCs w:val="24"/>
          <w:u w:val="single"/>
        </w:rPr>
        <w:t xml:space="preserve"> 802.11</w:t>
      </w:r>
    </w:p>
    <w:p w:rsidR="009E0F15" w:rsidRPr="002B5102" w:rsidRDefault="009E0F15" w:rsidP="009E0F15">
      <w:pPr>
        <w:jc w:val="center"/>
        <w:rPr>
          <w:b/>
          <w:sz w:val="24"/>
          <w:szCs w:val="24"/>
        </w:rPr>
      </w:pP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jc w:val="center"/>
        <w:rPr>
          <w:b/>
          <w:sz w:val="24"/>
          <w:szCs w:val="24"/>
          <w:u w:val="single"/>
        </w:rPr>
      </w:pPr>
      <w:r>
        <w:rPr>
          <w:b/>
          <w:sz w:val="24"/>
          <w:szCs w:val="24"/>
          <w:u w:val="single"/>
        </w:rPr>
        <w:t>INTRODUCTION</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t>802.11 focus its</w:t>
      </w:r>
      <w:r w:rsidR="00D3216A">
        <w:rPr>
          <w:sz w:val="24"/>
          <w:szCs w:val="24"/>
        </w:rPr>
        <w:t xml:space="preserve"> reply</w:t>
      </w:r>
      <w:r>
        <w:rPr>
          <w:sz w:val="24"/>
          <w:szCs w:val="24"/>
        </w:rPr>
        <w:t xml:space="preserve"> comments in this document to unlicensed white space channels. We support the Commission’s goals for unlicensed use of the unused TV White Spaces spectrum. , We firmly believe that the additional bandwidth and propagation characteristics of TV band White Spaces spectrum will significantly augment WLAN user experience by reducing outage, improving coverage and providing opportunities for new applications that are not well served using the 5GHz spectrum or the congested 2.4 GHz spectrum. </w:t>
      </w:r>
    </w:p>
    <w:p w:rsidR="009E0F15" w:rsidRDefault="009E0F15" w:rsidP="009E0F15">
      <w:pPr>
        <w:autoSpaceDE w:val="0"/>
        <w:autoSpaceDN w:val="0"/>
        <w:adjustRightInd w:val="0"/>
        <w:spacing w:line="480" w:lineRule="auto"/>
        <w:rPr>
          <w:sz w:val="24"/>
          <w:szCs w:val="24"/>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r>
    </w:p>
    <w:p w:rsidR="005A5067" w:rsidRDefault="005A5067" w:rsidP="005A5067">
      <w:pPr>
        <w:autoSpaceDE w:val="0"/>
        <w:autoSpaceDN w:val="0"/>
        <w:spacing w:line="480" w:lineRule="auto"/>
        <w:ind w:firstLine="720"/>
        <w:rPr>
          <w:sz w:val="24"/>
          <w:szCs w:val="24"/>
          <w:u w:val="single"/>
        </w:rPr>
      </w:pPr>
      <w:r>
        <w:rPr>
          <w:b/>
          <w:bCs/>
          <w:u w:val="single"/>
        </w:rPr>
        <w:t xml:space="preserve">FOR A SUCCESSFUL TVWS MARKET, EVERY HOUSEHOLD SHOULD BE ABLE TO </w:t>
      </w:r>
      <w:r w:rsidR="00D11811">
        <w:rPr>
          <w:b/>
          <w:bCs/>
          <w:u w:val="single"/>
        </w:rPr>
        <w:t>ACCESS</w:t>
      </w:r>
      <w:r>
        <w:rPr>
          <w:b/>
          <w:bCs/>
          <w:u w:val="single"/>
        </w:rPr>
        <w:t xml:space="preserve"> THREE OR MORE</w:t>
      </w:r>
      <w:r w:rsidR="00D11811">
        <w:rPr>
          <w:b/>
          <w:bCs/>
          <w:u w:val="single"/>
        </w:rPr>
        <w:t xml:space="preserve"> UHF</w:t>
      </w:r>
      <w:r>
        <w:rPr>
          <w:b/>
          <w:bCs/>
          <w:u w:val="single"/>
        </w:rPr>
        <w:t xml:space="preserve"> TVWS CHANNELS WITH MORE THAN 99% CONFIDENCE</w:t>
      </w:r>
    </w:p>
    <w:p w:rsidR="00AB153D" w:rsidRDefault="00AB153D" w:rsidP="009E0F15">
      <w:pPr>
        <w:autoSpaceDE w:val="0"/>
        <w:autoSpaceDN w:val="0"/>
        <w:adjustRightInd w:val="0"/>
        <w:spacing w:line="480" w:lineRule="auto"/>
        <w:ind w:firstLine="720"/>
        <w:rPr>
          <w:sz w:val="24"/>
          <w:szCs w:val="24"/>
        </w:rPr>
      </w:pPr>
    </w:p>
    <w:p w:rsidR="005A5067" w:rsidRDefault="005A5067" w:rsidP="005A5067">
      <w:pPr>
        <w:autoSpaceDE w:val="0"/>
        <w:autoSpaceDN w:val="0"/>
        <w:adjustRightInd w:val="0"/>
        <w:spacing w:line="480" w:lineRule="auto"/>
        <w:ind w:firstLine="720"/>
        <w:rPr>
          <w:sz w:val="24"/>
          <w:szCs w:val="24"/>
        </w:rPr>
      </w:pPr>
      <w:r>
        <w:rPr>
          <w:sz w:val="24"/>
          <w:szCs w:val="24"/>
        </w:rPr>
        <w:t xml:space="preserve">Over 20 years of engineering and deployment experience with 802.11 in the 2.4 GHz band confirms that a minimum of three </w:t>
      </w:r>
      <w:r w:rsidR="00D11811">
        <w:rPr>
          <w:sz w:val="24"/>
          <w:szCs w:val="24"/>
        </w:rPr>
        <w:t xml:space="preserve">6 MHz </w:t>
      </w:r>
      <w:r>
        <w:rPr>
          <w:sz w:val="24"/>
          <w:szCs w:val="24"/>
        </w:rPr>
        <w:t xml:space="preserve">channels is required for successful WLAN deployments. </w:t>
      </w:r>
    </w:p>
    <w:p w:rsidR="005A5067" w:rsidRDefault="005A5067" w:rsidP="005A5067">
      <w:pPr>
        <w:autoSpaceDE w:val="0"/>
        <w:autoSpaceDN w:val="0"/>
        <w:spacing w:line="480" w:lineRule="auto"/>
        <w:ind w:firstLine="720"/>
        <w:rPr>
          <w:sz w:val="24"/>
          <w:szCs w:val="24"/>
        </w:rPr>
      </w:pPr>
      <w:r>
        <w:rPr>
          <w:sz w:val="24"/>
          <w:szCs w:val="24"/>
        </w:rPr>
        <w:t xml:space="preserve">The 18 MHz of TVWS spectrum need not be contiguous or in the same location throughout the nation. In addition, the 18 MHz should come in minimum contiguous segments of 6 </w:t>
      </w:r>
      <w:proofErr w:type="spellStart"/>
      <w:r>
        <w:rPr>
          <w:sz w:val="24"/>
          <w:szCs w:val="24"/>
        </w:rPr>
        <w:t>MHz.</w:t>
      </w:r>
      <w:proofErr w:type="spellEnd"/>
    </w:p>
    <w:p w:rsidR="005A5067" w:rsidRPr="00B26B24" w:rsidRDefault="005A5067" w:rsidP="005A5067">
      <w:pPr>
        <w:autoSpaceDE w:val="0"/>
        <w:autoSpaceDN w:val="0"/>
        <w:adjustRightInd w:val="0"/>
        <w:spacing w:line="480" w:lineRule="auto"/>
        <w:ind w:firstLine="720"/>
        <w:rPr>
          <w:sz w:val="24"/>
          <w:szCs w:val="24"/>
        </w:rPr>
      </w:pPr>
      <w:r w:rsidRPr="00B26B24">
        <w:rPr>
          <w:sz w:val="24"/>
          <w:szCs w:val="24"/>
        </w:rPr>
        <w:t>Ensuring a minimum number of quality channels (power levels on par with current TVWS regulations) on a nationwide basis is much more important than having many channels in many areas and no channels in two million households.</w:t>
      </w:r>
    </w:p>
    <w:p w:rsidR="005A5067" w:rsidRDefault="005A5067" w:rsidP="005A5067">
      <w:pPr>
        <w:autoSpaceDE w:val="0"/>
        <w:autoSpaceDN w:val="0"/>
        <w:adjustRightInd w:val="0"/>
        <w:spacing w:line="480" w:lineRule="auto"/>
        <w:ind w:firstLine="720"/>
        <w:rPr>
          <w:sz w:val="24"/>
          <w:szCs w:val="24"/>
        </w:rPr>
      </w:pPr>
      <w:r>
        <w:rPr>
          <w:sz w:val="24"/>
          <w:szCs w:val="24"/>
        </w:rPr>
        <w:t xml:space="preserve">IEEE 802.11 is in the process of finalizing 802.11af specification, a new WLAN standard designed to operate in TVWS 6MHz channels according to current FCC rules.  In order to guarantee </w:t>
      </w:r>
      <w:r>
        <w:rPr>
          <w:sz w:val="24"/>
          <w:szCs w:val="24"/>
        </w:rPr>
        <w:lastRenderedPageBreak/>
        <w:t xml:space="preserve">success in the market we believe that a minimum amount of spectrum should be available in the largest metropolitan areas. </w:t>
      </w:r>
    </w:p>
    <w:p w:rsidR="001819AF" w:rsidRDefault="001819AF" w:rsidP="001819AF">
      <w:pPr>
        <w:tabs>
          <w:tab w:val="left" w:pos="6799"/>
        </w:tabs>
        <w:autoSpaceDE w:val="0"/>
        <w:autoSpaceDN w:val="0"/>
        <w:adjustRightInd w:val="0"/>
        <w:spacing w:line="480" w:lineRule="auto"/>
        <w:ind w:firstLine="720"/>
        <w:rPr>
          <w:sz w:val="24"/>
          <w:szCs w:val="24"/>
        </w:rPr>
      </w:pPr>
      <w:r>
        <w:rPr>
          <w:sz w:val="24"/>
          <w:szCs w:val="24"/>
        </w:rPr>
        <w:t xml:space="preserve">The location of the </w:t>
      </w:r>
      <w:r w:rsidR="00B26B24">
        <w:rPr>
          <w:sz w:val="24"/>
          <w:szCs w:val="24"/>
        </w:rPr>
        <w:t xml:space="preserve">6 MHz channels </w:t>
      </w:r>
      <w:r>
        <w:rPr>
          <w:sz w:val="24"/>
          <w:szCs w:val="24"/>
        </w:rPr>
        <w:t>may come from of the following sources</w:t>
      </w:r>
      <w:r w:rsidR="00FC6631">
        <w:rPr>
          <w:sz w:val="24"/>
          <w:szCs w:val="24"/>
        </w:rPr>
        <w:t xml:space="preserve">: </w:t>
      </w:r>
      <w:r>
        <w:rPr>
          <w:sz w:val="24"/>
          <w:szCs w:val="24"/>
        </w:rPr>
        <w:t xml:space="preserve">remaining available TVWS channels, guard bands, Duplex Gap, channel 37 </w:t>
      </w:r>
      <w:r w:rsidR="00FC6631">
        <w:rPr>
          <w:sz w:val="24"/>
          <w:szCs w:val="24"/>
        </w:rPr>
        <w:t>and</w:t>
      </w:r>
      <w:r>
        <w:rPr>
          <w:sz w:val="24"/>
          <w:szCs w:val="24"/>
        </w:rPr>
        <w:t xml:space="preserve"> the two channels allocated to wireless microphones.</w:t>
      </w:r>
      <w:r w:rsidR="00AB153D">
        <w:rPr>
          <w:sz w:val="24"/>
          <w:szCs w:val="24"/>
        </w:rPr>
        <w:t xml:space="preserve"> </w:t>
      </w:r>
      <w:proofErr w:type="gramStart"/>
      <w:r w:rsidR="00D11811">
        <w:rPr>
          <w:sz w:val="24"/>
          <w:szCs w:val="24"/>
        </w:rPr>
        <w:t>t</w:t>
      </w:r>
      <w:proofErr w:type="gramEnd"/>
      <w:r>
        <w:rPr>
          <w:sz w:val="24"/>
          <w:szCs w:val="24"/>
        </w:rPr>
        <w:tab/>
      </w:r>
    </w:p>
    <w:p w:rsidR="00F41B98" w:rsidRDefault="00F41B98" w:rsidP="009E0F15">
      <w:pPr>
        <w:autoSpaceDE w:val="0"/>
        <w:autoSpaceDN w:val="0"/>
        <w:adjustRightInd w:val="0"/>
        <w:spacing w:line="480" w:lineRule="auto"/>
        <w:ind w:firstLine="720"/>
        <w:rPr>
          <w:sz w:val="24"/>
          <w:szCs w:val="24"/>
        </w:rPr>
      </w:pPr>
    </w:p>
    <w:p w:rsidR="009124AC" w:rsidRDefault="009124AC"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jc w:val="center"/>
        <w:rPr>
          <w:b/>
          <w:sz w:val="24"/>
          <w:szCs w:val="24"/>
          <w:u w:val="single"/>
        </w:rPr>
      </w:pPr>
      <w:r>
        <w:rPr>
          <w:b/>
          <w:sz w:val="24"/>
          <w:szCs w:val="24"/>
          <w:u w:val="single"/>
        </w:rPr>
        <w:t xml:space="preserve">802.11 RECOMMENDS THE </w:t>
      </w:r>
      <w:proofErr w:type="gramStart"/>
      <w:r>
        <w:rPr>
          <w:b/>
          <w:sz w:val="24"/>
          <w:szCs w:val="24"/>
          <w:u w:val="single"/>
        </w:rPr>
        <w:t>COMMISSION  SERIOUSLY</w:t>
      </w:r>
      <w:proofErr w:type="gramEnd"/>
      <w:r>
        <w:rPr>
          <w:b/>
          <w:sz w:val="24"/>
          <w:szCs w:val="24"/>
          <w:u w:val="single"/>
        </w:rPr>
        <w:t xml:space="preserve"> CONSIDER THE</w:t>
      </w:r>
      <w:r w:rsidR="001819AF">
        <w:rPr>
          <w:b/>
          <w:sz w:val="24"/>
          <w:szCs w:val="24"/>
          <w:u w:val="single"/>
        </w:rPr>
        <w:t xml:space="preserve"> </w:t>
      </w:r>
      <w:r>
        <w:rPr>
          <w:b/>
          <w:sz w:val="24"/>
          <w:szCs w:val="24"/>
          <w:u w:val="single"/>
        </w:rPr>
        <w:t>FOLLOWING CHANNEL ALLOCATION PARAMET</w:t>
      </w:r>
      <w:r w:rsidR="00D3216A">
        <w:rPr>
          <w:b/>
          <w:sz w:val="24"/>
          <w:szCs w:val="24"/>
          <w:u w:val="single"/>
        </w:rPr>
        <w:t>E</w:t>
      </w:r>
      <w:r>
        <w:rPr>
          <w:b/>
          <w:sz w:val="24"/>
          <w:szCs w:val="24"/>
          <w:u w:val="single"/>
        </w:rPr>
        <w:t>RS</w:t>
      </w:r>
    </w:p>
    <w:p w:rsidR="001819AF" w:rsidRDefault="001819AF" w:rsidP="009E0F15">
      <w:pPr>
        <w:autoSpaceDE w:val="0"/>
        <w:autoSpaceDN w:val="0"/>
        <w:adjustRightInd w:val="0"/>
        <w:spacing w:line="480" w:lineRule="auto"/>
        <w:ind w:firstLine="720"/>
        <w:rPr>
          <w:rFonts w:eastAsia="Calibri"/>
          <w:sz w:val="24"/>
          <w:szCs w:val="24"/>
          <w:lang w:val="en-US"/>
        </w:rPr>
      </w:pPr>
    </w:p>
    <w:p w:rsidR="009E0F15" w:rsidRDefault="009E0F15" w:rsidP="009E0F15">
      <w:pPr>
        <w:autoSpaceDE w:val="0"/>
        <w:autoSpaceDN w:val="0"/>
        <w:adjustRightInd w:val="0"/>
        <w:spacing w:line="480" w:lineRule="auto"/>
        <w:ind w:firstLine="720"/>
        <w:rPr>
          <w:rFonts w:eastAsia="Calibri"/>
          <w:sz w:val="24"/>
          <w:szCs w:val="24"/>
          <w:lang w:val="en-US"/>
        </w:rPr>
      </w:pPr>
      <w:r>
        <w:rPr>
          <w:rFonts w:eastAsia="Calibri"/>
          <w:sz w:val="24"/>
          <w:szCs w:val="24"/>
          <w:lang w:val="en-US"/>
        </w:rPr>
        <w:t xml:space="preserve">We note that several approaches for unlicensed operation are described by the </w:t>
      </w:r>
      <w:r w:rsidR="00E0427F">
        <w:rPr>
          <w:rFonts w:eastAsia="Calibri"/>
          <w:sz w:val="24"/>
          <w:szCs w:val="24"/>
          <w:lang w:val="en-US"/>
        </w:rPr>
        <w:t>commission</w:t>
      </w:r>
      <w:r>
        <w:rPr>
          <w:rFonts w:eastAsia="Calibri"/>
          <w:sz w:val="24"/>
          <w:szCs w:val="24"/>
          <w:lang w:val="en-US"/>
        </w:rPr>
        <w:t xml:space="preserve"> in which 802.11 devices may be able to operate in the guard bands, Duplex Gap, channel 37 and channels reserved for wireless microphones. We strongly support usage of the Duplex Gap, guard </w:t>
      </w:r>
      <w:proofErr w:type="gramStart"/>
      <w:r>
        <w:rPr>
          <w:rFonts w:eastAsia="Calibri"/>
          <w:sz w:val="24"/>
          <w:szCs w:val="24"/>
          <w:lang w:val="en-US"/>
        </w:rPr>
        <w:t>bands,</w:t>
      </w:r>
      <w:proofErr w:type="gramEnd"/>
      <w:r>
        <w:rPr>
          <w:rFonts w:eastAsia="Calibri"/>
          <w:sz w:val="24"/>
          <w:szCs w:val="24"/>
          <w:lang w:val="en-US"/>
        </w:rPr>
        <w:t xml:space="preserve"> channel 37 and the two channels currently reserved for wireless microphones but would like to emphasize the following:</w:t>
      </w:r>
    </w:p>
    <w:p w:rsidR="009E0F15" w:rsidRPr="00F41B98" w:rsidRDefault="00F40BC6" w:rsidP="00F41B98">
      <w:pPr>
        <w:numPr>
          <w:ilvl w:val="0"/>
          <w:numId w:val="25"/>
        </w:numPr>
        <w:autoSpaceDE w:val="0"/>
        <w:autoSpaceDN w:val="0"/>
        <w:adjustRightInd w:val="0"/>
        <w:spacing w:line="480" w:lineRule="auto"/>
        <w:rPr>
          <w:rFonts w:eastAsia="Calibri"/>
          <w:sz w:val="24"/>
          <w:szCs w:val="24"/>
          <w:lang w:val="en-US"/>
        </w:rPr>
      </w:pPr>
      <w:r w:rsidRPr="00F41B98">
        <w:rPr>
          <w:rFonts w:eastAsia="Calibri"/>
          <w:sz w:val="24"/>
          <w:szCs w:val="24"/>
          <w:lang w:val="en-US"/>
        </w:rPr>
        <w:t xml:space="preserve">We note that the industry, in </w:t>
      </w:r>
      <w:r w:rsidR="00D3216A">
        <w:rPr>
          <w:rFonts w:eastAsia="Calibri"/>
          <w:sz w:val="24"/>
          <w:szCs w:val="24"/>
          <w:lang w:val="en-US"/>
        </w:rPr>
        <w:t xml:space="preserve">filed </w:t>
      </w:r>
      <w:r w:rsidRPr="00F41B98">
        <w:rPr>
          <w:rFonts w:eastAsia="Calibri"/>
          <w:sz w:val="24"/>
          <w:szCs w:val="24"/>
          <w:lang w:val="en-US"/>
        </w:rPr>
        <w:t xml:space="preserve">comment 7022111151 by AT&amp;T, Intel, NAB, Qualcomm, T-mobile and Verizon Wireless, has coalesced around a proposal ‘down from TV 51’.  </w:t>
      </w:r>
      <w:r w:rsidR="00E16456" w:rsidRPr="00F41B98">
        <w:rPr>
          <w:rFonts w:eastAsia="Calibri"/>
          <w:sz w:val="24"/>
          <w:szCs w:val="24"/>
          <w:lang w:val="en-US"/>
        </w:rPr>
        <w:t xml:space="preserve">In light of this proposal we would like to emphasize the importance of ensuring that the </w:t>
      </w:r>
      <w:r w:rsidR="004E17FC" w:rsidRPr="00F41B98">
        <w:rPr>
          <w:rFonts w:eastAsia="Calibri"/>
          <w:sz w:val="24"/>
          <w:szCs w:val="24"/>
          <w:lang w:val="en-US"/>
        </w:rPr>
        <w:t xml:space="preserve">entire </w:t>
      </w:r>
      <w:r w:rsidR="00E16456" w:rsidRPr="00F41B98">
        <w:rPr>
          <w:rFonts w:eastAsia="Calibri"/>
          <w:sz w:val="24"/>
          <w:szCs w:val="24"/>
          <w:lang w:val="en-US"/>
        </w:rPr>
        <w:t xml:space="preserve">spectrum under channel 51 will continue to be utilized </w:t>
      </w:r>
      <w:r w:rsidR="004E17FC" w:rsidRPr="00F41B98">
        <w:rPr>
          <w:rFonts w:eastAsia="Calibri"/>
          <w:sz w:val="24"/>
          <w:szCs w:val="24"/>
          <w:lang w:val="en-US"/>
        </w:rPr>
        <w:t>by</w:t>
      </w:r>
      <w:r w:rsidR="00E16456" w:rsidRPr="00F41B98">
        <w:rPr>
          <w:rFonts w:eastAsia="Calibri"/>
          <w:sz w:val="24"/>
          <w:szCs w:val="24"/>
          <w:lang w:val="en-US"/>
        </w:rPr>
        <w:t xml:space="preserve"> licensed, unlicensed, wir</w:t>
      </w:r>
      <w:r w:rsidR="00C901BE">
        <w:rPr>
          <w:rFonts w:eastAsia="Calibri"/>
          <w:sz w:val="24"/>
          <w:szCs w:val="24"/>
          <w:lang w:val="en-US"/>
        </w:rPr>
        <w:t>e</w:t>
      </w:r>
      <w:r w:rsidR="00E16456" w:rsidRPr="00F41B98">
        <w:rPr>
          <w:rFonts w:eastAsia="Calibri"/>
          <w:sz w:val="24"/>
          <w:szCs w:val="24"/>
          <w:lang w:val="en-US"/>
        </w:rPr>
        <w:t xml:space="preserve">less microphones or TV operation. </w:t>
      </w:r>
      <w:r w:rsidRPr="00F41B98">
        <w:rPr>
          <w:rFonts w:eastAsia="Calibri"/>
          <w:sz w:val="24"/>
          <w:szCs w:val="24"/>
          <w:lang w:val="en-US"/>
        </w:rPr>
        <w:t xml:space="preserve"> </w:t>
      </w:r>
      <w:r w:rsidR="00D3216A">
        <w:rPr>
          <w:rFonts w:eastAsia="Calibri"/>
          <w:sz w:val="24"/>
          <w:szCs w:val="24"/>
          <w:lang w:val="en-US"/>
        </w:rPr>
        <w:t xml:space="preserve">IEEE </w:t>
      </w:r>
      <w:r w:rsidR="00E16456" w:rsidRPr="00F41B98">
        <w:rPr>
          <w:rFonts w:eastAsia="Calibri"/>
          <w:sz w:val="24"/>
          <w:szCs w:val="24"/>
          <w:lang w:val="en-US"/>
        </w:rPr>
        <w:t>802.11</w:t>
      </w:r>
      <w:r w:rsidR="008478D2" w:rsidRPr="00F41B98">
        <w:rPr>
          <w:rFonts w:eastAsia="Calibri"/>
          <w:sz w:val="24"/>
          <w:szCs w:val="24"/>
          <w:lang w:val="en-US"/>
        </w:rPr>
        <w:t>af was</w:t>
      </w:r>
      <w:r w:rsidR="00E16456" w:rsidRPr="00F41B98">
        <w:rPr>
          <w:rFonts w:eastAsia="Calibri"/>
          <w:sz w:val="24"/>
          <w:szCs w:val="24"/>
          <w:lang w:val="en-US"/>
        </w:rPr>
        <w:t xml:space="preserve"> </w:t>
      </w:r>
      <w:r w:rsidR="008478D2" w:rsidRPr="00F41B98">
        <w:rPr>
          <w:rFonts w:eastAsia="Calibri"/>
          <w:sz w:val="24"/>
          <w:szCs w:val="24"/>
          <w:lang w:val="en-US"/>
        </w:rPr>
        <w:t>developed to minimize</w:t>
      </w:r>
      <w:r w:rsidR="00E16456" w:rsidRPr="00F41B98">
        <w:rPr>
          <w:rFonts w:eastAsia="Calibri"/>
          <w:sz w:val="24"/>
          <w:szCs w:val="24"/>
          <w:lang w:val="en-US"/>
        </w:rPr>
        <w:t xml:space="preserve"> interference to </w:t>
      </w:r>
      <w:r w:rsidR="00F53873">
        <w:rPr>
          <w:rFonts w:eastAsia="Calibri"/>
          <w:sz w:val="24"/>
          <w:szCs w:val="24"/>
          <w:lang w:val="en-US"/>
        </w:rPr>
        <w:t>D</w:t>
      </w:r>
      <w:r w:rsidR="00E16456" w:rsidRPr="00F41B98">
        <w:rPr>
          <w:rFonts w:eastAsia="Calibri"/>
          <w:sz w:val="24"/>
          <w:szCs w:val="24"/>
          <w:lang w:val="en-US"/>
        </w:rPr>
        <w:t xml:space="preserve">TV </w:t>
      </w:r>
      <w:r w:rsidR="00F53873">
        <w:rPr>
          <w:rFonts w:eastAsia="Calibri"/>
          <w:sz w:val="24"/>
          <w:szCs w:val="24"/>
          <w:lang w:val="en-US"/>
        </w:rPr>
        <w:t>reception</w:t>
      </w:r>
      <w:r w:rsidR="00F53873" w:rsidRPr="00F41B98">
        <w:rPr>
          <w:rFonts w:eastAsia="Calibri"/>
          <w:sz w:val="24"/>
          <w:szCs w:val="24"/>
          <w:lang w:val="en-US"/>
        </w:rPr>
        <w:t xml:space="preserve"> </w:t>
      </w:r>
      <w:r w:rsidR="008478D2" w:rsidRPr="00F41B98">
        <w:rPr>
          <w:rFonts w:eastAsia="Calibri"/>
          <w:sz w:val="24"/>
          <w:szCs w:val="24"/>
          <w:lang w:val="en-US"/>
        </w:rPr>
        <w:t xml:space="preserve">in </w:t>
      </w:r>
      <w:r w:rsidR="00E16456" w:rsidRPr="00F41B98">
        <w:rPr>
          <w:rFonts w:eastAsia="Calibri"/>
          <w:sz w:val="24"/>
          <w:szCs w:val="24"/>
          <w:lang w:val="en-US"/>
        </w:rPr>
        <w:t>complian</w:t>
      </w:r>
      <w:r w:rsidR="008478D2" w:rsidRPr="00F41B98">
        <w:rPr>
          <w:rFonts w:eastAsia="Calibri"/>
          <w:sz w:val="24"/>
          <w:szCs w:val="24"/>
          <w:lang w:val="en-US"/>
        </w:rPr>
        <w:t>ce</w:t>
      </w:r>
      <w:r w:rsidR="00E16456" w:rsidRPr="00F41B98">
        <w:rPr>
          <w:rFonts w:eastAsia="Calibri"/>
          <w:sz w:val="24"/>
          <w:szCs w:val="24"/>
          <w:lang w:val="en-US"/>
        </w:rPr>
        <w:t xml:space="preserve"> with FCC rules and </w:t>
      </w:r>
      <w:r w:rsidR="008478D2" w:rsidRPr="00F41B98">
        <w:rPr>
          <w:rFonts w:eastAsia="Calibri"/>
          <w:sz w:val="24"/>
          <w:szCs w:val="24"/>
          <w:lang w:val="en-US"/>
        </w:rPr>
        <w:t xml:space="preserve">a similar engineering </w:t>
      </w:r>
      <w:r w:rsidR="00F53873">
        <w:rPr>
          <w:rFonts w:eastAsia="Calibri"/>
          <w:sz w:val="24"/>
          <w:szCs w:val="24"/>
          <w:lang w:val="en-US"/>
        </w:rPr>
        <w:t>effort</w:t>
      </w:r>
      <w:r w:rsidR="00F53873" w:rsidRPr="00F41B98">
        <w:rPr>
          <w:rFonts w:eastAsia="Calibri"/>
          <w:sz w:val="24"/>
          <w:szCs w:val="24"/>
          <w:lang w:val="en-US"/>
        </w:rPr>
        <w:t xml:space="preserve"> </w:t>
      </w:r>
      <w:r w:rsidR="008478D2" w:rsidRPr="00F41B98">
        <w:rPr>
          <w:rFonts w:eastAsia="Calibri"/>
          <w:sz w:val="24"/>
          <w:szCs w:val="24"/>
          <w:lang w:val="en-US"/>
        </w:rPr>
        <w:t xml:space="preserve">can </w:t>
      </w:r>
      <w:r w:rsidR="00F53873">
        <w:rPr>
          <w:rFonts w:eastAsia="Calibri"/>
          <w:sz w:val="24"/>
          <w:szCs w:val="24"/>
          <w:lang w:val="en-US"/>
        </w:rPr>
        <w:t>address</w:t>
      </w:r>
      <w:r w:rsidR="00E16456" w:rsidRPr="00F41B98">
        <w:rPr>
          <w:rFonts w:eastAsia="Calibri"/>
          <w:sz w:val="24"/>
          <w:szCs w:val="24"/>
          <w:lang w:val="en-US"/>
        </w:rPr>
        <w:t xml:space="preserve"> </w:t>
      </w:r>
      <w:r w:rsidR="008478D2" w:rsidRPr="00F41B98">
        <w:rPr>
          <w:rFonts w:eastAsia="Calibri"/>
          <w:sz w:val="24"/>
          <w:szCs w:val="24"/>
          <w:lang w:val="en-US"/>
        </w:rPr>
        <w:t xml:space="preserve">unlicensed device </w:t>
      </w:r>
      <w:r w:rsidR="00E16456" w:rsidRPr="00F41B98">
        <w:rPr>
          <w:rFonts w:eastAsia="Calibri"/>
          <w:sz w:val="24"/>
          <w:szCs w:val="24"/>
          <w:lang w:val="en-US"/>
        </w:rPr>
        <w:t>operation in the Duplex Gap and guard band without impacting licensed device</w:t>
      </w:r>
      <w:r w:rsidR="00C901BE">
        <w:rPr>
          <w:rFonts w:eastAsia="Calibri"/>
          <w:sz w:val="24"/>
          <w:szCs w:val="24"/>
          <w:lang w:val="en-US"/>
        </w:rPr>
        <w:t xml:space="preserve"> operation</w:t>
      </w:r>
      <w:r w:rsidR="00E16456" w:rsidRPr="00F41B98">
        <w:rPr>
          <w:rFonts w:eastAsia="Calibri"/>
          <w:sz w:val="24"/>
          <w:szCs w:val="24"/>
          <w:lang w:val="en-US"/>
        </w:rPr>
        <w:t xml:space="preserve">. </w:t>
      </w:r>
      <w:r w:rsidR="009E0F15" w:rsidRPr="00F41B98">
        <w:rPr>
          <w:rFonts w:eastAsia="Calibri"/>
          <w:sz w:val="24"/>
          <w:szCs w:val="24"/>
          <w:lang w:val="en-US"/>
        </w:rPr>
        <w:t xml:space="preserve">  </w:t>
      </w:r>
    </w:p>
    <w:p w:rsidR="009E0F15" w:rsidRDefault="00EF25EB"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lastRenderedPageBreak/>
        <w:t xml:space="preserve">Sharing of </w:t>
      </w:r>
      <w:r w:rsidR="00E16456">
        <w:rPr>
          <w:rFonts w:eastAsia="Calibri"/>
          <w:sz w:val="24"/>
          <w:szCs w:val="24"/>
          <w:lang w:val="en-US"/>
        </w:rPr>
        <w:t xml:space="preserve">channel 37 and the wireless microphone channels </w:t>
      </w:r>
      <w:r>
        <w:rPr>
          <w:rFonts w:eastAsia="Calibri"/>
          <w:sz w:val="24"/>
          <w:szCs w:val="24"/>
          <w:lang w:val="en-US"/>
        </w:rPr>
        <w:t>with</w:t>
      </w:r>
      <w:r w:rsidR="00E16456">
        <w:rPr>
          <w:rFonts w:eastAsia="Calibri"/>
          <w:sz w:val="24"/>
          <w:szCs w:val="24"/>
          <w:lang w:val="en-US"/>
        </w:rPr>
        <w:t xml:space="preserve"> unlicensed </w:t>
      </w:r>
      <w:r>
        <w:rPr>
          <w:rFonts w:eastAsia="Calibri"/>
          <w:sz w:val="24"/>
          <w:szCs w:val="24"/>
          <w:lang w:val="en-US"/>
        </w:rPr>
        <w:t>devices</w:t>
      </w:r>
      <w:r w:rsidR="00E16456">
        <w:rPr>
          <w:rFonts w:eastAsia="Calibri"/>
          <w:sz w:val="24"/>
          <w:szCs w:val="24"/>
          <w:lang w:val="en-US"/>
        </w:rPr>
        <w:t xml:space="preserve"> would be of enormous value. </w:t>
      </w:r>
      <w:r w:rsidR="009E0F15">
        <w:rPr>
          <w:rFonts w:eastAsia="Calibri"/>
          <w:sz w:val="24"/>
          <w:szCs w:val="24"/>
          <w:lang w:val="en-US"/>
        </w:rPr>
        <w:t xml:space="preserve"> Having a fixed known channel location for unlicensed devices can considerably reduce initial scanning time and power consumption.</w:t>
      </w:r>
    </w:p>
    <w:p w:rsidR="009E0F15" w:rsidRDefault="00C901BE"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Cellular uplink</w:t>
      </w:r>
      <w:r w:rsidR="001C7DCE">
        <w:rPr>
          <w:rFonts w:eastAsia="Calibri"/>
          <w:sz w:val="24"/>
          <w:szCs w:val="24"/>
          <w:lang w:val="en-US"/>
        </w:rPr>
        <w:t xml:space="preserve"> OOBE</w:t>
      </w:r>
      <w:r>
        <w:rPr>
          <w:rFonts w:eastAsia="Calibri"/>
          <w:sz w:val="24"/>
          <w:szCs w:val="24"/>
          <w:lang w:val="en-US"/>
        </w:rPr>
        <w:t xml:space="preserve"> may cause interference to nearby TV receivers and other authorized users</w:t>
      </w:r>
      <w:r w:rsidR="001C7DCE">
        <w:rPr>
          <w:rFonts w:eastAsia="Calibri"/>
          <w:sz w:val="24"/>
          <w:szCs w:val="24"/>
          <w:lang w:val="en-US"/>
        </w:rPr>
        <w:t>, t</w:t>
      </w:r>
      <w:r w:rsidR="00EC246B">
        <w:rPr>
          <w:rFonts w:eastAsia="Calibri"/>
          <w:sz w:val="24"/>
          <w:szCs w:val="24"/>
          <w:lang w:val="en-US"/>
        </w:rPr>
        <w:t>herefore,</w:t>
      </w:r>
      <w:r w:rsidR="00F41B98">
        <w:rPr>
          <w:rFonts w:eastAsia="Calibri"/>
          <w:sz w:val="24"/>
          <w:szCs w:val="24"/>
          <w:lang w:val="en-US"/>
        </w:rPr>
        <w:t xml:space="preserve"> </w:t>
      </w:r>
      <w:r w:rsidR="001C7DCE">
        <w:rPr>
          <w:rFonts w:eastAsia="Calibri"/>
          <w:sz w:val="24"/>
          <w:szCs w:val="24"/>
          <w:lang w:val="en-US"/>
        </w:rPr>
        <w:t xml:space="preserve">newly </w:t>
      </w:r>
      <w:r w:rsidR="00F41B98">
        <w:rPr>
          <w:rFonts w:eastAsia="Calibri"/>
          <w:sz w:val="24"/>
          <w:szCs w:val="24"/>
          <w:lang w:val="en-US"/>
        </w:rPr>
        <w:t xml:space="preserve">licensed device out of </w:t>
      </w:r>
      <w:r w:rsidR="00EC246B">
        <w:rPr>
          <w:rFonts w:eastAsia="Calibri"/>
          <w:sz w:val="24"/>
          <w:szCs w:val="24"/>
          <w:lang w:val="en-US"/>
        </w:rPr>
        <w:t xml:space="preserve">band </w:t>
      </w:r>
      <w:r w:rsidR="00F41B98">
        <w:rPr>
          <w:rFonts w:eastAsia="Calibri"/>
          <w:sz w:val="24"/>
          <w:szCs w:val="24"/>
          <w:lang w:val="en-US"/>
        </w:rPr>
        <w:t xml:space="preserve">emissions </w:t>
      </w:r>
      <w:r w:rsidR="00EC246B">
        <w:rPr>
          <w:rFonts w:eastAsia="Calibri"/>
          <w:sz w:val="24"/>
          <w:szCs w:val="24"/>
          <w:lang w:val="en-US"/>
        </w:rPr>
        <w:t>need to be specified</w:t>
      </w:r>
      <w:r w:rsidR="001C7DCE">
        <w:rPr>
          <w:rFonts w:eastAsia="Calibri"/>
          <w:sz w:val="24"/>
          <w:szCs w:val="24"/>
          <w:lang w:val="en-US"/>
        </w:rPr>
        <w:t xml:space="preserve"> considering all the authorized uses</w:t>
      </w:r>
      <w:r w:rsidR="00EC246B">
        <w:rPr>
          <w:rFonts w:eastAsia="Calibri"/>
          <w:sz w:val="24"/>
          <w:szCs w:val="24"/>
          <w:lang w:val="en-US"/>
        </w:rPr>
        <w:t xml:space="preserve">. </w:t>
      </w:r>
    </w:p>
    <w:p w:rsidR="00EC246B" w:rsidRDefault="00EC246B" w:rsidP="00EC246B">
      <w:pPr>
        <w:numPr>
          <w:ilvl w:val="0"/>
          <w:numId w:val="25"/>
        </w:numPr>
        <w:autoSpaceDE w:val="0"/>
        <w:autoSpaceDN w:val="0"/>
        <w:spacing w:line="480" w:lineRule="auto"/>
        <w:rPr>
          <w:sz w:val="24"/>
          <w:szCs w:val="24"/>
        </w:rPr>
      </w:pPr>
      <w:r>
        <w:rPr>
          <w:sz w:val="24"/>
          <w:szCs w:val="24"/>
        </w:rPr>
        <w:t xml:space="preserve">Current TVWS regulations </w:t>
      </w:r>
      <w:r w:rsidR="00F41B98">
        <w:rPr>
          <w:sz w:val="24"/>
          <w:szCs w:val="24"/>
        </w:rPr>
        <w:t xml:space="preserve">for operation </w:t>
      </w:r>
      <w:r>
        <w:rPr>
          <w:sz w:val="24"/>
          <w:szCs w:val="24"/>
        </w:rPr>
        <w:t xml:space="preserve">in adjacent channels </w:t>
      </w:r>
      <w:r w:rsidR="00F41B98">
        <w:rPr>
          <w:sz w:val="24"/>
          <w:szCs w:val="24"/>
        </w:rPr>
        <w:t>are</w:t>
      </w:r>
      <w:r>
        <w:rPr>
          <w:sz w:val="24"/>
          <w:szCs w:val="24"/>
        </w:rPr>
        <w:t xml:space="preserve"> partially based on incumbent receivers’ performance. Some of th</w:t>
      </w:r>
      <w:r w:rsidR="00F41B98">
        <w:rPr>
          <w:sz w:val="24"/>
          <w:szCs w:val="24"/>
        </w:rPr>
        <w:t>o</w:t>
      </w:r>
      <w:r>
        <w:rPr>
          <w:sz w:val="24"/>
          <w:szCs w:val="24"/>
        </w:rPr>
        <w:t xml:space="preserve">se receivers were built without proper consideration for adjacent channel rejection requirements. Adequate adjacent channel rejection of all new devices should be required in this band. </w:t>
      </w:r>
    </w:p>
    <w:p w:rsidR="009E0F15" w:rsidRDefault="009E0F15" w:rsidP="0018483E">
      <w:pPr>
        <w:autoSpaceDE w:val="0"/>
        <w:autoSpaceDN w:val="0"/>
        <w:adjustRightInd w:val="0"/>
        <w:spacing w:line="480" w:lineRule="auto"/>
        <w:ind w:left="1080"/>
        <w:rPr>
          <w:rFonts w:eastAsia="Calibri"/>
          <w:sz w:val="24"/>
          <w:szCs w:val="24"/>
          <w:lang w:val="en-US"/>
        </w:rPr>
      </w:pPr>
    </w:p>
    <w:p w:rsidR="009E0F15" w:rsidRDefault="009E0F15" w:rsidP="009E0F15">
      <w:pPr>
        <w:pStyle w:val="FCCHeading"/>
      </w:pPr>
      <w:r>
        <w:t>CONCLUSION</w:t>
      </w:r>
    </w:p>
    <w:p w:rsidR="009E0F15" w:rsidRDefault="009E0F15" w:rsidP="009E0F15">
      <w:pPr>
        <w:pStyle w:val="FCCHeading"/>
      </w:pPr>
    </w:p>
    <w:p w:rsidR="009E0F15" w:rsidRDefault="009E0F15" w:rsidP="009E0F15">
      <w:pPr>
        <w:pStyle w:val="Numbered15Space"/>
        <w:ind w:firstLine="720"/>
      </w:pPr>
      <w:r>
        <w:t>We would like to thank the FCC for promoting usage of new frequencies under 1GHz for unlicensed usage.  .</w:t>
      </w:r>
    </w:p>
    <w:p w:rsidR="009E0F15" w:rsidRDefault="009E0F15" w:rsidP="009E0F15">
      <w:pPr>
        <w:pStyle w:val="Numbered15Space"/>
        <w:ind w:firstLine="720"/>
      </w:pPr>
      <w:r>
        <w:t>We can’t stress enough the importance of having at least three quality channels, without excessive interference present, available on a nationwide basis for the success of unlicensed TVWS deployments. Ensuring a minimum number of channels on a nationwide area is much more important than having many channels in some areas and no channels in some other urban areas.</w:t>
      </w:r>
    </w:p>
    <w:p w:rsidR="000A4344" w:rsidRDefault="000A4344" w:rsidP="000A4344">
      <w:pPr>
        <w:pStyle w:val="Numbered15Space"/>
        <w:ind w:firstLine="720"/>
      </w:pPr>
      <w:r>
        <w:t>We welcome this opportunity and expect that when the uncertainty of spectrum availability on a nationwide basis is removed, white space products will be widely deployed</w:t>
      </w:r>
      <w:r w:rsidR="00D8565F">
        <w:t>.</w:t>
      </w:r>
    </w:p>
    <w:p w:rsidR="009E0F15" w:rsidRDefault="009E0F15" w:rsidP="009E0F15">
      <w:pPr>
        <w:pStyle w:val="Numbered15Space"/>
        <w:ind w:firstLine="720"/>
      </w:pPr>
      <w:r>
        <w:t xml:space="preserve"> </w:t>
      </w:r>
    </w:p>
    <w:p w:rsidR="009E0F15" w:rsidRDefault="009E0F15" w:rsidP="009E0F15">
      <w:pPr>
        <w:rPr>
          <w:sz w:val="24"/>
        </w:rPr>
      </w:pPr>
    </w:p>
    <w:p w:rsidR="009E0F15" w:rsidRDefault="009E0F15" w:rsidP="009E0F15">
      <w:pPr>
        <w:rPr>
          <w:sz w:val="24"/>
        </w:rPr>
      </w:pPr>
    </w:p>
    <w:p w:rsidR="009E0F15" w:rsidRDefault="009E0F15" w:rsidP="009E0F15">
      <w:pPr>
        <w:rPr>
          <w:sz w:val="24"/>
        </w:rPr>
      </w:pPr>
      <w:r>
        <w:rPr>
          <w:sz w:val="24"/>
        </w:rPr>
        <w:t>Respectfully submitted,</w:t>
      </w: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 w:rsidR="009E0F15" w:rsidRDefault="009E0F15"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p>
    <w:p w:rsidR="009E0F15" w:rsidRPr="00221426" w:rsidRDefault="009E0F15" w:rsidP="009E0F15">
      <w:pPr>
        <w:autoSpaceDE w:val="0"/>
        <w:autoSpaceDN w:val="0"/>
        <w:adjustRightInd w:val="0"/>
        <w:spacing w:line="480" w:lineRule="auto"/>
        <w:ind w:firstLine="720"/>
        <w:rPr>
          <w:sz w:val="24"/>
          <w:szCs w:val="24"/>
        </w:rPr>
      </w:pPr>
    </w:p>
    <w:p w:rsidR="00515370" w:rsidRDefault="00515370" w:rsidP="009E0F15">
      <w:pPr>
        <w:pStyle w:val="Heading1"/>
      </w:pPr>
    </w:p>
    <w:sectPr w:rsidR="00515370" w:rsidSect="00232125">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B24" w:rsidRDefault="00B26B24">
      <w:r>
        <w:separator/>
      </w:r>
    </w:p>
  </w:endnote>
  <w:endnote w:type="continuationSeparator" w:id="0">
    <w:p w:rsidR="00B26B24" w:rsidRDefault="00B26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24" w:rsidRDefault="00B26B24">
    <w:pPr>
      <w:pStyle w:val="Footer"/>
      <w:tabs>
        <w:tab w:val="clear" w:pos="6480"/>
        <w:tab w:val="center" w:pos="4680"/>
        <w:tab w:val="right" w:pos="9360"/>
      </w:tabs>
    </w:pPr>
    <w:fldSimple w:instr=" SUBJECT  \* MERGEFORMAT ">
      <w:r>
        <w:t>Submission</w:t>
      </w:r>
    </w:fldSimple>
    <w:r>
      <w:tab/>
      <w:t xml:space="preserve">page </w:t>
    </w:r>
    <w:fldSimple w:instr="page ">
      <w:r w:rsidR="009124AC">
        <w:rPr>
          <w:noProof/>
        </w:rPr>
        <w:t>2</w:t>
      </w:r>
    </w:fldSimple>
    <w:r>
      <w:tab/>
      <w:t>Ron Porat, Broadcom</w:t>
    </w:r>
  </w:p>
  <w:p w:rsidR="00B26B24" w:rsidRDefault="00B26B24">
    <w:pPr>
      <w:pStyle w:val="Footer"/>
      <w:tabs>
        <w:tab w:val="clear" w:pos="6480"/>
        <w:tab w:val="center" w:pos="4680"/>
        <w:tab w:val="right" w:pos="9360"/>
      </w:tabs>
    </w:pPr>
    <w:r>
      <w:tab/>
    </w:r>
    <w:r>
      <w:tab/>
      <w:t xml:space="preserve"> </w:t>
    </w:r>
  </w:p>
  <w:p w:rsidR="00B26B24" w:rsidRDefault="00B26B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B24" w:rsidRDefault="00B26B24">
      <w:r>
        <w:separator/>
      </w:r>
    </w:p>
  </w:footnote>
  <w:footnote w:type="continuationSeparator" w:id="0">
    <w:p w:rsidR="00B26B24" w:rsidRDefault="00B26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B24" w:rsidRDefault="00B26B24">
    <w:pPr>
      <w:pStyle w:val="Header"/>
      <w:tabs>
        <w:tab w:val="clear" w:pos="6480"/>
        <w:tab w:val="center" w:pos="4680"/>
        <w:tab w:val="right" w:pos="9360"/>
      </w:tabs>
    </w:pPr>
    <w:r>
      <w:t>February 2013</w:t>
    </w:r>
    <w:r>
      <w:tab/>
    </w:r>
    <w:r>
      <w:tab/>
    </w:r>
    <w:fldSimple w:instr=" TITLE  \* MERGEFORMAT ">
      <w:r>
        <w:t>doc.: IEEE 802.11-13/0156r</w:t>
      </w:r>
    </w:fldSimple>
    <w: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F3815CD"/>
    <w:multiLevelType w:val="hybridMultilevel"/>
    <w:tmpl w:val="F92A52B2"/>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E6F16"/>
    <w:multiLevelType w:val="hybridMultilevel"/>
    <w:tmpl w:val="E5F0E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897465"/>
    <w:multiLevelType w:val="hybridMultilevel"/>
    <w:tmpl w:val="29B0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2F73"/>
    <w:multiLevelType w:val="hybridMultilevel"/>
    <w:tmpl w:val="0FC42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52243"/>
    <w:multiLevelType w:val="multilevel"/>
    <w:tmpl w:val="43CE97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FF1A07"/>
    <w:multiLevelType w:val="hybridMultilevel"/>
    <w:tmpl w:val="7E1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717387"/>
    <w:multiLevelType w:val="hybridMultilevel"/>
    <w:tmpl w:val="6E1A4452"/>
    <w:lvl w:ilvl="0" w:tplc="A1244D3C">
      <w:start w:val="8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B2C02"/>
    <w:multiLevelType w:val="hybridMultilevel"/>
    <w:tmpl w:val="1384EEF8"/>
    <w:lvl w:ilvl="0" w:tplc="B7CA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AC4BC0"/>
    <w:multiLevelType w:val="hybridMultilevel"/>
    <w:tmpl w:val="8C8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1854BD"/>
    <w:multiLevelType w:val="hybridMultilevel"/>
    <w:tmpl w:val="4BAED1B6"/>
    <w:lvl w:ilvl="0" w:tplc="F39EA8F6">
      <w:start w:val="1"/>
      <w:numFmt w:val="bullet"/>
      <w:lvlText w:val="–"/>
      <w:lvlJc w:val="left"/>
      <w:pPr>
        <w:tabs>
          <w:tab w:val="num" w:pos="720"/>
        </w:tabs>
        <w:ind w:left="720" w:hanging="360"/>
      </w:pPr>
      <w:rPr>
        <w:rFonts w:ascii="Times New Roman" w:hAnsi="Times New Roman" w:cs="Times New Roman" w:hint="default"/>
      </w:rPr>
    </w:lvl>
    <w:lvl w:ilvl="1" w:tplc="55D8D49E">
      <w:start w:val="1"/>
      <w:numFmt w:val="bullet"/>
      <w:lvlText w:val="–"/>
      <w:lvlJc w:val="left"/>
      <w:pPr>
        <w:tabs>
          <w:tab w:val="num" w:pos="1440"/>
        </w:tabs>
        <w:ind w:left="1440" w:hanging="360"/>
      </w:pPr>
      <w:rPr>
        <w:rFonts w:ascii="Times New Roman" w:hAnsi="Times New Roman" w:cs="Times New Roman" w:hint="default"/>
      </w:rPr>
    </w:lvl>
    <w:lvl w:ilvl="2" w:tplc="4E1E5570">
      <w:start w:val="1"/>
      <w:numFmt w:val="bullet"/>
      <w:lvlText w:val="–"/>
      <w:lvlJc w:val="left"/>
      <w:pPr>
        <w:tabs>
          <w:tab w:val="num" w:pos="2160"/>
        </w:tabs>
        <w:ind w:left="2160" w:hanging="360"/>
      </w:pPr>
      <w:rPr>
        <w:rFonts w:ascii="Times New Roman" w:hAnsi="Times New Roman" w:cs="Times New Roman" w:hint="default"/>
      </w:rPr>
    </w:lvl>
    <w:lvl w:ilvl="3" w:tplc="3EE68558">
      <w:start w:val="1"/>
      <w:numFmt w:val="bullet"/>
      <w:lvlText w:val="–"/>
      <w:lvlJc w:val="left"/>
      <w:pPr>
        <w:tabs>
          <w:tab w:val="num" w:pos="2880"/>
        </w:tabs>
        <w:ind w:left="2880" w:hanging="360"/>
      </w:pPr>
      <w:rPr>
        <w:rFonts w:ascii="Times New Roman" w:hAnsi="Times New Roman" w:cs="Times New Roman" w:hint="default"/>
      </w:rPr>
    </w:lvl>
    <w:lvl w:ilvl="4" w:tplc="2AC65434">
      <w:start w:val="1"/>
      <w:numFmt w:val="bullet"/>
      <w:lvlText w:val="–"/>
      <w:lvlJc w:val="left"/>
      <w:pPr>
        <w:tabs>
          <w:tab w:val="num" w:pos="3600"/>
        </w:tabs>
        <w:ind w:left="3600" w:hanging="360"/>
      </w:pPr>
      <w:rPr>
        <w:rFonts w:ascii="Times New Roman" w:hAnsi="Times New Roman" w:cs="Times New Roman" w:hint="default"/>
      </w:rPr>
    </w:lvl>
    <w:lvl w:ilvl="5" w:tplc="E7D694D2">
      <w:start w:val="1"/>
      <w:numFmt w:val="bullet"/>
      <w:lvlText w:val="–"/>
      <w:lvlJc w:val="left"/>
      <w:pPr>
        <w:tabs>
          <w:tab w:val="num" w:pos="4320"/>
        </w:tabs>
        <w:ind w:left="4320" w:hanging="360"/>
      </w:pPr>
      <w:rPr>
        <w:rFonts w:ascii="Times New Roman" w:hAnsi="Times New Roman" w:cs="Times New Roman" w:hint="default"/>
      </w:rPr>
    </w:lvl>
    <w:lvl w:ilvl="6" w:tplc="A1A6DDAA">
      <w:start w:val="1"/>
      <w:numFmt w:val="bullet"/>
      <w:lvlText w:val="–"/>
      <w:lvlJc w:val="left"/>
      <w:pPr>
        <w:tabs>
          <w:tab w:val="num" w:pos="5040"/>
        </w:tabs>
        <w:ind w:left="5040" w:hanging="360"/>
      </w:pPr>
      <w:rPr>
        <w:rFonts w:ascii="Times New Roman" w:hAnsi="Times New Roman" w:cs="Times New Roman" w:hint="default"/>
      </w:rPr>
    </w:lvl>
    <w:lvl w:ilvl="7" w:tplc="6400E964">
      <w:start w:val="1"/>
      <w:numFmt w:val="bullet"/>
      <w:lvlText w:val="–"/>
      <w:lvlJc w:val="left"/>
      <w:pPr>
        <w:tabs>
          <w:tab w:val="num" w:pos="5760"/>
        </w:tabs>
        <w:ind w:left="5760" w:hanging="360"/>
      </w:pPr>
      <w:rPr>
        <w:rFonts w:ascii="Times New Roman" w:hAnsi="Times New Roman" w:cs="Times New Roman" w:hint="default"/>
      </w:rPr>
    </w:lvl>
    <w:lvl w:ilvl="8" w:tplc="1DFEE732">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4"/>
  </w:num>
  <w:num w:numId="8">
    <w:abstractNumId w:val="6"/>
  </w:num>
  <w:num w:numId="9">
    <w:abstractNumId w:val="17"/>
  </w:num>
  <w:num w:numId="10">
    <w:abstractNumId w:val="18"/>
  </w:num>
  <w:num w:numId="11">
    <w:abstractNumId w:val="7"/>
  </w:num>
  <w:num w:numId="12">
    <w:abstractNumId w:val="14"/>
  </w:num>
  <w:num w:numId="13">
    <w:abstractNumId w:val="8"/>
  </w:num>
  <w:num w:numId="14">
    <w:abstractNumId w:val="21"/>
  </w:num>
  <w:num w:numId="15">
    <w:abstractNumId w:val="23"/>
  </w:num>
  <w:num w:numId="16">
    <w:abstractNumId w:val="5"/>
  </w:num>
  <w:num w:numId="17">
    <w:abstractNumId w:val="16"/>
  </w:num>
  <w:num w:numId="18">
    <w:abstractNumId w:val="2"/>
  </w:num>
  <w:num w:numId="19">
    <w:abstractNumId w:val="9"/>
  </w:num>
  <w:num w:numId="20">
    <w:abstractNumId w:val="13"/>
  </w:num>
  <w:num w:numId="21">
    <w:abstractNumId w:val="12"/>
  </w:num>
  <w:num w:numId="22">
    <w:abstractNumId w:val="19"/>
  </w:num>
  <w:num w:numId="23">
    <w:abstractNumId w:val="22"/>
  </w:num>
  <w:num w:numId="24">
    <w:abstractNumId w:val="24"/>
  </w:num>
  <w:num w:numId="25">
    <w:abstractNumId w:val="1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hideSpellingError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9635A1"/>
    <w:rsid w:val="000131AA"/>
    <w:rsid w:val="0002065E"/>
    <w:rsid w:val="00035811"/>
    <w:rsid w:val="00036F3B"/>
    <w:rsid w:val="000376E2"/>
    <w:rsid w:val="00042DDD"/>
    <w:rsid w:val="0005305A"/>
    <w:rsid w:val="00062E24"/>
    <w:rsid w:val="00064F73"/>
    <w:rsid w:val="000724C2"/>
    <w:rsid w:val="000766E9"/>
    <w:rsid w:val="00077F6D"/>
    <w:rsid w:val="00085BFB"/>
    <w:rsid w:val="00094DDF"/>
    <w:rsid w:val="00095971"/>
    <w:rsid w:val="00097B35"/>
    <w:rsid w:val="000A3ED0"/>
    <w:rsid w:val="000A4344"/>
    <w:rsid w:val="000A4B18"/>
    <w:rsid w:val="000A7EEE"/>
    <w:rsid w:val="000B0960"/>
    <w:rsid w:val="000C02CF"/>
    <w:rsid w:val="000C26B1"/>
    <w:rsid w:val="000C2E1E"/>
    <w:rsid w:val="000C53C5"/>
    <w:rsid w:val="000C5AFE"/>
    <w:rsid w:val="000D19C9"/>
    <w:rsid w:val="000D6387"/>
    <w:rsid w:val="000D6D2D"/>
    <w:rsid w:val="000E38ED"/>
    <w:rsid w:val="000E6C30"/>
    <w:rsid w:val="000F08FC"/>
    <w:rsid w:val="000F4460"/>
    <w:rsid w:val="000F458C"/>
    <w:rsid w:val="000F6699"/>
    <w:rsid w:val="00100864"/>
    <w:rsid w:val="00103F9E"/>
    <w:rsid w:val="00106C22"/>
    <w:rsid w:val="001247AD"/>
    <w:rsid w:val="001414CF"/>
    <w:rsid w:val="00147FB3"/>
    <w:rsid w:val="0015137E"/>
    <w:rsid w:val="00152998"/>
    <w:rsid w:val="00161914"/>
    <w:rsid w:val="00163ABC"/>
    <w:rsid w:val="00164C26"/>
    <w:rsid w:val="00167797"/>
    <w:rsid w:val="00174AA8"/>
    <w:rsid w:val="001819AF"/>
    <w:rsid w:val="0018262F"/>
    <w:rsid w:val="0018483E"/>
    <w:rsid w:val="001905BE"/>
    <w:rsid w:val="00197623"/>
    <w:rsid w:val="001A1569"/>
    <w:rsid w:val="001A3ED2"/>
    <w:rsid w:val="001B2EA0"/>
    <w:rsid w:val="001B5995"/>
    <w:rsid w:val="001B710A"/>
    <w:rsid w:val="001C04E7"/>
    <w:rsid w:val="001C3617"/>
    <w:rsid w:val="001C39A7"/>
    <w:rsid w:val="001C7DCE"/>
    <w:rsid w:val="001D443E"/>
    <w:rsid w:val="001D723B"/>
    <w:rsid w:val="001F2C2B"/>
    <w:rsid w:val="00200CC8"/>
    <w:rsid w:val="0020557C"/>
    <w:rsid w:val="00220F43"/>
    <w:rsid w:val="00226AAD"/>
    <w:rsid w:val="00230BA3"/>
    <w:rsid w:val="00232125"/>
    <w:rsid w:val="00233097"/>
    <w:rsid w:val="00233992"/>
    <w:rsid w:val="00233A1D"/>
    <w:rsid w:val="00236C2C"/>
    <w:rsid w:val="00242041"/>
    <w:rsid w:val="00243F75"/>
    <w:rsid w:val="002441EA"/>
    <w:rsid w:val="00260D3E"/>
    <w:rsid w:val="002709F7"/>
    <w:rsid w:val="0027469F"/>
    <w:rsid w:val="002747A4"/>
    <w:rsid w:val="00276DC8"/>
    <w:rsid w:val="002847E7"/>
    <w:rsid w:val="0029020B"/>
    <w:rsid w:val="00291246"/>
    <w:rsid w:val="002A24B1"/>
    <w:rsid w:val="002B5477"/>
    <w:rsid w:val="002D0395"/>
    <w:rsid w:val="002D296E"/>
    <w:rsid w:val="002D44BE"/>
    <w:rsid w:val="002E081A"/>
    <w:rsid w:val="002E1927"/>
    <w:rsid w:val="002E5C56"/>
    <w:rsid w:val="002F3885"/>
    <w:rsid w:val="0030051F"/>
    <w:rsid w:val="00304E90"/>
    <w:rsid w:val="0030720F"/>
    <w:rsid w:val="0031218E"/>
    <w:rsid w:val="00313607"/>
    <w:rsid w:val="00316B18"/>
    <w:rsid w:val="00317FB0"/>
    <w:rsid w:val="00320B09"/>
    <w:rsid w:val="00321C48"/>
    <w:rsid w:val="00325422"/>
    <w:rsid w:val="00335CD2"/>
    <w:rsid w:val="00350934"/>
    <w:rsid w:val="0036026B"/>
    <w:rsid w:val="00370A08"/>
    <w:rsid w:val="00370E0C"/>
    <w:rsid w:val="003750D5"/>
    <w:rsid w:val="00376AC5"/>
    <w:rsid w:val="00377C77"/>
    <w:rsid w:val="00380E7A"/>
    <w:rsid w:val="00381F5E"/>
    <w:rsid w:val="00387B07"/>
    <w:rsid w:val="00390FF0"/>
    <w:rsid w:val="003959C6"/>
    <w:rsid w:val="00395BD8"/>
    <w:rsid w:val="003A19D2"/>
    <w:rsid w:val="003A23E6"/>
    <w:rsid w:val="003A3364"/>
    <w:rsid w:val="003A57FF"/>
    <w:rsid w:val="003B0280"/>
    <w:rsid w:val="003B1732"/>
    <w:rsid w:val="003C30A0"/>
    <w:rsid w:val="003D1D29"/>
    <w:rsid w:val="003D3CBD"/>
    <w:rsid w:val="003D4CC3"/>
    <w:rsid w:val="003D5478"/>
    <w:rsid w:val="003D6512"/>
    <w:rsid w:val="00400113"/>
    <w:rsid w:val="00411E02"/>
    <w:rsid w:val="004253B1"/>
    <w:rsid w:val="004265C5"/>
    <w:rsid w:val="00427325"/>
    <w:rsid w:val="004279F0"/>
    <w:rsid w:val="00427C49"/>
    <w:rsid w:val="004304F7"/>
    <w:rsid w:val="004320E2"/>
    <w:rsid w:val="00434152"/>
    <w:rsid w:val="00442037"/>
    <w:rsid w:val="00446032"/>
    <w:rsid w:val="00450B89"/>
    <w:rsid w:val="00451164"/>
    <w:rsid w:val="00452498"/>
    <w:rsid w:val="004545F9"/>
    <w:rsid w:val="0045563A"/>
    <w:rsid w:val="00457CDF"/>
    <w:rsid w:val="0046188E"/>
    <w:rsid w:val="00461C51"/>
    <w:rsid w:val="00461DAD"/>
    <w:rsid w:val="00464B86"/>
    <w:rsid w:val="00464D10"/>
    <w:rsid w:val="00470320"/>
    <w:rsid w:val="00470F7E"/>
    <w:rsid w:val="00476675"/>
    <w:rsid w:val="00477A9D"/>
    <w:rsid w:val="00482C7F"/>
    <w:rsid w:val="00484E65"/>
    <w:rsid w:val="00494541"/>
    <w:rsid w:val="004A3608"/>
    <w:rsid w:val="004A5F28"/>
    <w:rsid w:val="004A7AA1"/>
    <w:rsid w:val="004B5C66"/>
    <w:rsid w:val="004B7BD0"/>
    <w:rsid w:val="004C4C81"/>
    <w:rsid w:val="004C500B"/>
    <w:rsid w:val="004C7AAD"/>
    <w:rsid w:val="004D427C"/>
    <w:rsid w:val="004E17FC"/>
    <w:rsid w:val="004F2C3A"/>
    <w:rsid w:val="004F4CB1"/>
    <w:rsid w:val="00504BCE"/>
    <w:rsid w:val="00505B21"/>
    <w:rsid w:val="00507376"/>
    <w:rsid w:val="00515370"/>
    <w:rsid w:val="00523670"/>
    <w:rsid w:val="00526F2D"/>
    <w:rsid w:val="00531E7E"/>
    <w:rsid w:val="00536C4E"/>
    <w:rsid w:val="0054010B"/>
    <w:rsid w:val="0054017F"/>
    <w:rsid w:val="00543C9A"/>
    <w:rsid w:val="00546C62"/>
    <w:rsid w:val="00551C53"/>
    <w:rsid w:val="005573E8"/>
    <w:rsid w:val="005628F2"/>
    <w:rsid w:val="00575C5E"/>
    <w:rsid w:val="005834B7"/>
    <w:rsid w:val="00592BC8"/>
    <w:rsid w:val="005A2395"/>
    <w:rsid w:val="005A2A88"/>
    <w:rsid w:val="005A5067"/>
    <w:rsid w:val="005A62A5"/>
    <w:rsid w:val="005A63CC"/>
    <w:rsid w:val="005B3700"/>
    <w:rsid w:val="005B38F2"/>
    <w:rsid w:val="005D46C0"/>
    <w:rsid w:val="005E0B6D"/>
    <w:rsid w:val="005E7535"/>
    <w:rsid w:val="005F4D9B"/>
    <w:rsid w:val="005F6A70"/>
    <w:rsid w:val="005F7E17"/>
    <w:rsid w:val="006078CD"/>
    <w:rsid w:val="00615EB1"/>
    <w:rsid w:val="006160CD"/>
    <w:rsid w:val="00622DCF"/>
    <w:rsid w:val="0062440B"/>
    <w:rsid w:val="00634907"/>
    <w:rsid w:val="00643C98"/>
    <w:rsid w:val="00664EDE"/>
    <w:rsid w:val="006721A5"/>
    <w:rsid w:val="006738BE"/>
    <w:rsid w:val="00673FCF"/>
    <w:rsid w:val="00680522"/>
    <w:rsid w:val="00681444"/>
    <w:rsid w:val="00683A5B"/>
    <w:rsid w:val="00687D23"/>
    <w:rsid w:val="00691477"/>
    <w:rsid w:val="00696B0F"/>
    <w:rsid w:val="006A47D0"/>
    <w:rsid w:val="006B5442"/>
    <w:rsid w:val="006C0727"/>
    <w:rsid w:val="006C6D48"/>
    <w:rsid w:val="006D02E8"/>
    <w:rsid w:val="006D27B4"/>
    <w:rsid w:val="006D2E26"/>
    <w:rsid w:val="006E145F"/>
    <w:rsid w:val="006F210C"/>
    <w:rsid w:val="006F6551"/>
    <w:rsid w:val="006F79B1"/>
    <w:rsid w:val="007017A1"/>
    <w:rsid w:val="00703F78"/>
    <w:rsid w:val="00705238"/>
    <w:rsid w:val="007072CB"/>
    <w:rsid w:val="00712B4B"/>
    <w:rsid w:val="00735D75"/>
    <w:rsid w:val="00735DCE"/>
    <w:rsid w:val="00743705"/>
    <w:rsid w:val="0074406A"/>
    <w:rsid w:val="00745789"/>
    <w:rsid w:val="00752E2E"/>
    <w:rsid w:val="00761FC1"/>
    <w:rsid w:val="0076647B"/>
    <w:rsid w:val="00770572"/>
    <w:rsid w:val="00773D6B"/>
    <w:rsid w:val="00776E14"/>
    <w:rsid w:val="0077791F"/>
    <w:rsid w:val="00780445"/>
    <w:rsid w:val="00786734"/>
    <w:rsid w:val="00793A19"/>
    <w:rsid w:val="007A00C1"/>
    <w:rsid w:val="007A2A3C"/>
    <w:rsid w:val="007A7729"/>
    <w:rsid w:val="007C0A26"/>
    <w:rsid w:val="007C1CBD"/>
    <w:rsid w:val="007C23E2"/>
    <w:rsid w:val="007C510F"/>
    <w:rsid w:val="007E3941"/>
    <w:rsid w:val="007E552E"/>
    <w:rsid w:val="007E68C8"/>
    <w:rsid w:val="007E7EE5"/>
    <w:rsid w:val="007F3799"/>
    <w:rsid w:val="007F3BF7"/>
    <w:rsid w:val="007F4D8A"/>
    <w:rsid w:val="008058CD"/>
    <w:rsid w:val="00807A34"/>
    <w:rsid w:val="008102EB"/>
    <w:rsid w:val="00810302"/>
    <w:rsid w:val="00812BD2"/>
    <w:rsid w:val="00815F65"/>
    <w:rsid w:val="0082043E"/>
    <w:rsid w:val="00820DD5"/>
    <w:rsid w:val="00830907"/>
    <w:rsid w:val="00834541"/>
    <w:rsid w:val="00836D62"/>
    <w:rsid w:val="008374B4"/>
    <w:rsid w:val="00840120"/>
    <w:rsid w:val="00846EC8"/>
    <w:rsid w:val="008478D2"/>
    <w:rsid w:val="00854063"/>
    <w:rsid w:val="00856084"/>
    <w:rsid w:val="0085697D"/>
    <w:rsid w:val="0086464F"/>
    <w:rsid w:val="00867E7C"/>
    <w:rsid w:val="00875450"/>
    <w:rsid w:val="00877EC6"/>
    <w:rsid w:val="0088051F"/>
    <w:rsid w:val="00883079"/>
    <w:rsid w:val="0089088B"/>
    <w:rsid w:val="008930F2"/>
    <w:rsid w:val="008949B6"/>
    <w:rsid w:val="008A2DC0"/>
    <w:rsid w:val="008A647D"/>
    <w:rsid w:val="008C678C"/>
    <w:rsid w:val="008C6E60"/>
    <w:rsid w:val="008D2172"/>
    <w:rsid w:val="008D37D4"/>
    <w:rsid w:val="008E0E54"/>
    <w:rsid w:val="008F0170"/>
    <w:rsid w:val="008F033C"/>
    <w:rsid w:val="008F2154"/>
    <w:rsid w:val="008F4E9D"/>
    <w:rsid w:val="00904ED7"/>
    <w:rsid w:val="0090557F"/>
    <w:rsid w:val="009124AC"/>
    <w:rsid w:val="0091540A"/>
    <w:rsid w:val="009209AF"/>
    <w:rsid w:val="0092777F"/>
    <w:rsid w:val="009345C8"/>
    <w:rsid w:val="00934BE0"/>
    <w:rsid w:val="009411AB"/>
    <w:rsid w:val="00942F15"/>
    <w:rsid w:val="009535CB"/>
    <w:rsid w:val="00954F2D"/>
    <w:rsid w:val="00961442"/>
    <w:rsid w:val="009635A1"/>
    <w:rsid w:val="00963D76"/>
    <w:rsid w:val="0096566E"/>
    <w:rsid w:val="00965A18"/>
    <w:rsid w:val="009715D6"/>
    <w:rsid w:val="00975F01"/>
    <w:rsid w:val="0099007F"/>
    <w:rsid w:val="00996AC8"/>
    <w:rsid w:val="00996FA9"/>
    <w:rsid w:val="009B3751"/>
    <w:rsid w:val="009B3CE6"/>
    <w:rsid w:val="009B5BC5"/>
    <w:rsid w:val="009B5D0E"/>
    <w:rsid w:val="009C001A"/>
    <w:rsid w:val="009C08E9"/>
    <w:rsid w:val="009D250D"/>
    <w:rsid w:val="009D2A2D"/>
    <w:rsid w:val="009E0F15"/>
    <w:rsid w:val="009E1AB0"/>
    <w:rsid w:val="009E461D"/>
    <w:rsid w:val="009E57EA"/>
    <w:rsid w:val="009E719E"/>
    <w:rsid w:val="009E734B"/>
    <w:rsid w:val="009E74D6"/>
    <w:rsid w:val="00A0027C"/>
    <w:rsid w:val="00A00FF6"/>
    <w:rsid w:val="00A104E3"/>
    <w:rsid w:val="00A146BC"/>
    <w:rsid w:val="00A23844"/>
    <w:rsid w:val="00A26E13"/>
    <w:rsid w:val="00A31461"/>
    <w:rsid w:val="00A31852"/>
    <w:rsid w:val="00A31BD2"/>
    <w:rsid w:val="00A36856"/>
    <w:rsid w:val="00A371B8"/>
    <w:rsid w:val="00A408F7"/>
    <w:rsid w:val="00A4268A"/>
    <w:rsid w:val="00A54269"/>
    <w:rsid w:val="00A549F9"/>
    <w:rsid w:val="00A7317F"/>
    <w:rsid w:val="00A76584"/>
    <w:rsid w:val="00A82FE7"/>
    <w:rsid w:val="00A93EB2"/>
    <w:rsid w:val="00AA427C"/>
    <w:rsid w:val="00AB00B7"/>
    <w:rsid w:val="00AB11F1"/>
    <w:rsid w:val="00AB153D"/>
    <w:rsid w:val="00AC114E"/>
    <w:rsid w:val="00AC3267"/>
    <w:rsid w:val="00AC4DC0"/>
    <w:rsid w:val="00AD0934"/>
    <w:rsid w:val="00AF0EFD"/>
    <w:rsid w:val="00AF3600"/>
    <w:rsid w:val="00AF3FF8"/>
    <w:rsid w:val="00AF488E"/>
    <w:rsid w:val="00B14255"/>
    <w:rsid w:val="00B15E56"/>
    <w:rsid w:val="00B167B3"/>
    <w:rsid w:val="00B26B24"/>
    <w:rsid w:val="00B33618"/>
    <w:rsid w:val="00B41618"/>
    <w:rsid w:val="00B50A51"/>
    <w:rsid w:val="00B50D9F"/>
    <w:rsid w:val="00B52B2E"/>
    <w:rsid w:val="00B636C6"/>
    <w:rsid w:val="00B6579D"/>
    <w:rsid w:val="00B73A39"/>
    <w:rsid w:val="00B77B38"/>
    <w:rsid w:val="00B8101E"/>
    <w:rsid w:val="00B858C6"/>
    <w:rsid w:val="00B92DC3"/>
    <w:rsid w:val="00BA564B"/>
    <w:rsid w:val="00BA7A95"/>
    <w:rsid w:val="00BB3A7E"/>
    <w:rsid w:val="00BC3738"/>
    <w:rsid w:val="00BC756C"/>
    <w:rsid w:val="00BD7100"/>
    <w:rsid w:val="00BD73AA"/>
    <w:rsid w:val="00BE6498"/>
    <w:rsid w:val="00BE68C2"/>
    <w:rsid w:val="00C0045D"/>
    <w:rsid w:val="00C11C3B"/>
    <w:rsid w:val="00C23B32"/>
    <w:rsid w:val="00C31117"/>
    <w:rsid w:val="00C363F6"/>
    <w:rsid w:val="00C46DC4"/>
    <w:rsid w:val="00C62A63"/>
    <w:rsid w:val="00C6449C"/>
    <w:rsid w:val="00C66F96"/>
    <w:rsid w:val="00C83392"/>
    <w:rsid w:val="00C85E44"/>
    <w:rsid w:val="00C87318"/>
    <w:rsid w:val="00C875EF"/>
    <w:rsid w:val="00C901BE"/>
    <w:rsid w:val="00CA09B2"/>
    <w:rsid w:val="00CA49CE"/>
    <w:rsid w:val="00CA77F6"/>
    <w:rsid w:val="00CC4A26"/>
    <w:rsid w:val="00CD5C7D"/>
    <w:rsid w:val="00CE2600"/>
    <w:rsid w:val="00CE5818"/>
    <w:rsid w:val="00CF2284"/>
    <w:rsid w:val="00CF2F18"/>
    <w:rsid w:val="00D04564"/>
    <w:rsid w:val="00D075C4"/>
    <w:rsid w:val="00D10E4A"/>
    <w:rsid w:val="00D11811"/>
    <w:rsid w:val="00D16EA2"/>
    <w:rsid w:val="00D21483"/>
    <w:rsid w:val="00D259C7"/>
    <w:rsid w:val="00D303F6"/>
    <w:rsid w:val="00D3216A"/>
    <w:rsid w:val="00D4116F"/>
    <w:rsid w:val="00D41659"/>
    <w:rsid w:val="00D45926"/>
    <w:rsid w:val="00D531E1"/>
    <w:rsid w:val="00D56C6D"/>
    <w:rsid w:val="00D60CF9"/>
    <w:rsid w:val="00D65075"/>
    <w:rsid w:val="00D75FB9"/>
    <w:rsid w:val="00D8216E"/>
    <w:rsid w:val="00D8565F"/>
    <w:rsid w:val="00D87E81"/>
    <w:rsid w:val="00D91BAC"/>
    <w:rsid w:val="00DA53D9"/>
    <w:rsid w:val="00DB40AD"/>
    <w:rsid w:val="00DC10FD"/>
    <w:rsid w:val="00DC5A7B"/>
    <w:rsid w:val="00DC6DEB"/>
    <w:rsid w:val="00DD0394"/>
    <w:rsid w:val="00DD0549"/>
    <w:rsid w:val="00DD13FE"/>
    <w:rsid w:val="00DE4062"/>
    <w:rsid w:val="00DF095C"/>
    <w:rsid w:val="00DF30E6"/>
    <w:rsid w:val="00DF4C37"/>
    <w:rsid w:val="00E00AC6"/>
    <w:rsid w:val="00E0274B"/>
    <w:rsid w:val="00E03FFD"/>
    <w:rsid w:val="00E0427F"/>
    <w:rsid w:val="00E06A37"/>
    <w:rsid w:val="00E1385C"/>
    <w:rsid w:val="00E1387F"/>
    <w:rsid w:val="00E16456"/>
    <w:rsid w:val="00E20083"/>
    <w:rsid w:val="00E258E0"/>
    <w:rsid w:val="00E26145"/>
    <w:rsid w:val="00E26D78"/>
    <w:rsid w:val="00E330D6"/>
    <w:rsid w:val="00E3344A"/>
    <w:rsid w:val="00E4282A"/>
    <w:rsid w:val="00E44152"/>
    <w:rsid w:val="00E447D3"/>
    <w:rsid w:val="00E4515E"/>
    <w:rsid w:val="00E52A56"/>
    <w:rsid w:val="00E55F9A"/>
    <w:rsid w:val="00E670F7"/>
    <w:rsid w:val="00E72307"/>
    <w:rsid w:val="00E727C3"/>
    <w:rsid w:val="00E73CBF"/>
    <w:rsid w:val="00E80CA5"/>
    <w:rsid w:val="00E8104F"/>
    <w:rsid w:val="00EB3328"/>
    <w:rsid w:val="00EC246B"/>
    <w:rsid w:val="00EC3E56"/>
    <w:rsid w:val="00EC6BF3"/>
    <w:rsid w:val="00ED3339"/>
    <w:rsid w:val="00ED507A"/>
    <w:rsid w:val="00ED6043"/>
    <w:rsid w:val="00ED6992"/>
    <w:rsid w:val="00ED75BB"/>
    <w:rsid w:val="00EF25EB"/>
    <w:rsid w:val="00EF2642"/>
    <w:rsid w:val="00EF7A3D"/>
    <w:rsid w:val="00F00530"/>
    <w:rsid w:val="00F050E2"/>
    <w:rsid w:val="00F05550"/>
    <w:rsid w:val="00F1148E"/>
    <w:rsid w:val="00F147DF"/>
    <w:rsid w:val="00F1532D"/>
    <w:rsid w:val="00F17168"/>
    <w:rsid w:val="00F30BF2"/>
    <w:rsid w:val="00F40BC6"/>
    <w:rsid w:val="00F41B98"/>
    <w:rsid w:val="00F53873"/>
    <w:rsid w:val="00F6122A"/>
    <w:rsid w:val="00F702BD"/>
    <w:rsid w:val="00F71076"/>
    <w:rsid w:val="00F7366F"/>
    <w:rsid w:val="00F81D5B"/>
    <w:rsid w:val="00F83458"/>
    <w:rsid w:val="00F862EE"/>
    <w:rsid w:val="00F93A9C"/>
    <w:rsid w:val="00FB324F"/>
    <w:rsid w:val="00FB5E46"/>
    <w:rsid w:val="00FB63FF"/>
    <w:rsid w:val="00FB67AC"/>
    <w:rsid w:val="00FB736A"/>
    <w:rsid w:val="00FB7991"/>
    <w:rsid w:val="00FC6631"/>
    <w:rsid w:val="00FC7D9F"/>
    <w:rsid w:val="00FD5B3E"/>
    <w:rsid w:val="00FD79B8"/>
    <w:rsid w:val="00FF09F5"/>
    <w:rsid w:val="00FF7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rPr>
  </w:style>
  <w:style w:type="character" w:customStyle="1" w:styleId="CommentTextChar">
    <w:name w:val="Comment Text Char"/>
    <w:basedOn w:val="DefaultParagraphFont"/>
    <w:link w:val="CommentText"/>
    <w:uiPriority w:val="99"/>
    <w:rsid w:val="009E0F1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8533291">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46158388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6392847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514030">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2141600">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orat@broadcom.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2A3E-C3CD-4355-9D18-EB80496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738</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Windows User</cp:lastModifiedBy>
  <cp:revision>3</cp:revision>
  <cp:lastPrinted>2011-03-31T18:31:00Z</cp:lastPrinted>
  <dcterms:created xsi:type="dcterms:W3CDTF">2013-02-14T19:12:00Z</dcterms:created>
  <dcterms:modified xsi:type="dcterms:W3CDTF">2013-02-14T19:13:00Z</dcterms:modified>
</cp:coreProperties>
</file>