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A5DE4" w:rsidP="005F28F9">
            <w:pPr>
              <w:pStyle w:val="T2"/>
            </w:pPr>
            <w:proofErr w:type="spellStart"/>
            <w:r w:rsidRPr="00DA5DE4">
              <w:t>REVmc</w:t>
            </w:r>
            <w:proofErr w:type="spellEnd"/>
            <w:r w:rsidRPr="00DA5DE4">
              <w:t xml:space="preserve"> </w:t>
            </w:r>
            <w:proofErr w:type="spellStart"/>
            <w:r w:rsidRPr="00DA5DE4">
              <w:t>Preballot</w:t>
            </w:r>
            <w:proofErr w:type="spellEnd"/>
            <w:r>
              <w:t xml:space="preserve"> Resolutions - </w:t>
            </w:r>
            <w:r w:rsidR="00724127">
              <w:t>CID</w:t>
            </w:r>
            <w:r w:rsidR="002F5FE5">
              <w:t>s 121-122-162-163-164-233-260-364</w:t>
            </w:r>
            <w:r w:rsidR="00724127">
              <w:t xml:space="preserve"> </w:t>
            </w:r>
          </w:p>
        </w:tc>
      </w:tr>
      <w:tr w:rsidR="00CA09B2">
        <w:trPr>
          <w:trHeight w:val="359"/>
          <w:jc w:val="center"/>
        </w:trPr>
        <w:tc>
          <w:tcPr>
            <w:tcW w:w="9576" w:type="dxa"/>
            <w:gridSpan w:val="5"/>
            <w:vAlign w:val="center"/>
          </w:tcPr>
          <w:p w:rsidR="00CA09B2" w:rsidRDefault="00CA09B2" w:rsidP="005A2F97">
            <w:pPr>
              <w:pStyle w:val="T2"/>
              <w:ind w:left="0"/>
              <w:rPr>
                <w:sz w:val="20"/>
              </w:rPr>
            </w:pPr>
            <w:r>
              <w:rPr>
                <w:sz w:val="20"/>
              </w:rPr>
              <w:t>Date:</w:t>
            </w:r>
            <w:r>
              <w:rPr>
                <w:b w:val="0"/>
                <w:sz w:val="20"/>
              </w:rPr>
              <w:t xml:space="preserve">  </w:t>
            </w:r>
            <w:r w:rsidR="005A2F97">
              <w:rPr>
                <w:b w:val="0"/>
                <w:sz w:val="20"/>
              </w:rPr>
              <w:t>2013-01</w:t>
            </w:r>
            <w:r>
              <w:rPr>
                <w:b w:val="0"/>
                <w:sz w:val="20"/>
              </w:rPr>
              <w:t>-</w:t>
            </w:r>
            <w:r w:rsidR="005A2F97">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A2F97">
            <w:pPr>
              <w:pStyle w:val="T2"/>
              <w:spacing w:after="0"/>
              <w:ind w:left="0" w:right="0"/>
              <w:rPr>
                <w:b w:val="0"/>
                <w:sz w:val="20"/>
              </w:rPr>
            </w:pPr>
            <w:r>
              <w:rPr>
                <w:b w:val="0"/>
                <w:sz w:val="20"/>
              </w:rPr>
              <w:t>Daniel Cohn</w:t>
            </w:r>
          </w:p>
        </w:tc>
        <w:tc>
          <w:tcPr>
            <w:tcW w:w="2064" w:type="dxa"/>
            <w:vAlign w:val="center"/>
          </w:tcPr>
          <w:p w:rsidR="00CA09B2" w:rsidRDefault="005A2F97">
            <w:pPr>
              <w:pStyle w:val="T2"/>
              <w:spacing w:after="0"/>
              <w:ind w:left="0" w:right="0"/>
              <w:rPr>
                <w:b w:val="0"/>
                <w:sz w:val="20"/>
              </w:rPr>
            </w:pPr>
            <w:r>
              <w:rPr>
                <w:b w:val="0"/>
                <w:sz w:val="20"/>
              </w:rPr>
              <w:t>Lantiq</w:t>
            </w:r>
          </w:p>
        </w:tc>
        <w:tc>
          <w:tcPr>
            <w:tcW w:w="2814" w:type="dxa"/>
            <w:vAlign w:val="center"/>
          </w:tcPr>
          <w:p w:rsidR="00CA09B2" w:rsidRDefault="005A2F97">
            <w:pPr>
              <w:pStyle w:val="T2"/>
              <w:spacing w:after="0"/>
              <w:ind w:left="0" w:right="0"/>
              <w:rPr>
                <w:b w:val="0"/>
                <w:sz w:val="20"/>
              </w:rPr>
            </w:pPr>
            <w:proofErr w:type="spellStart"/>
            <w:r>
              <w:rPr>
                <w:b w:val="0"/>
                <w:sz w:val="20"/>
              </w:rPr>
              <w:t>Zarhin</w:t>
            </w:r>
            <w:proofErr w:type="spellEnd"/>
            <w:r>
              <w:rPr>
                <w:b w:val="0"/>
                <w:sz w:val="20"/>
              </w:rPr>
              <w:t xml:space="preserve"> 13, </w:t>
            </w:r>
            <w:proofErr w:type="spellStart"/>
            <w:r>
              <w:rPr>
                <w:b w:val="0"/>
                <w:sz w:val="20"/>
              </w:rPr>
              <w:t>Ra’anana</w:t>
            </w:r>
            <w:proofErr w:type="spellEnd"/>
            <w:r>
              <w:rPr>
                <w:b w:val="0"/>
                <w:sz w:val="20"/>
              </w:rPr>
              <w:t>, Israel</w:t>
            </w:r>
          </w:p>
        </w:tc>
        <w:tc>
          <w:tcPr>
            <w:tcW w:w="1715" w:type="dxa"/>
            <w:vAlign w:val="center"/>
          </w:tcPr>
          <w:p w:rsidR="00CA09B2" w:rsidRDefault="005A2F97">
            <w:pPr>
              <w:pStyle w:val="T2"/>
              <w:spacing w:after="0"/>
              <w:ind w:left="0" w:right="0"/>
              <w:rPr>
                <w:b w:val="0"/>
                <w:sz w:val="20"/>
              </w:rPr>
            </w:pPr>
            <w:r>
              <w:rPr>
                <w:b w:val="0"/>
                <w:sz w:val="20"/>
              </w:rPr>
              <w:t>+972 54 922 5104</w:t>
            </w:r>
          </w:p>
        </w:tc>
        <w:tc>
          <w:tcPr>
            <w:tcW w:w="1647" w:type="dxa"/>
            <w:vAlign w:val="center"/>
          </w:tcPr>
          <w:p w:rsidR="00CA09B2" w:rsidRDefault="005A2F97">
            <w:pPr>
              <w:pStyle w:val="T2"/>
              <w:spacing w:after="0"/>
              <w:ind w:left="0" w:right="0"/>
              <w:rPr>
                <w:b w:val="0"/>
                <w:sz w:val="16"/>
              </w:rPr>
            </w:pPr>
            <w:r>
              <w:rPr>
                <w:b w:val="0"/>
                <w:sz w:val="16"/>
              </w:rPr>
              <w:t>Daniel.cohn@lantiq.com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75A91">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A2F97" w:rsidP="002F5FE5">
                            <w:pPr>
                              <w:jc w:val="both"/>
                            </w:pPr>
                            <w:r>
                              <w:t>Resolutions to CIDs</w:t>
                            </w:r>
                            <w:r w:rsidR="002F5FE5">
                              <w:t xml:space="preserve"> 121, 122, 162-164, 233, 260, 364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A2F97" w:rsidP="002F5FE5">
                      <w:pPr>
                        <w:jc w:val="both"/>
                      </w:pPr>
                      <w:r>
                        <w:t>Resolutions to CIDs</w:t>
                      </w:r>
                      <w:r w:rsidR="002F5FE5">
                        <w:t xml:space="preserve"> 121, 122,</w:t>
                      </w:r>
                      <w:r w:rsidR="002F5FE5">
                        <w:t xml:space="preserve"> 162-164</w:t>
                      </w:r>
                      <w:r w:rsidR="002F5FE5">
                        <w:t xml:space="preserve">, </w:t>
                      </w:r>
                      <w:r w:rsidR="002F5FE5">
                        <w:t>233</w:t>
                      </w:r>
                      <w:r w:rsidR="002F5FE5">
                        <w:t xml:space="preserve">, </w:t>
                      </w:r>
                      <w:r w:rsidR="002F5FE5">
                        <w:t>260</w:t>
                      </w:r>
                      <w:r w:rsidR="002F5FE5">
                        <w:t>, 364</w:t>
                      </w:r>
                    </w:p>
                  </w:txbxContent>
                </v:textbox>
              </v:shape>
            </w:pict>
          </mc:Fallback>
        </mc:AlternateContent>
      </w:r>
    </w:p>
    <w:p w:rsidR="00CA09B2" w:rsidRDefault="00CA09B2" w:rsidP="005A2F97">
      <w:r>
        <w:br w:type="page"/>
      </w:r>
    </w:p>
    <w:p w:rsidR="00CA09B2" w:rsidRPr="00737D2D" w:rsidRDefault="005A2F97" w:rsidP="00737D2D">
      <w:pPr>
        <w:pStyle w:val="Heading1"/>
        <w:rPr>
          <w:u w:val="none"/>
        </w:rPr>
      </w:pPr>
      <w:r w:rsidRPr="00737D2D">
        <w:rPr>
          <w:u w:val="none"/>
        </w:rPr>
        <w:lastRenderedPageBreak/>
        <w:t xml:space="preserve">CID </w:t>
      </w:r>
      <w:r w:rsidR="00387460">
        <w:rPr>
          <w:u w:val="none"/>
        </w:rPr>
        <w:t>364</w:t>
      </w:r>
    </w:p>
    <w:p w:rsidR="005A2F97" w:rsidRDefault="005A2F97">
      <w:pPr>
        <w:rPr>
          <w:b/>
          <w:bCs/>
          <w:u w:val="single"/>
        </w:rPr>
      </w:pPr>
    </w:p>
    <w:tbl>
      <w:tblPr>
        <w:tblStyle w:val="TableGrid"/>
        <w:tblW w:w="0" w:type="auto"/>
        <w:tblLook w:val="04A0" w:firstRow="1" w:lastRow="0" w:firstColumn="1" w:lastColumn="0" w:noHBand="0" w:noVBand="1"/>
      </w:tblPr>
      <w:tblGrid>
        <w:gridCol w:w="620"/>
        <w:gridCol w:w="931"/>
        <w:gridCol w:w="4936"/>
      </w:tblGrid>
      <w:tr w:rsidR="00387460" w:rsidRPr="00387460" w:rsidTr="002F5FE5">
        <w:trPr>
          <w:trHeight w:val="765"/>
        </w:trPr>
        <w:tc>
          <w:tcPr>
            <w:tcW w:w="620" w:type="dxa"/>
            <w:hideMark/>
          </w:tcPr>
          <w:p w:rsidR="00387460" w:rsidRPr="00387460" w:rsidRDefault="00387460" w:rsidP="00387460">
            <w:pPr>
              <w:rPr>
                <w:b/>
                <w:bCs/>
              </w:rPr>
            </w:pPr>
            <w:r w:rsidRPr="00387460">
              <w:rPr>
                <w:b/>
                <w:bCs/>
              </w:rPr>
              <w:t>CID</w:t>
            </w:r>
          </w:p>
        </w:tc>
        <w:tc>
          <w:tcPr>
            <w:tcW w:w="931" w:type="dxa"/>
            <w:hideMark/>
          </w:tcPr>
          <w:p w:rsidR="00387460" w:rsidRPr="00387460" w:rsidRDefault="00387460" w:rsidP="00387460">
            <w:pPr>
              <w:rPr>
                <w:b/>
                <w:bCs/>
              </w:rPr>
            </w:pPr>
            <w:r w:rsidRPr="00387460">
              <w:rPr>
                <w:b/>
                <w:bCs/>
              </w:rPr>
              <w:t>Page</w:t>
            </w:r>
          </w:p>
        </w:tc>
        <w:tc>
          <w:tcPr>
            <w:tcW w:w="4936" w:type="dxa"/>
            <w:hideMark/>
          </w:tcPr>
          <w:p w:rsidR="00387460" w:rsidRPr="00387460" w:rsidRDefault="00387460" w:rsidP="00387460">
            <w:pPr>
              <w:rPr>
                <w:b/>
                <w:bCs/>
              </w:rPr>
            </w:pPr>
            <w:r w:rsidRPr="00387460">
              <w:rPr>
                <w:b/>
                <w:bCs/>
              </w:rPr>
              <w:t>Comment</w:t>
            </w:r>
          </w:p>
        </w:tc>
      </w:tr>
      <w:tr w:rsidR="00387460" w:rsidRPr="00387460" w:rsidTr="002F5FE5">
        <w:trPr>
          <w:trHeight w:val="1438"/>
        </w:trPr>
        <w:tc>
          <w:tcPr>
            <w:tcW w:w="620" w:type="dxa"/>
            <w:hideMark/>
          </w:tcPr>
          <w:p w:rsidR="00387460" w:rsidRPr="00387460" w:rsidRDefault="00387460" w:rsidP="00387460">
            <w:r w:rsidRPr="00387460">
              <w:t>364</w:t>
            </w:r>
          </w:p>
        </w:tc>
        <w:tc>
          <w:tcPr>
            <w:tcW w:w="931" w:type="dxa"/>
            <w:hideMark/>
          </w:tcPr>
          <w:p w:rsidR="00387460" w:rsidRPr="00387460" w:rsidRDefault="00387460" w:rsidP="00387460">
            <w:r w:rsidRPr="00387460">
              <w:t>1682.00</w:t>
            </w:r>
          </w:p>
        </w:tc>
        <w:tc>
          <w:tcPr>
            <w:tcW w:w="4936" w:type="dxa"/>
            <w:hideMark/>
          </w:tcPr>
          <w:p w:rsidR="00387460" w:rsidRPr="00387460" w:rsidRDefault="00387460" w:rsidP="00387460">
            <w:proofErr w:type="gramStart"/>
            <w:r w:rsidRPr="00387460">
              <w:t>Are</w:t>
            </w:r>
            <w:proofErr w:type="gramEnd"/>
            <w:r w:rsidRPr="00387460">
              <w:t xml:space="preserve"> "non-HT duplicate PPDU"</w:t>
            </w:r>
            <w:proofErr w:type="spellStart"/>
            <w:r w:rsidRPr="00387460">
              <w:t>s</w:t>
            </w:r>
            <w:proofErr w:type="spellEnd"/>
            <w:r w:rsidRPr="00387460">
              <w:t xml:space="preserve"> a type of "non-HT PPDU"?  If so, then phrases like "In non-HT and non-HT duplicate formats" are confusing.  If not, then the terminology itself is confusing</w:t>
            </w:r>
          </w:p>
        </w:tc>
      </w:tr>
    </w:tbl>
    <w:p w:rsidR="005A2F97" w:rsidRPr="005A2F97" w:rsidRDefault="005A2F97">
      <w:pPr>
        <w:rPr>
          <w:u w:val="single"/>
        </w:rPr>
      </w:pPr>
    </w:p>
    <w:p w:rsidR="00CA09B2" w:rsidRDefault="005A2F97">
      <w:pPr>
        <w:rPr>
          <w:b/>
          <w:bCs/>
          <w:u w:val="single"/>
        </w:rPr>
      </w:pPr>
      <w:r w:rsidRPr="005A2F97">
        <w:rPr>
          <w:b/>
          <w:bCs/>
          <w:u w:val="single"/>
        </w:rPr>
        <w:t>Proposed Resolution</w:t>
      </w:r>
      <w:r w:rsidR="00737D2D">
        <w:rPr>
          <w:b/>
          <w:bCs/>
          <w:u w:val="single"/>
        </w:rPr>
        <w:t>:</w:t>
      </w:r>
    </w:p>
    <w:p w:rsidR="00387460" w:rsidRDefault="00387460">
      <w:pPr>
        <w:rPr>
          <w:b/>
          <w:bCs/>
          <w:u w:val="single"/>
        </w:rPr>
      </w:pPr>
    </w:p>
    <w:p w:rsidR="00386893" w:rsidRDefault="001E20C8" w:rsidP="00387460">
      <w:proofErr w:type="gramStart"/>
      <w:r>
        <w:t>Revised.</w:t>
      </w:r>
      <w:proofErr w:type="gramEnd"/>
    </w:p>
    <w:p w:rsidR="00386893" w:rsidRDefault="00386893" w:rsidP="00387460"/>
    <w:p w:rsidR="00386893" w:rsidRDefault="00A127C9" w:rsidP="00A127C9">
      <w:r>
        <w:t>In addition to the problem highlighted by the comment, t</w:t>
      </w:r>
      <w:r w:rsidR="00387460">
        <w:t>he use of packet and format in the same paragraph should be consistent.</w:t>
      </w:r>
    </w:p>
    <w:p w:rsidR="001E20C8" w:rsidRDefault="001E20C8" w:rsidP="00386893"/>
    <w:p w:rsidR="00387460" w:rsidRDefault="00387460" w:rsidP="00387460">
      <w:r>
        <w:t>Modify clause 20.3.2 as follows:</w:t>
      </w:r>
    </w:p>
    <w:p w:rsidR="00387460" w:rsidRDefault="00387460" w:rsidP="00387460"/>
    <w:p w:rsidR="00387460" w:rsidRDefault="00387460" w:rsidP="00387460">
      <w:r>
        <w:t xml:space="preserve">The HT-SIG, HT-STF, HT-GF-STF, HT-LTF1, and HT-LTFs exist only in HT packets. In non-HT </w:t>
      </w:r>
      <w:r w:rsidRPr="00387460">
        <w:rPr>
          <w:color w:val="002060"/>
          <w:u w:val="single"/>
        </w:rPr>
        <w:t>packets</w:t>
      </w:r>
      <w:r>
        <w:t xml:space="preserve"> </w:t>
      </w:r>
      <w:r w:rsidRPr="00387460">
        <w:rPr>
          <w:strike/>
          <w:color w:val="FF0000"/>
        </w:rPr>
        <w:t>and non-HT duplicate</w:t>
      </w:r>
      <w:r>
        <w:t xml:space="preserve"> </w:t>
      </w:r>
      <w:r w:rsidRPr="00387460">
        <w:rPr>
          <w:strike/>
          <w:color w:val="FF0000"/>
        </w:rPr>
        <w:t>formats</w:t>
      </w:r>
      <w:r>
        <w:t xml:space="preserve"> only the L-STF, L-LTF, L-SIG, and Data fields exist.</w:t>
      </w:r>
    </w:p>
    <w:p w:rsidR="00737D2D" w:rsidRPr="00737D2D" w:rsidRDefault="00737D2D" w:rsidP="00737D2D">
      <w:pPr>
        <w:pStyle w:val="Heading1"/>
        <w:rPr>
          <w:u w:val="none"/>
        </w:rPr>
      </w:pPr>
      <w:r w:rsidRPr="00737D2D">
        <w:rPr>
          <w:u w:val="none"/>
        </w:rPr>
        <w:t xml:space="preserve">CID </w:t>
      </w:r>
      <w:r w:rsidR="00387460">
        <w:rPr>
          <w:u w:val="none"/>
        </w:rPr>
        <w:t>260</w:t>
      </w:r>
    </w:p>
    <w:p w:rsidR="00CA09B2" w:rsidRDefault="00CA09B2"/>
    <w:tbl>
      <w:tblPr>
        <w:tblStyle w:val="TableGrid"/>
        <w:tblW w:w="0" w:type="auto"/>
        <w:tblLook w:val="04A0" w:firstRow="1" w:lastRow="0" w:firstColumn="1" w:lastColumn="0" w:noHBand="0" w:noVBand="1"/>
      </w:tblPr>
      <w:tblGrid>
        <w:gridCol w:w="621"/>
        <w:gridCol w:w="2599"/>
        <w:gridCol w:w="2599"/>
      </w:tblGrid>
      <w:tr w:rsidR="00390407" w:rsidRPr="00737D2D" w:rsidTr="00737D2D">
        <w:trPr>
          <w:trHeight w:val="765"/>
        </w:trPr>
        <w:tc>
          <w:tcPr>
            <w:tcW w:w="621" w:type="dxa"/>
            <w:hideMark/>
          </w:tcPr>
          <w:p w:rsidR="00390407" w:rsidRPr="00737D2D" w:rsidRDefault="00390407" w:rsidP="00737D2D">
            <w:pPr>
              <w:rPr>
                <w:b/>
                <w:bCs/>
              </w:rPr>
            </w:pPr>
            <w:r w:rsidRPr="00737D2D">
              <w:rPr>
                <w:b/>
                <w:bCs/>
              </w:rPr>
              <w:t>CID</w:t>
            </w:r>
          </w:p>
        </w:tc>
        <w:tc>
          <w:tcPr>
            <w:tcW w:w="2599" w:type="dxa"/>
            <w:hideMark/>
          </w:tcPr>
          <w:p w:rsidR="00390407" w:rsidRPr="00737D2D" w:rsidRDefault="00390407" w:rsidP="00737D2D">
            <w:pPr>
              <w:rPr>
                <w:b/>
                <w:bCs/>
              </w:rPr>
            </w:pPr>
            <w:r w:rsidRPr="00737D2D">
              <w:rPr>
                <w:b/>
                <w:bCs/>
              </w:rPr>
              <w:t>Comment</w:t>
            </w:r>
          </w:p>
        </w:tc>
        <w:tc>
          <w:tcPr>
            <w:tcW w:w="2599" w:type="dxa"/>
            <w:hideMark/>
          </w:tcPr>
          <w:p w:rsidR="00390407" w:rsidRPr="00737D2D" w:rsidRDefault="00390407" w:rsidP="00737D2D">
            <w:pPr>
              <w:rPr>
                <w:b/>
                <w:bCs/>
              </w:rPr>
            </w:pPr>
            <w:r w:rsidRPr="00737D2D">
              <w:rPr>
                <w:b/>
                <w:bCs/>
              </w:rPr>
              <w:t>Proposed Change</w:t>
            </w:r>
          </w:p>
        </w:tc>
      </w:tr>
      <w:tr w:rsidR="00390407" w:rsidRPr="00737D2D" w:rsidTr="00737D2D">
        <w:trPr>
          <w:trHeight w:val="1275"/>
        </w:trPr>
        <w:tc>
          <w:tcPr>
            <w:tcW w:w="621" w:type="dxa"/>
            <w:hideMark/>
          </w:tcPr>
          <w:p w:rsidR="00390407" w:rsidRDefault="00390407">
            <w:pPr>
              <w:jc w:val="right"/>
              <w:rPr>
                <w:rFonts w:ascii="Arial" w:hAnsi="Arial" w:cs="Arial"/>
                <w:sz w:val="20"/>
              </w:rPr>
            </w:pPr>
            <w:r>
              <w:rPr>
                <w:rFonts w:ascii="Arial" w:hAnsi="Arial" w:cs="Arial"/>
                <w:sz w:val="20"/>
              </w:rPr>
              <w:t>260</w:t>
            </w:r>
          </w:p>
        </w:tc>
        <w:tc>
          <w:tcPr>
            <w:tcW w:w="2599" w:type="dxa"/>
            <w:hideMark/>
          </w:tcPr>
          <w:p w:rsidR="00390407" w:rsidRDefault="00390407">
            <w:pPr>
              <w:rPr>
                <w:rFonts w:ascii="Arial" w:hAnsi="Arial" w:cs="Arial"/>
                <w:sz w:val="20"/>
              </w:rPr>
            </w:pPr>
            <w:r>
              <w:rPr>
                <w:rFonts w:ascii="Arial" w:hAnsi="Arial" w:cs="Arial"/>
                <w:sz w:val="20"/>
              </w:rPr>
              <w:t>The rules on rounding of PHY rates when they aren't an exact multiple of the unit used are not clear</w:t>
            </w:r>
          </w:p>
        </w:tc>
        <w:tc>
          <w:tcPr>
            <w:tcW w:w="2599" w:type="dxa"/>
            <w:hideMark/>
          </w:tcPr>
          <w:p w:rsidR="00390407" w:rsidRDefault="00390407" w:rsidP="00387460">
            <w:pPr>
              <w:rPr>
                <w:rFonts w:ascii="Arial" w:hAnsi="Arial" w:cs="Arial"/>
                <w:sz w:val="20"/>
              </w:rPr>
            </w:pPr>
            <w:r>
              <w:rPr>
                <w:rFonts w:ascii="Arial" w:hAnsi="Arial" w:cs="Arial"/>
                <w:sz w:val="20"/>
              </w:rPr>
              <w:t>Clarify</w:t>
            </w:r>
          </w:p>
          <w:p w:rsidR="00390407" w:rsidRDefault="00390407">
            <w:pPr>
              <w:jc w:val="right"/>
              <w:rPr>
                <w:rFonts w:ascii="Arial" w:hAnsi="Arial" w:cs="Arial"/>
                <w:sz w:val="20"/>
              </w:rPr>
            </w:pPr>
          </w:p>
        </w:tc>
      </w:tr>
    </w:tbl>
    <w:p w:rsidR="00387460" w:rsidRDefault="00387460" w:rsidP="00737D2D"/>
    <w:p w:rsidR="00737D2D" w:rsidRDefault="00CA09B2" w:rsidP="00737D2D">
      <w:pPr>
        <w:rPr>
          <w:b/>
          <w:bCs/>
          <w:u w:val="single"/>
        </w:rPr>
      </w:pPr>
      <w:r>
        <w:br w:type="page"/>
      </w:r>
      <w:r w:rsidR="00737D2D" w:rsidRPr="00737D2D">
        <w:rPr>
          <w:b/>
          <w:bCs/>
          <w:u w:val="single"/>
        </w:rPr>
        <w:lastRenderedPageBreak/>
        <w:t xml:space="preserve">Proposed Resolution: </w:t>
      </w:r>
    </w:p>
    <w:p w:rsidR="00737D2D" w:rsidRDefault="00737D2D" w:rsidP="00737D2D">
      <w:pPr>
        <w:rPr>
          <w:b/>
          <w:bCs/>
          <w:u w:val="single"/>
        </w:rPr>
      </w:pPr>
    </w:p>
    <w:p w:rsidR="00386893" w:rsidRDefault="00387460" w:rsidP="00737D2D">
      <w:proofErr w:type="gramStart"/>
      <w:r>
        <w:t>Accepted.</w:t>
      </w:r>
      <w:proofErr w:type="gramEnd"/>
      <w:r>
        <w:t xml:space="preserve"> </w:t>
      </w:r>
    </w:p>
    <w:p w:rsidR="00386893" w:rsidRDefault="00386893" w:rsidP="00737D2D"/>
    <w:p w:rsidR="00737D2D" w:rsidRDefault="00387460" w:rsidP="00737D2D">
      <w:r>
        <w:t>Add a note to tables 20-30 to 20-44 with the following text:</w:t>
      </w:r>
    </w:p>
    <w:p w:rsidR="00386893" w:rsidRDefault="00386893" w:rsidP="00387460"/>
    <w:p w:rsidR="00387460" w:rsidRDefault="00387460" w:rsidP="00387460">
      <w:r>
        <w:t xml:space="preserve">“NOTE: The data rate numbers are rounded to the first digit </w:t>
      </w:r>
      <w:r w:rsidR="00390407">
        <w:t>place</w:t>
      </w:r>
      <w:r>
        <w:t xml:space="preserve"> purely for presentation purposes”. </w:t>
      </w:r>
    </w:p>
    <w:p w:rsidR="00390407" w:rsidRPr="00737D2D" w:rsidRDefault="00390407" w:rsidP="00390407">
      <w:pPr>
        <w:pStyle w:val="Heading1"/>
        <w:rPr>
          <w:u w:val="none"/>
        </w:rPr>
      </w:pPr>
      <w:r w:rsidRPr="00737D2D">
        <w:rPr>
          <w:u w:val="none"/>
        </w:rPr>
        <w:t xml:space="preserve">CID </w:t>
      </w:r>
      <w:r>
        <w:rPr>
          <w:u w:val="none"/>
        </w:rPr>
        <w:t>233</w:t>
      </w:r>
    </w:p>
    <w:p w:rsidR="00390407" w:rsidRDefault="00390407" w:rsidP="00387460"/>
    <w:p w:rsidR="00390407" w:rsidRPr="00737D2D" w:rsidRDefault="00390407" w:rsidP="00387460"/>
    <w:tbl>
      <w:tblPr>
        <w:tblStyle w:val="TableGrid"/>
        <w:tblW w:w="0" w:type="auto"/>
        <w:tblLook w:val="04A0" w:firstRow="1" w:lastRow="0" w:firstColumn="1" w:lastColumn="0" w:noHBand="0" w:noVBand="1"/>
      </w:tblPr>
      <w:tblGrid>
        <w:gridCol w:w="621"/>
        <w:gridCol w:w="3882"/>
        <w:gridCol w:w="3543"/>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3882" w:type="dxa"/>
            <w:hideMark/>
          </w:tcPr>
          <w:p w:rsidR="00390407" w:rsidRPr="00737D2D" w:rsidRDefault="00390407" w:rsidP="002918B3">
            <w:pPr>
              <w:rPr>
                <w:b/>
                <w:bCs/>
              </w:rPr>
            </w:pPr>
            <w:r w:rsidRPr="00737D2D">
              <w:rPr>
                <w:b/>
                <w:bCs/>
              </w:rPr>
              <w:t>Comment</w:t>
            </w:r>
          </w:p>
        </w:tc>
        <w:tc>
          <w:tcPr>
            <w:tcW w:w="3543" w:type="dxa"/>
            <w:hideMark/>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233</w:t>
            </w:r>
          </w:p>
          <w:p w:rsidR="00390407" w:rsidRPr="00390407" w:rsidRDefault="00390407" w:rsidP="00390407">
            <w:pPr>
              <w:rPr>
                <w:rFonts w:ascii="Arial" w:hAnsi="Arial" w:cs="Arial"/>
                <w:sz w:val="20"/>
              </w:rPr>
            </w:pPr>
          </w:p>
        </w:tc>
        <w:tc>
          <w:tcPr>
            <w:tcW w:w="3882" w:type="dxa"/>
            <w:hideMark/>
          </w:tcPr>
          <w:p w:rsidR="00390407" w:rsidRDefault="00390407" w:rsidP="00390407">
            <w:pPr>
              <w:rPr>
                <w:rFonts w:ascii="Arial" w:hAnsi="Arial" w:cs="Arial"/>
                <w:sz w:val="20"/>
              </w:rPr>
            </w:pPr>
            <w:r>
              <w:rPr>
                <w:rFonts w:ascii="Arial" w:hAnsi="Arial" w:cs="Arial"/>
                <w:sz w:val="20"/>
              </w:rPr>
              <w:t>What is the basic rate set is null (i.e. no non-HT rates are advertised)?  Can one assume the mandatory non-HT rates?  For both DSSS and OFDM?</w:t>
            </w:r>
          </w:p>
        </w:tc>
        <w:tc>
          <w:tcPr>
            <w:tcW w:w="3543" w:type="dxa"/>
            <w:hideMark/>
          </w:tcPr>
          <w:p w:rsidR="00390407" w:rsidRDefault="00390407" w:rsidP="002918B3">
            <w:pPr>
              <w:rPr>
                <w:rFonts w:ascii="Arial" w:hAnsi="Arial" w:cs="Arial"/>
                <w:sz w:val="20"/>
              </w:rPr>
            </w:pPr>
            <w:r>
              <w:rPr>
                <w:rFonts w:ascii="Arial" w:hAnsi="Arial" w:cs="Arial"/>
                <w:sz w:val="20"/>
              </w:rPr>
              <w:t>Clarify</w:t>
            </w:r>
          </w:p>
          <w:p w:rsidR="00390407" w:rsidRDefault="00390407" w:rsidP="002918B3">
            <w:pPr>
              <w:jc w:val="right"/>
              <w:rPr>
                <w:rFonts w:ascii="Arial" w:hAnsi="Arial" w:cs="Arial"/>
                <w:sz w:val="20"/>
              </w:rPr>
            </w:pP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386893" w:rsidRDefault="00390407" w:rsidP="00390407">
      <w:proofErr w:type="gramStart"/>
      <w:r>
        <w:t>Rejected.</w:t>
      </w:r>
      <w:proofErr w:type="gramEnd"/>
      <w:r>
        <w:t xml:space="preserve"> </w:t>
      </w:r>
    </w:p>
    <w:p w:rsidR="00386893" w:rsidRDefault="00386893" w:rsidP="00390407"/>
    <w:p w:rsidR="00390407" w:rsidRDefault="00386893" w:rsidP="00390407">
      <w:r>
        <w:t>N</w:t>
      </w:r>
      <w:r w:rsidR="00390407">
        <w:t>o reason for the additional rule – the AP should just advertise the basic rates it supports.</w:t>
      </w:r>
    </w:p>
    <w:p w:rsidR="00390407" w:rsidRDefault="00390407" w:rsidP="00390407"/>
    <w:p w:rsidR="00390407" w:rsidRDefault="00390407" w:rsidP="00390407">
      <w:pPr>
        <w:pStyle w:val="Heading1"/>
        <w:rPr>
          <w:u w:val="none"/>
        </w:rPr>
      </w:pPr>
      <w:r w:rsidRPr="00737D2D">
        <w:rPr>
          <w:u w:val="none"/>
        </w:rPr>
        <w:t xml:space="preserve">CID </w:t>
      </w:r>
      <w:r>
        <w:rPr>
          <w:u w:val="none"/>
        </w:rPr>
        <w:t>164</w:t>
      </w:r>
    </w:p>
    <w:p w:rsidR="00390407" w:rsidRDefault="00390407" w:rsidP="00390407"/>
    <w:tbl>
      <w:tblPr>
        <w:tblStyle w:val="TableGrid"/>
        <w:tblW w:w="0" w:type="auto"/>
        <w:tblLook w:val="04A0" w:firstRow="1" w:lastRow="0" w:firstColumn="1" w:lastColumn="0" w:noHBand="0" w:noVBand="1"/>
      </w:tblPr>
      <w:tblGrid>
        <w:gridCol w:w="621"/>
        <w:gridCol w:w="2599"/>
        <w:gridCol w:w="2599"/>
        <w:gridCol w:w="2599"/>
      </w:tblGrid>
      <w:tr w:rsidR="00390407" w:rsidRPr="00737D2D" w:rsidTr="00385CF0">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c>
          <w:tcPr>
            <w:tcW w:w="2599" w:type="dxa"/>
            <w:hideMark/>
          </w:tcPr>
          <w:p w:rsidR="00390407" w:rsidRDefault="00390407" w:rsidP="00390407">
            <w:pPr>
              <w:rPr>
                <w:rFonts w:ascii="Arial" w:hAnsi="Arial" w:cs="Arial"/>
                <w:b/>
                <w:bCs/>
                <w:sz w:val="20"/>
              </w:rPr>
            </w:pPr>
            <w:r>
              <w:rPr>
                <w:rFonts w:ascii="Arial" w:hAnsi="Arial" w:cs="Arial"/>
                <w:b/>
                <w:bCs/>
                <w:sz w:val="20"/>
              </w:rPr>
              <w:t>Resolution</w:t>
            </w:r>
          </w:p>
          <w:p w:rsidR="00390407" w:rsidRPr="00737D2D" w:rsidRDefault="00390407" w:rsidP="002918B3">
            <w:pPr>
              <w:rPr>
                <w:b/>
                <w:bCs/>
              </w:rPr>
            </w:pPr>
          </w:p>
        </w:tc>
      </w:tr>
      <w:tr w:rsidR="00390407" w:rsidRPr="00737D2D" w:rsidTr="00385CF0">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164</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"QoS data frame" or "QoS data MPDU"?  Does this refer to all frames of Type Data and Subtype 1000-1111, or all frames of Type Data and Subtype 1000-1011 (i.e. not QoS Null or immediate relatives), or all frames of Type Data and Subtype 1000 (i.e. not QoS Data + CF-anything)?  How does it differ from a "QoS Data frame" or "QoS Data MPDU"?</w:t>
            </w:r>
          </w:p>
        </w:tc>
        <w:tc>
          <w:tcPr>
            <w:tcW w:w="2599" w:type="dxa"/>
          </w:tcPr>
          <w:p w:rsidR="00390407" w:rsidRDefault="00390407" w:rsidP="002918B3">
            <w:pPr>
              <w:rPr>
                <w:rFonts w:ascii="Arial" w:hAnsi="Arial" w:cs="Arial"/>
                <w:sz w:val="20"/>
              </w:rPr>
            </w:pPr>
            <w:r>
              <w:rPr>
                <w:rFonts w:ascii="Arial" w:hAnsi="Arial" w:cs="Arial"/>
                <w:sz w:val="20"/>
              </w:rPr>
              <w:t>Clarify this and then make sure the term has been used correctly throughout the spec</w:t>
            </w:r>
          </w:p>
        </w:tc>
        <w:tc>
          <w:tcPr>
            <w:tcW w:w="2599" w:type="dxa"/>
            <w:hideMark/>
          </w:tcPr>
          <w:p w:rsidR="00390407" w:rsidRDefault="00390407" w:rsidP="00390407">
            <w:pPr>
              <w:rPr>
                <w:rFonts w:ascii="Arial" w:hAnsi="Arial" w:cs="Arial"/>
                <w:sz w:val="20"/>
              </w:rPr>
            </w:pPr>
            <w:r>
              <w:rPr>
                <w:rFonts w:ascii="Arial" w:hAnsi="Arial" w:cs="Arial"/>
                <w:sz w:val="20"/>
              </w:rPr>
              <w:t>REJECTED (GEN: 2013-01-15 07:32:33Z)</w:t>
            </w:r>
          </w:p>
          <w:p w:rsidR="00390407" w:rsidRDefault="00390407">
            <w:pPr>
              <w:rPr>
                <w:rFonts w:ascii="Arial" w:hAnsi="Arial" w:cs="Arial"/>
                <w:sz w:val="20"/>
              </w:rPr>
            </w:pPr>
          </w:p>
        </w:tc>
      </w:tr>
    </w:tbl>
    <w:p w:rsidR="00390407" w:rsidRPr="00390407" w:rsidRDefault="00390407" w:rsidP="00390407"/>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rFonts w:ascii="Arial" w:hAnsi="Arial" w:cs="Arial"/>
          <w:sz w:val="20"/>
        </w:rPr>
      </w:pPr>
    </w:p>
    <w:p w:rsidR="00BD3A49" w:rsidRDefault="00BD3A49" w:rsidP="00BD3A49">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Default="00BD3A49" w:rsidP="00BD3A49">
      <w:pPr>
        <w:rPr>
          <w:rFonts w:ascii="Arial" w:hAnsi="Arial" w:cs="Arial"/>
          <w:sz w:val="20"/>
        </w:rPr>
      </w:pPr>
    </w:p>
    <w:p w:rsidR="00BD3A49" w:rsidRPr="00BD3A49" w:rsidRDefault="00BD3A49" w:rsidP="00BD3A49">
      <w:pPr>
        <w:rPr>
          <w:rFonts w:ascii="Arial" w:hAnsi="Arial" w:cs="Arial"/>
          <w:sz w:val="20"/>
        </w:rPr>
      </w:pPr>
      <w:r>
        <w:rPr>
          <w:rFonts w:ascii="Arial" w:hAnsi="Arial" w:cs="Arial"/>
          <w:sz w:val="20"/>
        </w:rPr>
        <w:lastRenderedPageBreak/>
        <w:t>In general, it seems reasonable to consider all frames with type “data” to be data frames, regardless of the subtype. However to provide a definite answer all occurrences of “</w:t>
      </w:r>
      <w:r w:rsidR="002F5FE5">
        <w:rPr>
          <w:rFonts w:ascii="Arial" w:hAnsi="Arial" w:cs="Arial"/>
          <w:sz w:val="20"/>
        </w:rPr>
        <w:t xml:space="preserve">QoS </w:t>
      </w:r>
      <w:r>
        <w:rPr>
          <w:rFonts w:ascii="Arial" w:hAnsi="Arial" w:cs="Arial"/>
          <w:sz w:val="20"/>
        </w:rPr>
        <w:t>data frame” and “</w:t>
      </w:r>
      <w:r w:rsidR="002F5FE5">
        <w:rPr>
          <w:rFonts w:ascii="Arial" w:hAnsi="Arial" w:cs="Arial"/>
          <w:sz w:val="20"/>
        </w:rPr>
        <w:t xml:space="preserve">QoS </w:t>
      </w:r>
      <w:r>
        <w:rPr>
          <w:rFonts w:ascii="Arial" w:hAnsi="Arial" w:cs="Arial"/>
          <w:sz w:val="20"/>
        </w:rPr>
        <w:t>data MPDU” should be reviewed to see if they are also applicable to “no data” subtypes.</w:t>
      </w:r>
    </w:p>
    <w:p w:rsidR="00390407" w:rsidRDefault="00390407" w:rsidP="00390407">
      <w:pPr>
        <w:pStyle w:val="Heading1"/>
        <w:rPr>
          <w:u w:val="none"/>
        </w:rPr>
      </w:pPr>
      <w:r w:rsidRPr="00737D2D">
        <w:rPr>
          <w:u w:val="none"/>
        </w:rPr>
        <w:t xml:space="preserve">CID </w:t>
      </w:r>
      <w:r>
        <w:rPr>
          <w:u w:val="none"/>
        </w:rPr>
        <w:t>163</w:t>
      </w:r>
    </w:p>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390407">
            <w:pPr>
              <w:jc w:val="right"/>
              <w:rPr>
                <w:rFonts w:ascii="Arial" w:hAnsi="Arial" w:cs="Arial"/>
                <w:sz w:val="20"/>
              </w:rPr>
            </w:pPr>
            <w:r>
              <w:rPr>
                <w:rFonts w:ascii="Arial" w:hAnsi="Arial" w:cs="Arial"/>
                <w:sz w:val="20"/>
              </w:rPr>
              <w:t>163</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  How does it differ from a "data frame" or "data MPDU"?</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386893">
      <w:pPr>
        <w:rPr>
          <w:rFonts w:ascii="Arial" w:hAnsi="Arial" w:cs="Arial"/>
          <w:sz w:val="20"/>
        </w:rPr>
      </w:pPr>
    </w:p>
    <w:p w:rsidR="00386893" w:rsidRDefault="00386893" w:rsidP="00386893">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386893" w:rsidRDefault="00386893" w:rsidP="00386893">
      <w:pPr>
        <w:rPr>
          <w:rFonts w:ascii="Arial" w:hAnsi="Arial" w:cs="Arial"/>
          <w:sz w:val="20"/>
        </w:rPr>
      </w:pPr>
    </w:p>
    <w:p w:rsidR="00386893" w:rsidRPr="00BD3A49" w:rsidRDefault="00386893" w:rsidP="00BD3A49">
      <w:pPr>
        <w:rPr>
          <w:rFonts w:ascii="Arial" w:hAnsi="Arial" w:cs="Arial"/>
          <w:sz w:val="20"/>
        </w:rPr>
      </w:pPr>
      <w:r w:rsidRPr="00BD3A49">
        <w:rPr>
          <w:rFonts w:ascii="Arial" w:hAnsi="Arial" w:cs="Arial"/>
          <w:sz w:val="20"/>
        </w:rPr>
        <w:t>T</w:t>
      </w:r>
      <w:r w:rsidR="00BD3A49" w:rsidRPr="00BD3A49">
        <w:rPr>
          <w:rFonts w:ascii="Arial" w:hAnsi="Arial" w:cs="Arial"/>
          <w:sz w:val="20"/>
        </w:rPr>
        <w:t xml:space="preserve">he commenter doesn’t indicate </w:t>
      </w:r>
      <w:r w:rsidRPr="00BD3A49">
        <w:rPr>
          <w:rFonts w:ascii="Arial" w:hAnsi="Arial" w:cs="Arial"/>
          <w:sz w:val="20"/>
        </w:rPr>
        <w:t xml:space="preserve">specific changes that would satisfy </w:t>
      </w:r>
      <w:r w:rsidR="00BD3A49" w:rsidRPr="00BD3A49">
        <w:rPr>
          <w:rFonts w:ascii="Arial" w:hAnsi="Arial" w:cs="Arial"/>
          <w:sz w:val="20"/>
        </w:rPr>
        <w:t xml:space="preserve">his </w:t>
      </w:r>
      <w:r w:rsidRPr="00BD3A49">
        <w:rPr>
          <w:rFonts w:ascii="Arial" w:hAnsi="Arial" w:cs="Arial"/>
          <w:sz w:val="20"/>
        </w:rPr>
        <w:t>comment.</w:t>
      </w:r>
    </w:p>
    <w:p w:rsidR="00386893" w:rsidRDefault="00386893" w:rsidP="00390407"/>
    <w:p w:rsidR="00BD3A49" w:rsidRPr="00BD3A49" w:rsidRDefault="00BD3A49" w:rsidP="002F5FE5">
      <w:pPr>
        <w:rPr>
          <w:rFonts w:ascii="Arial" w:hAnsi="Arial" w:cs="Arial"/>
          <w:sz w:val="20"/>
        </w:rPr>
      </w:pPr>
      <w:r>
        <w:rPr>
          <w:rFonts w:ascii="Arial" w:hAnsi="Arial" w:cs="Arial"/>
          <w:sz w:val="20"/>
        </w:rPr>
        <w:t>In general, it seems reasonable to consider all frames with type “data” to be data frames, regardless of the subtype. However to provide a definite answer all occurrences of “</w:t>
      </w:r>
      <w:r w:rsidR="002F5FE5">
        <w:rPr>
          <w:rFonts w:ascii="Arial" w:hAnsi="Arial" w:cs="Arial"/>
          <w:sz w:val="20"/>
        </w:rPr>
        <w:t>D</w:t>
      </w:r>
      <w:r>
        <w:rPr>
          <w:rFonts w:ascii="Arial" w:hAnsi="Arial" w:cs="Arial"/>
          <w:sz w:val="20"/>
        </w:rPr>
        <w:t>ata frame” and “</w:t>
      </w:r>
      <w:r w:rsidR="002F5FE5">
        <w:rPr>
          <w:rFonts w:ascii="Arial" w:hAnsi="Arial" w:cs="Arial"/>
          <w:sz w:val="20"/>
        </w:rPr>
        <w:t>D</w:t>
      </w:r>
      <w:r>
        <w:rPr>
          <w:rFonts w:ascii="Arial" w:hAnsi="Arial" w:cs="Arial"/>
          <w:sz w:val="20"/>
        </w:rPr>
        <w:t>ata MPDU” should be reviewed to see if they are also applicable to “no data” subtypes.</w:t>
      </w:r>
    </w:p>
    <w:p w:rsidR="00BD3A49" w:rsidRPr="00390407" w:rsidRDefault="00BD3A49" w:rsidP="00390407"/>
    <w:p w:rsidR="00390407" w:rsidRDefault="00390407" w:rsidP="00390407">
      <w:pPr>
        <w:pStyle w:val="Heading1"/>
        <w:rPr>
          <w:u w:val="none"/>
        </w:rPr>
      </w:pPr>
      <w:r w:rsidRPr="00737D2D">
        <w:rPr>
          <w:u w:val="none"/>
        </w:rPr>
        <w:t xml:space="preserve">CID </w:t>
      </w:r>
      <w:r>
        <w:rPr>
          <w:u w:val="none"/>
        </w:rPr>
        <w:t>162</w:t>
      </w:r>
    </w:p>
    <w:p w:rsidR="00390407" w:rsidRPr="00390407" w:rsidRDefault="00390407" w:rsidP="00390407"/>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162</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BD3A49" w:rsidRDefault="00BD3A49" w:rsidP="00BD3A49">
      <w:pPr>
        <w:rPr>
          <w:rFonts w:ascii="Arial" w:hAnsi="Arial" w:cs="Arial"/>
          <w:sz w:val="20"/>
        </w:rPr>
      </w:pPr>
    </w:p>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Pr="00BD3A49" w:rsidRDefault="00BD3A49" w:rsidP="00BD3A49">
      <w:pPr>
        <w:rPr>
          <w:rFonts w:ascii="Arial" w:hAnsi="Arial" w:cs="Arial"/>
          <w:sz w:val="20"/>
        </w:rPr>
      </w:pPr>
      <w:r>
        <w:rPr>
          <w:rFonts w:ascii="Arial" w:hAnsi="Arial" w:cs="Arial"/>
          <w:sz w:val="20"/>
        </w:rPr>
        <w:t>In general, it seems reasonable to consider all frames with type “data” to be data frames, regardless of the subtype. However to provide a definite answer all occurrences of “data frame” and “data MPDU” should be reviewed to see if they are also applicable to “no data” subtypes.</w:t>
      </w:r>
    </w:p>
    <w:p w:rsidR="00BD3A49" w:rsidRPr="00BD3A49" w:rsidRDefault="00BD3A49" w:rsidP="00BD3A49">
      <w:pPr>
        <w:rPr>
          <w:rFonts w:ascii="Arial" w:hAnsi="Arial" w:cs="Arial"/>
          <w:sz w:val="20"/>
        </w:rPr>
      </w:pPr>
    </w:p>
    <w:p w:rsidR="00390407" w:rsidRDefault="00390407" w:rsidP="00390407">
      <w:pPr>
        <w:pStyle w:val="Heading1"/>
        <w:rPr>
          <w:u w:val="none"/>
        </w:rPr>
      </w:pPr>
      <w:r w:rsidRPr="00737D2D">
        <w:rPr>
          <w:u w:val="none"/>
        </w:rPr>
        <w:t xml:space="preserve">CID </w:t>
      </w:r>
      <w:r>
        <w:rPr>
          <w:u w:val="none"/>
        </w:rPr>
        <w:t>122</w:t>
      </w:r>
    </w:p>
    <w:tbl>
      <w:tblPr>
        <w:tblStyle w:val="TableGrid"/>
        <w:tblW w:w="0" w:type="auto"/>
        <w:tblLook w:val="04A0" w:firstRow="1" w:lastRow="0" w:firstColumn="1" w:lastColumn="0" w:noHBand="0" w:noVBand="1"/>
      </w:tblPr>
      <w:tblGrid>
        <w:gridCol w:w="621"/>
        <w:gridCol w:w="4165"/>
        <w:gridCol w:w="2977"/>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4165" w:type="dxa"/>
            <w:hideMark/>
          </w:tcPr>
          <w:p w:rsidR="00390407" w:rsidRPr="00737D2D" w:rsidRDefault="00390407" w:rsidP="002918B3">
            <w:pPr>
              <w:rPr>
                <w:b/>
                <w:bCs/>
              </w:rPr>
            </w:pPr>
            <w:r w:rsidRPr="00737D2D">
              <w:rPr>
                <w:b/>
                <w:bCs/>
              </w:rPr>
              <w:t>Comment</w:t>
            </w:r>
          </w:p>
        </w:tc>
        <w:tc>
          <w:tcPr>
            <w:tcW w:w="2977" w:type="dxa"/>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122</w:t>
            </w:r>
          </w:p>
          <w:p w:rsidR="00390407" w:rsidRPr="00390407" w:rsidRDefault="00390407" w:rsidP="002918B3">
            <w:pPr>
              <w:rPr>
                <w:rFonts w:ascii="Arial" w:hAnsi="Arial" w:cs="Arial"/>
                <w:sz w:val="20"/>
              </w:rPr>
            </w:pPr>
          </w:p>
        </w:tc>
        <w:tc>
          <w:tcPr>
            <w:tcW w:w="4165" w:type="dxa"/>
            <w:hideMark/>
          </w:tcPr>
          <w:p w:rsidR="00390407" w:rsidRDefault="00390407">
            <w:pPr>
              <w:rPr>
                <w:rFonts w:ascii="Arial" w:hAnsi="Arial" w:cs="Arial"/>
                <w:sz w:val="20"/>
              </w:rPr>
            </w:pPr>
            <w:r>
              <w:rPr>
                <w:rFonts w:ascii="Arial" w:hAnsi="Arial" w:cs="Arial"/>
                <w:sz w:val="20"/>
              </w:rPr>
              <w:t xml:space="preserve">It's not clear enough what the meaning of the PM bit in an MPDU for which this bit is reserved is.  Is it "must be 0 on </w:t>
            </w:r>
            <w:proofErr w:type="spellStart"/>
            <w:r>
              <w:rPr>
                <w:rFonts w:ascii="Arial" w:hAnsi="Arial" w:cs="Arial"/>
                <w:sz w:val="20"/>
              </w:rPr>
              <w:t>tx</w:t>
            </w:r>
            <w:proofErr w:type="spellEnd"/>
            <w:r>
              <w:rPr>
                <w:rFonts w:ascii="Arial" w:hAnsi="Arial" w:cs="Arial"/>
                <w:sz w:val="20"/>
              </w:rPr>
              <w:t xml:space="preserve"> and therefore indicates active mode" or is it "must be 0 on </w:t>
            </w:r>
            <w:proofErr w:type="spellStart"/>
            <w:r>
              <w:rPr>
                <w:rFonts w:ascii="Arial" w:hAnsi="Arial" w:cs="Arial"/>
                <w:sz w:val="20"/>
              </w:rPr>
              <w:t>tx</w:t>
            </w:r>
            <w:proofErr w:type="spellEnd"/>
            <w:r>
              <w:rPr>
                <w:rFonts w:ascii="Arial" w:hAnsi="Arial" w:cs="Arial"/>
                <w:sz w:val="20"/>
              </w:rPr>
              <w:t xml:space="preserve"> and must be ignored on </w:t>
            </w:r>
            <w:proofErr w:type="spellStart"/>
            <w:r>
              <w:rPr>
                <w:rFonts w:ascii="Arial" w:hAnsi="Arial" w:cs="Arial"/>
                <w:sz w:val="20"/>
              </w:rPr>
              <w:t>rx</w:t>
            </w:r>
            <w:proofErr w:type="spellEnd"/>
            <w:r>
              <w:rPr>
                <w:rFonts w:ascii="Arial" w:hAnsi="Arial" w:cs="Arial"/>
                <w:sz w:val="20"/>
              </w:rPr>
              <w:t xml:space="preserve"> such that the power management mode is unchanged"?</w:t>
            </w:r>
          </w:p>
        </w:tc>
        <w:tc>
          <w:tcPr>
            <w:tcW w:w="2977" w:type="dxa"/>
          </w:tcPr>
          <w:p w:rsidR="00390407" w:rsidRDefault="00390407">
            <w:pPr>
              <w:rPr>
                <w:rFonts w:ascii="Arial" w:hAnsi="Arial" w:cs="Arial"/>
                <w:sz w:val="20"/>
              </w:rPr>
            </w:pPr>
            <w:r>
              <w:rPr>
                <w:rFonts w:ascii="Arial" w:hAnsi="Arial" w:cs="Arial"/>
                <w:sz w:val="20"/>
              </w:rPr>
              <w:t>Make it clear</w:t>
            </w: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2F5FE5" w:rsidRDefault="002F5FE5" w:rsidP="00610B26">
      <w:proofErr w:type="gramStart"/>
      <w:r>
        <w:t>Rejected.</w:t>
      </w:r>
      <w:proofErr w:type="gramEnd"/>
    </w:p>
    <w:p w:rsidR="002F5FE5" w:rsidRDefault="002F5FE5" w:rsidP="00610B26"/>
    <w:p w:rsidR="002F5FE5" w:rsidRDefault="002F5FE5" w:rsidP="002F5FE5">
      <w:r>
        <w:t>Clause 8.2.2 already defines this by specifying: “</w:t>
      </w:r>
      <w:r w:rsidRPr="002F5FE5">
        <w:t>Reserved fields and subfields are set to 0 upon transmission and are ignored upon reception</w:t>
      </w:r>
      <w:r>
        <w:t>”</w:t>
      </w:r>
    </w:p>
    <w:p w:rsidR="00390407" w:rsidRDefault="00390407" w:rsidP="00390407">
      <w:pPr>
        <w:pStyle w:val="Heading1"/>
        <w:rPr>
          <w:u w:val="none"/>
        </w:rPr>
      </w:pPr>
      <w:r w:rsidRPr="00737D2D">
        <w:rPr>
          <w:u w:val="none"/>
        </w:rPr>
        <w:t xml:space="preserve">CID </w:t>
      </w:r>
      <w:r>
        <w:rPr>
          <w:u w:val="none"/>
        </w:rPr>
        <w:t>121</w:t>
      </w:r>
    </w:p>
    <w:tbl>
      <w:tblPr>
        <w:tblStyle w:val="TableGrid"/>
        <w:tblW w:w="0" w:type="auto"/>
        <w:tblLook w:val="04A0" w:firstRow="1" w:lastRow="0" w:firstColumn="1" w:lastColumn="0" w:noHBand="0" w:noVBand="1"/>
      </w:tblPr>
      <w:tblGrid>
        <w:gridCol w:w="621"/>
        <w:gridCol w:w="3598"/>
        <w:gridCol w:w="3544"/>
      </w:tblGrid>
      <w:tr w:rsidR="00BD3A49" w:rsidRPr="00737D2D" w:rsidTr="00004995">
        <w:trPr>
          <w:trHeight w:val="765"/>
        </w:trPr>
        <w:tc>
          <w:tcPr>
            <w:tcW w:w="621" w:type="dxa"/>
            <w:hideMark/>
          </w:tcPr>
          <w:p w:rsidR="00BD3A49" w:rsidRPr="00737D2D" w:rsidRDefault="00BD3A49" w:rsidP="002918B3">
            <w:pPr>
              <w:rPr>
                <w:b/>
                <w:bCs/>
              </w:rPr>
            </w:pPr>
            <w:r w:rsidRPr="00737D2D">
              <w:rPr>
                <w:b/>
                <w:bCs/>
              </w:rPr>
              <w:t>CID</w:t>
            </w:r>
          </w:p>
        </w:tc>
        <w:tc>
          <w:tcPr>
            <w:tcW w:w="3598" w:type="dxa"/>
            <w:hideMark/>
          </w:tcPr>
          <w:p w:rsidR="00BD3A49" w:rsidRPr="00737D2D" w:rsidRDefault="00BD3A49" w:rsidP="002918B3">
            <w:pPr>
              <w:rPr>
                <w:b/>
                <w:bCs/>
              </w:rPr>
            </w:pPr>
            <w:r w:rsidRPr="00737D2D">
              <w:rPr>
                <w:b/>
                <w:bCs/>
              </w:rPr>
              <w:t>Comment</w:t>
            </w:r>
          </w:p>
        </w:tc>
        <w:tc>
          <w:tcPr>
            <w:tcW w:w="3544" w:type="dxa"/>
          </w:tcPr>
          <w:p w:rsidR="00BD3A49" w:rsidRPr="00737D2D" w:rsidRDefault="00BD3A49" w:rsidP="002918B3">
            <w:pPr>
              <w:rPr>
                <w:b/>
                <w:bCs/>
              </w:rPr>
            </w:pPr>
            <w:r w:rsidRPr="00737D2D">
              <w:rPr>
                <w:b/>
                <w:bCs/>
              </w:rPr>
              <w:t>Proposed Change</w:t>
            </w:r>
          </w:p>
        </w:tc>
      </w:tr>
      <w:tr w:rsidR="00004995" w:rsidRPr="00737D2D" w:rsidTr="00004995">
        <w:trPr>
          <w:trHeight w:val="1275"/>
        </w:trPr>
        <w:tc>
          <w:tcPr>
            <w:tcW w:w="621" w:type="dxa"/>
            <w:hideMark/>
          </w:tcPr>
          <w:p w:rsidR="00004995" w:rsidRDefault="00004995" w:rsidP="002918B3">
            <w:pPr>
              <w:jc w:val="right"/>
              <w:rPr>
                <w:rFonts w:ascii="Arial" w:hAnsi="Arial" w:cs="Arial"/>
                <w:sz w:val="20"/>
              </w:rPr>
            </w:pPr>
            <w:r>
              <w:rPr>
                <w:rFonts w:ascii="Arial" w:hAnsi="Arial" w:cs="Arial"/>
                <w:sz w:val="20"/>
              </w:rPr>
              <w:t>121</w:t>
            </w:r>
          </w:p>
          <w:p w:rsidR="00004995" w:rsidRPr="00390407" w:rsidRDefault="00004995" w:rsidP="002918B3">
            <w:pPr>
              <w:rPr>
                <w:rFonts w:ascii="Arial" w:hAnsi="Arial" w:cs="Arial"/>
                <w:sz w:val="20"/>
              </w:rPr>
            </w:pPr>
          </w:p>
        </w:tc>
        <w:tc>
          <w:tcPr>
            <w:tcW w:w="3598" w:type="dxa"/>
            <w:hideMark/>
          </w:tcPr>
          <w:p w:rsidR="00004995" w:rsidRDefault="00004995">
            <w:pPr>
              <w:rPr>
                <w:rFonts w:ascii="Arial" w:hAnsi="Arial" w:cs="Arial"/>
                <w:sz w:val="20"/>
              </w:rPr>
            </w:pPr>
            <w:r>
              <w:rPr>
                <w:rFonts w:ascii="Arial" w:hAnsi="Arial" w:cs="Arial"/>
                <w:sz w:val="20"/>
              </w:rPr>
              <w:t>It's not clear enough which Control MPDUs have non-reserved PM bits and when.  Note for example that 8.2.4.1.7 implies the PM bit in ACKs sent by a non-AP STA are not reserved</w:t>
            </w:r>
          </w:p>
        </w:tc>
        <w:tc>
          <w:tcPr>
            <w:tcW w:w="3544" w:type="dxa"/>
          </w:tcPr>
          <w:p w:rsidR="00004995" w:rsidRDefault="00004995">
            <w:pPr>
              <w:rPr>
                <w:rFonts w:ascii="Arial" w:hAnsi="Arial" w:cs="Arial"/>
                <w:sz w:val="20"/>
              </w:rPr>
            </w:pPr>
            <w:r>
              <w:rPr>
                <w:rFonts w:ascii="Arial" w:hAnsi="Arial" w:cs="Arial"/>
                <w:sz w:val="20"/>
              </w:rPr>
              <w:t>Make it clear</w:t>
            </w:r>
          </w:p>
        </w:tc>
      </w:tr>
    </w:tbl>
    <w:p w:rsidR="00390407" w:rsidRP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1E20C8" w:rsidP="00BD3A49">
      <w:pPr>
        <w:rPr>
          <w:rFonts w:ascii="Arial" w:hAnsi="Arial" w:cs="Arial"/>
          <w:sz w:val="20"/>
        </w:rPr>
      </w:pPr>
      <w:proofErr w:type="gramStart"/>
      <w:r>
        <w:rPr>
          <w:rFonts w:ascii="Arial" w:hAnsi="Arial" w:cs="Arial"/>
          <w:sz w:val="20"/>
        </w:rPr>
        <w:t>Revised.</w:t>
      </w:r>
      <w:proofErr w:type="gramEnd"/>
    </w:p>
    <w:p w:rsidR="00BD3A49" w:rsidRDefault="00BD3A49" w:rsidP="00BD3A49">
      <w:pPr>
        <w:rPr>
          <w:rFonts w:ascii="Arial" w:hAnsi="Arial" w:cs="Arial"/>
          <w:sz w:val="20"/>
        </w:rPr>
      </w:pPr>
    </w:p>
    <w:p w:rsidR="00F94953" w:rsidRDefault="00F94953" w:rsidP="00DA5DE4">
      <w:pPr>
        <w:rPr>
          <w:rFonts w:ascii="Arial" w:hAnsi="Arial" w:cs="Arial"/>
          <w:sz w:val="20"/>
        </w:rPr>
      </w:pPr>
      <w:r>
        <w:rPr>
          <w:rFonts w:ascii="Arial" w:hAnsi="Arial" w:cs="Arial"/>
          <w:sz w:val="20"/>
        </w:rPr>
        <w:t xml:space="preserve">10.2.1.1 </w:t>
      </w:r>
      <w:proofErr w:type="gramStart"/>
      <w:r>
        <w:rPr>
          <w:rFonts w:ascii="Arial" w:hAnsi="Arial" w:cs="Arial"/>
          <w:sz w:val="20"/>
        </w:rPr>
        <w:t>states</w:t>
      </w:r>
      <w:proofErr w:type="gramEnd"/>
      <w:r>
        <w:rPr>
          <w:rFonts w:ascii="Arial" w:hAnsi="Arial" w:cs="Arial"/>
          <w:sz w:val="20"/>
        </w:rPr>
        <w:t>:</w:t>
      </w:r>
    </w:p>
    <w:p w:rsidR="00F94953" w:rsidRDefault="00F94953" w:rsidP="00DA5DE4">
      <w:pPr>
        <w:rPr>
          <w:rFonts w:ascii="Arial" w:hAnsi="Arial" w:cs="Arial"/>
          <w:sz w:val="20"/>
        </w:rPr>
      </w:pPr>
    </w:p>
    <w:p w:rsidR="00F94953" w:rsidRDefault="00F94953" w:rsidP="00F94953">
      <w:pPr>
        <w:rPr>
          <w:rFonts w:ascii="Arial" w:hAnsi="Arial" w:cs="Arial"/>
          <w:sz w:val="20"/>
        </w:rPr>
      </w:pPr>
      <w:r>
        <w:rPr>
          <w:rFonts w:ascii="Arial" w:hAnsi="Arial" w:cs="Arial"/>
          <w:sz w:val="20"/>
        </w:rPr>
        <w:t>“</w:t>
      </w:r>
      <w:r w:rsidRPr="00F94953">
        <w:rPr>
          <w:rFonts w:ascii="Arial" w:hAnsi="Arial" w:cs="Arial"/>
          <w:sz w:val="20"/>
        </w:rPr>
        <w:t>A STA shall remain in its current Power Management</w:t>
      </w:r>
      <w:r>
        <w:rPr>
          <w:rFonts w:ascii="Arial" w:hAnsi="Arial" w:cs="Arial"/>
          <w:sz w:val="20"/>
        </w:rPr>
        <w:t xml:space="preserve"> </w:t>
      </w:r>
      <w:r w:rsidRPr="00F94953">
        <w:rPr>
          <w:rFonts w:ascii="Arial" w:hAnsi="Arial" w:cs="Arial"/>
          <w:sz w:val="20"/>
        </w:rPr>
        <w:t>mode until it informs the AP of a Power Management mode change via a frame exchange that includes an</w:t>
      </w:r>
      <w:r>
        <w:rPr>
          <w:rFonts w:ascii="Arial" w:hAnsi="Arial" w:cs="Arial"/>
          <w:sz w:val="20"/>
        </w:rPr>
        <w:t xml:space="preserve"> </w:t>
      </w:r>
      <w:r w:rsidRPr="00F94953">
        <w:rPr>
          <w:rFonts w:ascii="Arial" w:hAnsi="Arial" w:cs="Arial"/>
          <w:sz w:val="20"/>
        </w:rPr>
        <w:t xml:space="preserve">acknowledgment </w:t>
      </w:r>
      <w:r>
        <w:rPr>
          <w:rFonts w:ascii="Arial" w:hAnsi="Arial" w:cs="Arial"/>
          <w:sz w:val="20"/>
        </w:rPr>
        <w:t>f</w:t>
      </w:r>
      <w:r w:rsidRPr="00F94953">
        <w:rPr>
          <w:rFonts w:ascii="Arial" w:hAnsi="Arial" w:cs="Arial"/>
          <w:sz w:val="20"/>
        </w:rPr>
        <w:t>rom the AP</w:t>
      </w:r>
      <w:r>
        <w:rPr>
          <w:rFonts w:ascii="Arial" w:hAnsi="Arial" w:cs="Arial"/>
          <w:sz w:val="20"/>
        </w:rPr>
        <w:t>”</w:t>
      </w:r>
    </w:p>
    <w:p w:rsidR="00F94953" w:rsidRDefault="00F94953" w:rsidP="00F94953">
      <w:pPr>
        <w:rPr>
          <w:rFonts w:ascii="Arial" w:hAnsi="Arial" w:cs="Arial"/>
          <w:sz w:val="20"/>
        </w:rPr>
      </w:pPr>
    </w:p>
    <w:p w:rsidR="00F94953" w:rsidRDefault="00F94953" w:rsidP="00F94953">
      <w:pPr>
        <w:rPr>
          <w:rFonts w:ascii="Arial" w:hAnsi="Arial" w:cs="Arial"/>
          <w:sz w:val="20"/>
        </w:rPr>
      </w:pPr>
      <w:r>
        <w:rPr>
          <w:rFonts w:ascii="Arial" w:hAnsi="Arial" w:cs="Arial"/>
          <w:sz w:val="20"/>
        </w:rPr>
        <w:t xml:space="preserve">From which it can be derived that the PM </w:t>
      </w:r>
      <w:proofErr w:type="gramStart"/>
      <w:r>
        <w:rPr>
          <w:rFonts w:ascii="Arial" w:hAnsi="Arial" w:cs="Arial"/>
          <w:sz w:val="20"/>
        </w:rPr>
        <w:t>field</w:t>
      </w:r>
      <w:proofErr w:type="gramEnd"/>
      <w:r>
        <w:rPr>
          <w:rFonts w:ascii="Arial" w:hAnsi="Arial" w:cs="Arial"/>
          <w:sz w:val="20"/>
        </w:rPr>
        <w:t xml:space="preserve"> should be reserved in frame exchanges other than this (i.e. without AP ACK). However 8.2.4.1.7 does not consider this case in its set of rules, which results in problematic </w:t>
      </w:r>
      <w:proofErr w:type="spellStart"/>
      <w:r>
        <w:rPr>
          <w:rFonts w:ascii="Arial" w:hAnsi="Arial" w:cs="Arial"/>
          <w:sz w:val="20"/>
        </w:rPr>
        <w:t>behavior</w:t>
      </w:r>
      <w:proofErr w:type="spellEnd"/>
      <w:r>
        <w:rPr>
          <w:rFonts w:ascii="Arial" w:hAnsi="Arial" w:cs="Arial"/>
          <w:sz w:val="20"/>
        </w:rPr>
        <w:t xml:space="preserve"> when only these rules are considered.</w:t>
      </w:r>
    </w:p>
    <w:p w:rsidR="00F94953" w:rsidRDefault="00F94953" w:rsidP="00F94953">
      <w:pPr>
        <w:rPr>
          <w:rFonts w:ascii="Arial" w:hAnsi="Arial" w:cs="Arial"/>
          <w:sz w:val="20"/>
        </w:rPr>
      </w:pPr>
    </w:p>
    <w:p w:rsidR="007F4EF0" w:rsidRDefault="00F94953" w:rsidP="00F94953">
      <w:pPr>
        <w:rPr>
          <w:rFonts w:ascii="Arial" w:hAnsi="Arial" w:cs="Arial"/>
          <w:sz w:val="20"/>
        </w:rPr>
      </w:pPr>
      <w:r>
        <w:rPr>
          <w:rFonts w:ascii="Arial" w:hAnsi="Arial" w:cs="Arial"/>
          <w:sz w:val="20"/>
        </w:rPr>
        <w:t>A</w:t>
      </w:r>
      <w:r w:rsidR="007F4EF0">
        <w:rPr>
          <w:rFonts w:ascii="Arial" w:hAnsi="Arial" w:cs="Arial"/>
          <w:sz w:val="20"/>
        </w:rPr>
        <w:t xml:space="preserve">ccording to 8.2.4.1.7, the station may not change the PM bit in a frame exchange sequence. Therefore for a STA in power save mode, it should set the bit to zero when </w:t>
      </w:r>
      <w:proofErr w:type="spellStart"/>
      <w:r w:rsidR="007F4EF0">
        <w:rPr>
          <w:rFonts w:ascii="Arial" w:hAnsi="Arial" w:cs="Arial"/>
          <w:sz w:val="20"/>
        </w:rPr>
        <w:t>ACKing</w:t>
      </w:r>
      <w:proofErr w:type="spellEnd"/>
      <w:r w:rsidR="007F4EF0">
        <w:rPr>
          <w:rFonts w:ascii="Arial" w:hAnsi="Arial" w:cs="Arial"/>
          <w:sz w:val="20"/>
        </w:rPr>
        <w:t xml:space="preserve"> a </w:t>
      </w:r>
      <w:r w:rsidR="00DA5DE4">
        <w:rPr>
          <w:rFonts w:ascii="Arial" w:hAnsi="Arial" w:cs="Arial"/>
          <w:sz w:val="20"/>
        </w:rPr>
        <w:t xml:space="preserve">data </w:t>
      </w:r>
      <w:r w:rsidR="007F4EF0">
        <w:rPr>
          <w:rFonts w:ascii="Arial" w:hAnsi="Arial" w:cs="Arial"/>
          <w:sz w:val="20"/>
        </w:rPr>
        <w:t>frame received from the AP</w:t>
      </w:r>
      <w:r w:rsidR="00DA5DE4">
        <w:rPr>
          <w:rFonts w:ascii="Arial" w:hAnsi="Arial" w:cs="Arial"/>
          <w:sz w:val="20"/>
        </w:rPr>
        <w:t xml:space="preserve"> (as the AP set it to zero in the date frame). And, since the bit is not reserved, the AP should interpret it as the STA leaving power mode even if this was not the STA’s intention.</w:t>
      </w:r>
    </w:p>
    <w:p w:rsidR="00F94953" w:rsidRDefault="00F94953" w:rsidP="00F94953">
      <w:pPr>
        <w:rPr>
          <w:rFonts w:ascii="Arial" w:hAnsi="Arial" w:cs="Arial"/>
          <w:sz w:val="20"/>
        </w:rPr>
      </w:pPr>
    </w:p>
    <w:p w:rsidR="00F94953" w:rsidRDefault="00F94953" w:rsidP="00F94953">
      <w:pPr>
        <w:rPr>
          <w:rFonts w:ascii="Arial" w:hAnsi="Arial" w:cs="Arial"/>
          <w:sz w:val="20"/>
        </w:rPr>
      </w:pPr>
      <w:r>
        <w:rPr>
          <w:rFonts w:ascii="Arial" w:hAnsi="Arial" w:cs="Arial"/>
          <w:sz w:val="20"/>
        </w:rPr>
        <w:t>The proposed solution adds the missing rule to 8.2.4.17.</w:t>
      </w:r>
    </w:p>
    <w:p w:rsidR="007F4EF0" w:rsidRDefault="007F4EF0" w:rsidP="00004995">
      <w:pPr>
        <w:rPr>
          <w:rFonts w:ascii="Arial" w:hAnsi="Arial" w:cs="Arial"/>
          <w:sz w:val="20"/>
        </w:rPr>
      </w:pPr>
    </w:p>
    <w:p w:rsidR="00004995" w:rsidRDefault="00004995" w:rsidP="00004995">
      <w:pPr>
        <w:rPr>
          <w:rFonts w:ascii="Arial" w:hAnsi="Arial" w:cs="Arial"/>
          <w:sz w:val="20"/>
        </w:rPr>
      </w:pPr>
      <w:r>
        <w:rPr>
          <w:rFonts w:ascii="Arial" w:hAnsi="Arial" w:cs="Arial"/>
          <w:sz w:val="20"/>
        </w:rPr>
        <w:t>Modify text 8.2.4.1.7 as follows:</w:t>
      </w:r>
    </w:p>
    <w:p w:rsidR="00004995" w:rsidRDefault="00004995" w:rsidP="00004995">
      <w:pPr>
        <w:rPr>
          <w:rFonts w:ascii="Arial" w:hAnsi="Arial" w:cs="Arial"/>
          <w:sz w:val="20"/>
        </w:rPr>
      </w:pPr>
    </w:p>
    <w:p w:rsidR="00004995" w:rsidRPr="00004995" w:rsidRDefault="00004995" w:rsidP="00004995">
      <w:pPr>
        <w:rPr>
          <w:rFonts w:ascii="Arial" w:hAnsi="Arial" w:cs="Arial"/>
          <w:sz w:val="20"/>
        </w:rPr>
      </w:pPr>
      <w:r w:rsidRPr="00004995">
        <w:rPr>
          <w:rFonts w:ascii="Arial" w:hAnsi="Arial" w:cs="Arial"/>
          <w:sz w:val="20"/>
        </w:rPr>
        <w:t xml:space="preserve">—     The  Power  Management  field  is  reserved  in  all  management  frames  that  are  not  </w:t>
      </w:r>
      <w:proofErr w:type="spellStart"/>
      <w:r w:rsidRPr="00004995">
        <w:rPr>
          <w:rFonts w:ascii="Arial" w:hAnsi="Arial" w:cs="Arial"/>
          <w:sz w:val="20"/>
        </w:rPr>
        <w:t>bufferable</w:t>
      </w:r>
      <w:proofErr w:type="spellEnd"/>
    </w:p>
    <w:p w:rsidR="00004995" w:rsidRPr="00004995" w:rsidRDefault="00004995" w:rsidP="00004995">
      <w:pPr>
        <w:rPr>
          <w:rFonts w:ascii="Arial" w:hAnsi="Arial" w:cs="Arial"/>
          <w:sz w:val="20"/>
        </w:rPr>
      </w:pPr>
      <w:proofErr w:type="gramStart"/>
      <w:r w:rsidRPr="00004995">
        <w:rPr>
          <w:rFonts w:ascii="Arial" w:hAnsi="Arial" w:cs="Arial"/>
          <w:sz w:val="20"/>
        </w:rPr>
        <w:lastRenderedPageBreak/>
        <w:t>management</w:t>
      </w:r>
      <w:proofErr w:type="gramEnd"/>
      <w:r w:rsidRPr="00004995">
        <w:rPr>
          <w:rFonts w:ascii="Arial" w:hAnsi="Arial" w:cs="Arial"/>
          <w:sz w:val="20"/>
        </w:rPr>
        <w:t xml:space="preserve"> frames.</w:t>
      </w:r>
    </w:p>
    <w:p w:rsidR="00004995" w:rsidRPr="00004995" w:rsidRDefault="00004995" w:rsidP="00004995">
      <w:pPr>
        <w:rPr>
          <w:rFonts w:ascii="Arial" w:hAnsi="Arial" w:cs="Arial"/>
          <w:sz w:val="20"/>
        </w:rPr>
      </w:pPr>
      <w:r w:rsidRPr="00004995">
        <w:rPr>
          <w:rFonts w:ascii="Arial" w:hAnsi="Arial" w:cs="Arial"/>
          <w:sz w:val="20"/>
        </w:rPr>
        <w:t>—     The Power Management field is reserved in all management frames transmitted by a STA to an AP</w:t>
      </w:r>
    </w:p>
    <w:p w:rsidR="00004995" w:rsidRPr="00004995" w:rsidRDefault="00004995" w:rsidP="00004995">
      <w:pPr>
        <w:rPr>
          <w:rFonts w:ascii="Arial" w:hAnsi="Arial" w:cs="Arial"/>
          <w:sz w:val="20"/>
        </w:rPr>
      </w:pPr>
      <w:proofErr w:type="gramStart"/>
      <w:r w:rsidRPr="00004995">
        <w:rPr>
          <w:rFonts w:ascii="Arial" w:hAnsi="Arial" w:cs="Arial"/>
          <w:sz w:val="20"/>
        </w:rPr>
        <w:t>with</w:t>
      </w:r>
      <w:proofErr w:type="gramEnd"/>
      <w:r w:rsidRPr="00004995">
        <w:rPr>
          <w:rFonts w:ascii="Arial" w:hAnsi="Arial" w:cs="Arial"/>
          <w:sz w:val="20"/>
        </w:rPr>
        <w:t xml:space="preserve"> which it is not associated.</w:t>
      </w:r>
    </w:p>
    <w:p w:rsidR="00004995" w:rsidRDefault="00004995" w:rsidP="00004995">
      <w:pPr>
        <w:rPr>
          <w:rFonts w:ascii="Arial" w:hAnsi="Arial" w:cs="Arial"/>
          <w:sz w:val="20"/>
        </w:rPr>
      </w:pPr>
      <w:r w:rsidRPr="00004995">
        <w:rPr>
          <w:rFonts w:ascii="Arial" w:hAnsi="Arial" w:cs="Arial"/>
          <w:sz w:val="20"/>
        </w:rPr>
        <w:t>—     The Power Management field is reserved in all frames transmitted by the AP.</w:t>
      </w:r>
    </w:p>
    <w:p w:rsidR="007F4EF0" w:rsidRPr="007F4EF0" w:rsidRDefault="007F4EF0" w:rsidP="00F94953">
      <w:pPr>
        <w:rPr>
          <w:rFonts w:ascii="Arial" w:hAnsi="Arial" w:cs="Arial"/>
          <w:color w:val="002060"/>
          <w:sz w:val="20"/>
          <w:u w:val="single"/>
        </w:rPr>
      </w:pPr>
      <w:r w:rsidRPr="007F4EF0">
        <w:rPr>
          <w:rFonts w:ascii="Arial" w:hAnsi="Arial" w:cs="Arial"/>
          <w:color w:val="002060"/>
          <w:sz w:val="20"/>
          <w:u w:val="single"/>
        </w:rPr>
        <w:t xml:space="preserve">—     The Power Management field is reserved in all frames within a frame exchange sequence (see annex G) </w:t>
      </w:r>
      <w:r w:rsidR="00F94953">
        <w:rPr>
          <w:rFonts w:ascii="Arial" w:hAnsi="Arial" w:cs="Arial"/>
          <w:color w:val="002060"/>
          <w:sz w:val="20"/>
          <w:u w:val="single"/>
        </w:rPr>
        <w:t>that does not include an acknowledgment sent by the AP</w:t>
      </w:r>
    </w:p>
    <w:p w:rsidR="00004995" w:rsidRPr="00004995" w:rsidRDefault="00004995" w:rsidP="00004995">
      <w:pPr>
        <w:rPr>
          <w:rFonts w:ascii="Arial" w:hAnsi="Arial" w:cs="Arial"/>
          <w:sz w:val="20"/>
        </w:rPr>
      </w:pPr>
      <w:r w:rsidRPr="00004995">
        <w:rPr>
          <w:rFonts w:ascii="Arial" w:hAnsi="Arial" w:cs="Arial"/>
          <w:sz w:val="20"/>
        </w:rPr>
        <w:t>—     Otherwise, a value of 1 indicates that the STA will be in PS mode. A value of 0 indicates that the</w:t>
      </w:r>
    </w:p>
    <w:p w:rsidR="00004995" w:rsidRPr="00004995" w:rsidRDefault="00004995" w:rsidP="00004995">
      <w:pPr>
        <w:rPr>
          <w:rFonts w:ascii="Arial" w:hAnsi="Arial" w:cs="Arial"/>
          <w:sz w:val="20"/>
        </w:rPr>
      </w:pPr>
      <w:r w:rsidRPr="00004995">
        <w:rPr>
          <w:rFonts w:ascii="Arial" w:hAnsi="Arial" w:cs="Arial"/>
          <w:sz w:val="20"/>
        </w:rPr>
        <w:t>STA will be in active mode.</w:t>
      </w:r>
    </w:p>
    <w:p w:rsidR="00004995" w:rsidRDefault="00004995" w:rsidP="00004995"/>
    <w:sectPr w:rsidR="0000499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19" w:rsidRDefault="006A7C19">
      <w:r>
        <w:separator/>
      </w:r>
    </w:p>
  </w:endnote>
  <w:endnote w:type="continuationSeparator" w:id="0">
    <w:p w:rsidR="006A7C19" w:rsidRDefault="006A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FF" w:rsidRDefault="00E50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A7C19">
    <w:pPr>
      <w:pStyle w:val="Footer"/>
      <w:tabs>
        <w:tab w:val="clear" w:pos="6480"/>
        <w:tab w:val="center" w:pos="4680"/>
        <w:tab w:val="right" w:pos="9360"/>
      </w:tabs>
    </w:pPr>
    <w:r>
      <w:fldChar w:fldCharType="begin"/>
    </w:r>
    <w:r>
      <w:instrText xml:space="preserve"> SUBJECT  \* MERGEFORMAT </w:instrText>
    </w:r>
    <w:r>
      <w:fldChar w:fldCharType="separate"/>
    </w:r>
    <w:r w:rsidR="00B75A91">
      <w:t>Submission</w:t>
    </w:r>
    <w:r>
      <w:fldChar w:fldCharType="end"/>
    </w:r>
    <w:r w:rsidR="0029020B">
      <w:tab/>
      <w:t xml:space="preserve">page </w:t>
    </w:r>
    <w:r w:rsidR="0029020B">
      <w:fldChar w:fldCharType="begin"/>
    </w:r>
    <w:r w:rsidR="0029020B">
      <w:instrText xml:space="preserve">page </w:instrText>
    </w:r>
    <w:r w:rsidR="0029020B">
      <w:fldChar w:fldCharType="separate"/>
    </w:r>
    <w:r w:rsidR="00E508FF">
      <w:rPr>
        <w:noProof/>
      </w:rPr>
      <w:t>1</w:t>
    </w:r>
    <w:r w:rsidR="0029020B">
      <w:fldChar w:fldCharType="end"/>
    </w:r>
    <w:r w:rsidR="0029020B">
      <w:tab/>
    </w:r>
    <w:r>
      <w:fldChar w:fldCharType="begin"/>
    </w:r>
    <w:r>
      <w:instrText xml:space="preserve"> COMMENTS  \* MERGEFORMAT </w:instrText>
    </w:r>
    <w:r>
      <w:fldChar w:fldCharType="separate"/>
    </w:r>
    <w:r w:rsidR="00E508FF">
      <w:t>Daniel Cohn, Lantiq</w:t>
    </w:r>
    <w:r>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FF" w:rsidRDefault="00E50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19" w:rsidRDefault="006A7C19">
      <w:r>
        <w:separator/>
      </w:r>
    </w:p>
  </w:footnote>
  <w:footnote w:type="continuationSeparator" w:id="0">
    <w:p w:rsidR="006A7C19" w:rsidRDefault="006A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FF" w:rsidRDefault="00E50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5A2F97" w:rsidP="00E07C15">
    <w:pPr>
      <w:pStyle w:val="Header"/>
      <w:tabs>
        <w:tab w:val="clear" w:pos="6480"/>
        <w:tab w:val="center" w:pos="4680"/>
        <w:tab w:val="right" w:pos="9360"/>
      </w:tabs>
    </w:pPr>
    <w:r>
      <w:t>January 2013</w:t>
    </w:r>
    <w:r w:rsidR="0029020B">
      <w:tab/>
    </w:r>
    <w:bookmarkStart w:id="0" w:name="_GoBack"/>
    <w:bookmarkEnd w:id="0"/>
    <w:r w:rsidR="0029020B">
      <w:tab/>
    </w:r>
    <w:r w:rsidR="006A7C19">
      <w:fldChar w:fldCharType="begin"/>
    </w:r>
    <w:r w:rsidR="006A7C19">
      <w:instrText xml:space="preserve"> TITLE  \* MERGEFORMAT </w:instrText>
    </w:r>
    <w:r w:rsidR="006A7C19">
      <w:fldChar w:fldCharType="separate"/>
    </w:r>
    <w:r w:rsidR="00E508FF">
      <w:t>doc.: IEEE 802.11-13/0131r1</w:t>
    </w:r>
    <w:r w:rsidR="006A7C1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FF" w:rsidRDefault="00E50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11C8"/>
    <w:multiLevelType w:val="hybridMultilevel"/>
    <w:tmpl w:val="15A83DCE"/>
    <w:lvl w:ilvl="0" w:tplc="03285A50">
      <w:start w:val="1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506CA"/>
    <w:multiLevelType w:val="hybridMultilevel"/>
    <w:tmpl w:val="4AAAF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91"/>
    <w:rsid w:val="00004995"/>
    <w:rsid w:val="00177594"/>
    <w:rsid w:val="001D723B"/>
    <w:rsid w:val="001E20C8"/>
    <w:rsid w:val="0022268E"/>
    <w:rsid w:val="0029020B"/>
    <w:rsid w:val="002D44BE"/>
    <w:rsid w:val="002F5FE5"/>
    <w:rsid w:val="00310CC6"/>
    <w:rsid w:val="00386893"/>
    <w:rsid w:val="00387460"/>
    <w:rsid w:val="00390407"/>
    <w:rsid w:val="00442037"/>
    <w:rsid w:val="004A1837"/>
    <w:rsid w:val="004B064B"/>
    <w:rsid w:val="005036A5"/>
    <w:rsid w:val="005433DF"/>
    <w:rsid w:val="005A2F97"/>
    <w:rsid w:val="005F28F9"/>
    <w:rsid w:val="00610B26"/>
    <w:rsid w:val="0062440B"/>
    <w:rsid w:val="006A7C19"/>
    <w:rsid w:val="006C0727"/>
    <w:rsid w:val="006E145F"/>
    <w:rsid w:val="00724127"/>
    <w:rsid w:val="00737D2D"/>
    <w:rsid w:val="00770572"/>
    <w:rsid w:val="007F4EF0"/>
    <w:rsid w:val="008D0819"/>
    <w:rsid w:val="009F2FBC"/>
    <w:rsid w:val="00A127C9"/>
    <w:rsid w:val="00AA427C"/>
    <w:rsid w:val="00B75A91"/>
    <w:rsid w:val="00BD3A49"/>
    <w:rsid w:val="00BE68C2"/>
    <w:rsid w:val="00CA09B2"/>
    <w:rsid w:val="00DA5DE4"/>
    <w:rsid w:val="00DC5A7B"/>
    <w:rsid w:val="00E07C15"/>
    <w:rsid w:val="00E508FF"/>
    <w:rsid w:val="00F949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3175">
      <w:bodyDiv w:val="1"/>
      <w:marLeft w:val="0"/>
      <w:marRight w:val="0"/>
      <w:marTop w:val="0"/>
      <w:marBottom w:val="0"/>
      <w:divBdr>
        <w:top w:val="none" w:sz="0" w:space="0" w:color="auto"/>
        <w:left w:val="none" w:sz="0" w:space="0" w:color="auto"/>
        <w:bottom w:val="none" w:sz="0" w:space="0" w:color="auto"/>
        <w:right w:val="none" w:sz="0" w:space="0" w:color="auto"/>
      </w:divBdr>
    </w:div>
    <w:div w:id="468980807">
      <w:bodyDiv w:val="1"/>
      <w:marLeft w:val="0"/>
      <w:marRight w:val="0"/>
      <w:marTop w:val="0"/>
      <w:marBottom w:val="0"/>
      <w:divBdr>
        <w:top w:val="none" w:sz="0" w:space="0" w:color="auto"/>
        <w:left w:val="none" w:sz="0" w:space="0" w:color="auto"/>
        <w:bottom w:val="none" w:sz="0" w:space="0" w:color="auto"/>
        <w:right w:val="none" w:sz="0" w:space="0" w:color="auto"/>
      </w:divBdr>
    </w:div>
    <w:div w:id="887032235">
      <w:bodyDiv w:val="1"/>
      <w:marLeft w:val="0"/>
      <w:marRight w:val="0"/>
      <w:marTop w:val="0"/>
      <w:marBottom w:val="0"/>
      <w:divBdr>
        <w:top w:val="none" w:sz="0" w:space="0" w:color="auto"/>
        <w:left w:val="none" w:sz="0" w:space="0" w:color="auto"/>
        <w:bottom w:val="none" w:sz="0" w:space="0" w:color="auto"/>
        <w:right w:val="none" w:sz="0" w:space="0" w:color="auto"/>
      </w:divBdr>
    </w:div>
    <w:div w:id="953635544">
      <w:bodyDiv w:val="1"/>
      <w:marLeft w:val="0"/>
      <w:marRight w:val="0"/>
      <w:marTop w:val="0"/>
      <w:marBottom w:val="0"/>
      <w:divBdr>
        <w:top w:val="none" w:sz="0" w:space="0" w:color="auto"/>
        <w:left w:val="none" w:sz="0" w:space="0" w:color="auto"/>
        <w:bottom w:val="none" w:sz="0" w:space="0" w:color="auto"/>
        <w:right w:val="none" w:sz="0" w:space="0" w:color="auto"/>
      </w:divBdr>
    </w:div>
    <w:div w:id="1037006994">
      <w:bodyDiv w:val="1"/>
      <w:marLeft w:val="0"/>
      <w:marRight w:val="0"/>
      <w:marTop w:val="0"/>
      <w:marBottom w:val="0"/>
      <w:divBdr>
        <w:top w:val="none" w:sz="0" w:space="0" w:color="auto"/>
        <w:left w:val="none" w:sz="0" w:space="0" w:color="auto"/>
        <w:bottom w:val="none" w:sz="0" w:space="0" w:color="auto"/>
        <w:right w:val="none" w:sz="0" w:space="0" w:color="auto"/>
      </w:divBdr>
    </w:div>
    <w:div w:id="1095175836">
      <w:bodyDiv w:val="1"/>
      <w:marLeft w:val="0"/>
      <w:marRight w:val="0"/>
      <w:marTop w:val="0"/>
      <w:marBottom w:val="0"/>
      <w:divBdr>
        <w:top w:val="none" w:sz="0" w:space="0" w:color="auto"/>
        <w:left w:val="none" w:sz="0" w:space="0" w:color="auto"/>
        <w:bottom w:val="none" w:sz="0" w:space="0" w:color="auto"/>
        <w:right w:val="none" w:sz="0" w:space="0" w:color="auto"/>
      </w:divBdr>
    </w:div>
    <w:div w:id="1264799177">
      <w:bodyDiv w:val="1"/>
      <w:marLeft w:val="0"/>
      <w:marRight w:val="0"/>
      <w:marTop w:val="0"/>
      <w:marBottom w:val="0"/>
      <w:divBdr>
        <w:top w:val="none" w:sz="0" w:space="0" w:color="auto"/>
        <w:left w:val="none" w:sz="0" w:space="0" w:color="auto"/>
        <w:bottom w:val="none" w:sz="0" w:space="0" w:color="auto"/>
        <w:right w:val="none" w:sz="0" w:space="0" w:color="auto"/>
      </w:divBdr>
    </w:div>
    <w:div w:id="1293369891">
      <w:bodyDiv w:val="1"/>
      <w:marLeft w:val="0"/>
      <w:marRight w:val="0"/>
      <w:marTop w:val="0"/>
      <w:marBottom w:val="0"/>
      <w:divBdr>
        <w:top w:val="none" w:sz="0" w:space="0" w:color="auto"/>
        <w:left w:val="none" w:sz="0" w:space="0" w:color="auto"/>
        <w:bottom w:val="none" w:sz="0" w:space="0" w:color="auto"/>
        <w:right w:val="none" w:sz="0" w:space="0" w:color="auto"/>
      </w:divBdr>
    </w:div>
    <w:div w:id="1790053285">
      <w:bodyDiv w:val="1"/>
      <w:marLeft w:val="0"/>
      <w:marRight w:val="0"/>
      <w:marTop w:val="0"/>
      <w:marBottom w:val="0"/>
      <w:divBdr>
        <w:top w:val="none" w:sz="0" w:space="0" w:color="auto"/>
        <w:left w:val="none" w:sz="0" w:space="0" w:color="auto"/>
        <w:bottom w:val="none" w:sz="0" w:space="0" w:color="auto"/>
        <w:right w:val="none" w:sz="0" w:space="0" w:color="auto"/>
      </w:divBdr>
    </w:div>
    <w:div w:id="1821190037">
      <w:bodyDiv w:val="1"/>
      <w:marLeft w:val="0"/>
      <w:marRight w:val="0"/>
      <w:marTop w:val="0"/>
      <w:marBottom w:val="0"/>
      <w:divBdr>
        <w:top w:val="none" w:sz="0" w:space="0" w:color="auto"/>
        <w:left w:val="none" w:sz="0" w:space="0" w:color="auto"/>
        <w:bottom w:val="none" w:sz="0" w:space="0" w:color="auto"/>
        <w:right w:val="none" w:sz="0" w:space="0" w:color="auto"/>
      </w:divBdr>
    </w:div>
    <w:div w:id="1896160872">
      <w:bodyDiv w:val="1"/>
      <w:marLeft w:val="0"/>
      <w:marRight w:val="0"/>
      <w:marTop w:val="0"/>
      <w:marBottom w:val="0"/>
      <w:divBdr>
        <w:top w:val="none" w:sz="0" w:space="0" w:color="auto"/>
        <w:left w:val="none" w:sz="0" w:space="0" w:color="auto"/>
        <w:bottom w:val="none" w:sz="0" w:space="0" w:color="auto"/>
        <w:right w:val="none" w:sz="0" w:space="0" w:color="auto"/>
      </w:divBdr>
    </w:div>
    <w:div w:id="19330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henda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1</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802.11-13/0131r1</dc:title>
  <dc:subject>Submission</dc:subject>
  <dc:creator>Cohn Daniel (LQIL ST WL SE)</dc:creator>
  <cp:keywords>Jan 2013</cp:keywords>
  <dc:description>Daniel Cohn, Lantiq</dc:description>
  <cp:lastModifiedBy>Cohn Daniel (LQIL ST WL SE)</cp:lastModifiedBy>
  <cp:revision>5</cp:revision>
  <cp:lastPrinted>2013-01-16T01:21:00Z</cp:lastPrinted>
  <dcterms:created xsi:type="dcterms:W3CDTF">2013-01-16T01:46:00Z</dcterms:created>
  <dcterms:modified xsi:type="dcterms:W3CDTF">2013-01-16T10:37:00Z</dcterms:modified>
</cp:coreProperties>
</file>