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C357F3" w:rsidP="00D66D29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LB189 </w:t>
            </w:r>
            <w:r w:rsidR="004403A7" w:rsidRPr="004403A7">
              <w:rPr>
                <w:lang w:val="en-US"/>
              </w:rPr>
              <w:t>D</w:t>
            </w:r>
            <w:r w:rsidR="00305BF6">
              <w:rPr>
                <w:lang w:val="en-US"/>
              </w:rPr>
              <w:t>2</w:t>
            </w:r>
            <w:r w:rsidR="004403A7" w:rsidRPr="004403A7">
              <w:rPr>
                <w:lang w:val="en-US"/>
              </w:rPr>
              <w:t>.</w:t>
            </w:r>
            <w:r w:rsidR="00D66D29">
              <w:rPr>
                <w:lang w:val="en-US"/>
              </w:rPr>
              <w:t>2</w:t>
            </w:r>
            <w:r w:rsidR="004403A7" w:rsidRPr="004403A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11af </w:t>
            </w:r>
            <w:r w:rsidR="004403A7" w:rsidRPr="004403A7">
              <w:rPr>
                <w:lang w:val="en-US"/>
              </w:rPr>
              <w:t xml:space="preserve">Comment Resolutions on </w:t>
            </w:r>
            <w:r w:rsidR="00D66D29">
              <w:rPr>
                <w:lang w:val="en-US"/>
              </w:rPr>
              <w:t>PHY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D40A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635A1">
              <w:rPr>
                <w:b w:val="0"/>
                <w:sz w:val="20"/>
              </w:rPr>
              <w:t xml:space="preserve">  201</w:t>
            </w:r>
            <w:r w:rsidR="006D40AF">
              <w:rPr>
                <w:b w:val="0"/>
                <w:sz w:val="20"/>
              </w:rPr>
              <w:t>3</w:t>
            </w:r>
            <w:r w:rsidR="009635A1">
              <w:rPr>
                <w:b w:val="0"/>
                <w:sz w:val="20"/>
              </w:rPr>
              <w:t>-</w:t>
            </w:r>
            <w:r w:rsidR="00C1046E">
              <w:rPr>
                <w:b w:val="0"/>
                <w:sz w:val="20"/>
              </w:rPr>
              <w:t>0</w:t>
            </w:r>
            <w:r w:rsidR="006D40AF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C357F3">
              <w:rPr>
                <w:b w:val="0"/>
                <w:sz w:val="20"/>
              </w:rPr>
              <w:t>1</w:t>
            </w:r>
            <w:r w:rsidR="006D40AF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>5488 Marvell Ln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City">
                <w:r>
                  <w:rPr>
                    <w:b w:val="0"/>
                    <w:sz w:val="20"/>
                  </w:rPr>
                  <w:t>Santa Clara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b w:val="0"/>
                    <w:sz w:val="20"/>
                  </w:rPr>
                  <w:t>CA</w:t>
                </w:r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b w:val="0"/>
                    <w:sz w:val="20"/>
                  </w:rPr>
                  <w:t>95054</w:t>
                </w:r>
              </w:smartTag>
            </w:smartTag>
          </w:p>
        </w:tc>
        <w:tc>
          <w:tcPr>
            <w:tcW w:w="1530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408-222-1837</w:t>
            </w:r>
          </w:p>
        </w:tc>
        <w:tc>
          <w:tcPr>
            <w:tcW w:w="2268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hongyuan@marv</w:t>
            </w:r>
            <w:r w:rsidR="00964AC7">
              <w:rPr>
                <w:b w:val="0"/>
                <w:sz w:val="16"/>
              </w:rPr>
              <w:t>el</w:t>
            </w:r>
            <w:r>
              <w:rPr>
                <w:b w:val="0"/>
                <w:sz w:val="16"/>
              </w:rPr>
              <w:t>l.com</w:t>
            </w:r>
          </w:p>
        </w:tc>
      </w:tr>
      <w:tr w:rsidR="00CF0403" w:rsidTr="003E1B51">
        <w:trPr>
          <w:jc w:val="center"/>
        </w:trPr>
        <w:tc>
          <w:tcPr>
            <w:tcW w:w="1336" w:type="dxa"/>
            <w:vAlign w:val="center"/>
          </w:tcPr>
          <w:p w:rsidR="00CF0403" w:rsidRPr="0055314F" w:rsidRDefault="00CF0403" w:rsidP="0033645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72" w:type="dxa"/>
            <w:vAlign w:val="center"/>
          </w:tcPr>
          <w:p w:rsidR="00CF0403" w:rsidRPr="0055314F" w:rsidRDefault="00CF0403" w:rsidP="0033645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55314F"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970" w:type="dxa"/>
            <w:vAlign w:val="center"/>
          </w:tcPr>
          <w:p w:rsidR="00CF0403" w:rsidRPr="002C6458" w:rsidRDefault="00CF0403" w:rsidP="00336456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  <w:r w:rsidRPr="002C6458">
              <w:rPr>
                <w:b w:val="0"/>
                <w:bCs/>
                <w:sz w:val="18"/>
                <w:szCs w:val="18"/>
                <w:lang w:eastAsia="ko-KR"/>
              </w:rPr>
              <w:t>Mobile Comm. Lab, LG R&amp;D Complex 533, Hogye1, Dongan, Anyang, Korea</w:t>
            </w:r>
          </w:p>
        </w:tc>
        <w:tc>
          <w:tcPr>
            <w:tcW w:w="1530" w:type="dxa"/>
            <w:vAlign w:val="center"/>
          </w:tcPr>
          <w:p w:rsidR="00CF0403" w:rsidRPr="002C6458" w:rsidRDefault="00CF0403" w:rsidP="00336456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ko-KR"/>
              </w:rPr>
              <w:t>+82-31-450-7919</w:t>
            </w:r>
          </w:p>
        </w:tc>
        <w:tc>
          <w:tcPr>
            <w:tcW w:w="2268" w:type="dxa"/>
            <w:vAlign w:val="center"/>
          </w:tcPr>
          <w:p w:rsidR="00CF0403" w:rsidRPr="0055314F" w:rsidRDefault="00CF0403" w:rsidP="0033645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  <w:hyperlink r:id="rId8" w:history="1">
              <w:r w:rsidRPr="008A4CB4">
                <w:rPr>
                  <w:rStyle w:val="Hyperlink"/>
                  <w:rFonts w:hint="eastAsia"/>
                  <w:b w:val="0"/>
                  <w:sz w:val="16"/>
                  <w:szCs w:val="16"/>
                  <w:lang w:eastAsia="ko-KR"/>
                </w:rPr>
                <w:t>dongguk.lim@lge.com</w:t>
              </w:r>
            </w:hyperlink>
          </w:p>
        </w:tc>
      </w:tr>
    </w:tbl>
    <w:p w:rsidR="00EA4F6A" w:rsidRDefault="00EA4F6A" w:rsidP="004066BE">
      <w:pPr>
        <w:pStyle w:val="Heading5"/>
      </w:pPr>
    </w:p>
    <w:p w:rsidR="00EA4F6A" w:rsidRDefault="00EA4F6A" w:rsidP="004066BE">
      <w:pPr>
        <w:pStyle w:val="Heading5"/>
      </w:pPr>
    </w:p>
    <w:p w:rsidR="007B28BB" w:rsidRPr="007B28BB" w:rsidRDefault="00EA4F6A" w:rsidP="007B28BB">
      <w:pPr>
        <w:pStyle w:val="ListParagraph"/>
        <w:numPr>
          <w:ilvl w:val="0"/>
          <w:numId w:val="8"/>
        </w:numPr>
        <w:contextualSpacing w:val="0"/>
        <w:rPr>
          <w:i/>
          <w:sz w:val="28"/>
          <w:szCs w:val="28"/>
        </w:rPr>
      </w:pPr>
      <w:r w:rsidRPr="007B28BB">
        <w:rPr>
          <w:i/>
          <w:sz w:val="28"/>
          <w:szCs w:val="28"/>
        </w:rPr>
        <w:t>Abstract: Resolutions of D</w:t>
      </w:r>
      <w:r w:rsidR="00305BF6" w:rsidRPr="007B28BB">
        <w:rPr>
          <w:i/>
          <w:sz w:val="28"/>
          <w:szCs w:val="28"/>
        </w:rPr>
        <w:t>2</w:t>
      </w:r>
      <w:r w:rsidRPr="007B28BB">
        <w:rPr>
          <w:i/>
          <w:sz w:val="28"/>
          <w:szCs w:val="28"/>
        </w:rPr>
        <w:t>.</w:t>
      </w:r>
      <w:r w:rsidR="00D66D29">
        <w:rPr>
          <w:i/>
          <w:sz w:val="28"/>
          <w:szCs w:val="28"/>
        </w:rPr>
        <w:t>2</w:t>
      </w:r>
      <w:r w:rsidRPr="007B28BB">
        <w:rPr>
          <w:i/>
          <w:sz w:val="28"/>
          <w:szCs w:val="28"/>
        </w:rPr>
        <w:t xml:space="preserve"> </w:t>
      </w:r>
      <w:r w:rsidR="00DE0293" w:rsidRPr="007B28BB">
        <w:rPr>
          <w:i/>
          <w:sz w:val="28"/>
          <w:szCs w:val="28"/>
        </w:rPr>
        <w:t xml:space="preserve">comments on </w:t>
      </w:r>
      <w:r w:rsidR="00D66D29">
        <w:rPr>
          <w:i/>
          <w:sz w:val="28"/>
          <w:szCs w:val="28"/>
        </w:rPr>
        <w:t>PHY</w:t>
      </w:r>
      <w:r w:rsidR="00DE0293" w:rsidRPr="007B28BB">
        <w:rPr>
          <w:i/>
          <w:sz w:val="28"/>
          <w:szCs w:val="28"/>
        </w:rPr>
        <w:t xml:space="preserve">  </w:t>
      </w:r>
      <w:r w:rsidR="00307BF0" w:rsidRPr="007B28BB">
        <w:rPr>
          <w:i/>
          <w:sz w:val="28"/>
          <w:szCs w:val="28"/>
        </w:rPr>
        <w:t xml:space="preserve">CIDs </w:t>
      </w:r>
      <w:r w:rsidR="00CF0403">
        <w:rPr>
          <w:i/>
          <w:sz w:val="28"/>
          <w:szCs w:val="28"/>
        </w:rPr>
        <w:t>1003, 1004, 100</w:t>
      </w:r>
      <w:r w:rsidR="00E67132">
        <w:rPr>
          <w:i/>
          <w:sz w:val="28"/>
          <w:szCs w:val="28"/>
        </w:rPr>
        <w:t>5</w:t>
      </w:r>
      <w:r w:rsidR="00CF0403">
        <w:rPr>
          <w:i/>
          <w:sz w:val="28"/>
          <w:szCs w:val="28"/>
        </w:rPr>
        <w:t>,</w:t>
      </w:r>
      <w:r w:rsidR="00E67132">
        <w:rPr>
          <w:i/>
          <w:sz w:val="28"/>
          <w:szCs w:val="28"/>
        </w:rPr>
        <w:t xml:space="preserve"> and</w:t>
      </w:r>
      <w:r w:rsidR="00CF0403">
        <w:rPr>
          <w:i/>
          <w:sz w:val="28"/>
          <w:szCs w:val="28"/>
        </w:rPr>
        <w:t xml:space="preserve"> 1033</w:t>
      </w:r>
    </w:p>
    <w:p w:rsidR="00305BF6" w:rsidRPr="00307BF0" w:rsidRDefault="00305BF6" w:rsidP="00305BF6">
      <w:pPr>
        <w:pStyle w:val="PlainText"/>
        <w:rPr>
          <w:rFonts w:ascii="Times New Roman" w:hAnsi="Times New Roman"/>
          <w:i/>
          <w:sz w:val="28"/>
          <w:szCs w:val="28"/>
        </w:rPr>
      </w:pPr>
    </w:p>
    <w:p w:rsidR="00C87A3E" w:rsidRPr="00C1046E" w:rsidRDefault="00C87A3E" w:rsidP="004066BE">
      <w:pPr>
        <w:pStyle w:val="Heading5"/>
        <w:rPr>
          <w:b w:val="0"/>
          <w:sz w:val="24"/>
          <w:szCs w:val="24"/>
          <w:lang w:val="en-US"/>
        </w:rPr>
      </w:pPr>
    </w:p>
    <w:p w:rsidR="00C87A3E" w:rsidRDefault="00C87A3E" w:rsidP="004066BE">
      <w:pPr>
        <w:pStyle w:val="Heading5"/>
        <w:rPr>
          <w:b w:val="0"/>
        </w:rPr>
      </w:pPr>
    </w:p>
    <w:p w:rsidR="00AB0664" w:rsidRDefault="00CA09B2" w:rsidP="00C1046E">
      <w:pPr>
        <w:pStyle w:val="Heading5"/>
        <w:rPr>
          <w:rFonts w:ascii="Times New Roman" w:hAnsi="Times New Roman"/>
          <w:i w:val="0"/>
          <w:sz w:val="24"/>
          <w:szCs w:val="24"/>
        </w:rPr>
      </w:pPr>
      <w:r>
        <w:br w:type="page"/>
      </w:r>
      <w:r w:rsidR="00676552">
        <w:rPr>
          <w:rFonts w:ascii="Times New Roman" w:hAnsi="Times New Roman"/>
          <w:i w:val="0"/>
          <w:sz w:val="24"/>
          <w:szCs w:val="24"/>
        </w:rPr>
        <w:lastRenderedPageBreak/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1080"/>
        <w:gridCol w:w="810"/>
        <w:gridCol w:w="900"/>
        <w:gridCol w:w="2430"/>
        <w:gridCol w:w="2070"/>
        <w:gridCol w:w="1188"/>
      </w:tblGrid>
      <w:tr w:rsidR="00AB0664" w:rsidRPr="00423492" w:rsidTr="00AB5430">
        <w:tc>
          <w:tcPr>
            <w:tcW w:w="738" w:type="dxa"/>
          </w:tcPr>
          <w:p w:rsidR="00AB0664" w:rsidRPr="00423492" w:rsidRDefault="00AB5430" w:rsidP="0011752F">
            <w:pPr>
              <w:rPr>
                <w:szCs w:val="22"/>
              </w:rPr>
            </w:pPr>
            <w:r>
              <w:rPr>
                <w:szCs w:val="22"/>
              </w:rPr>
              <w:t>1003</w:t>
            </w:r>
          </w:p>
        </w:tc>
        <w:tc>
          <w:tcPr>
            <w:tcW w:w="1080" w:type="dxa"/>
          </w:tcPr>
          <w:p w:rsidR="00AB0664" w:rsidRPr="00423492" w:rsidRDefault="00AB5430" w:rsidP="00117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810" w:type="dxa"/>
          </w:tcPr>
          <w:p w:rsidR="00AB0664" w:rsidRPr="00423492" w:rsidRDefault="00AB5430" w:rsidP="007B28BB">
            <w:pPr>
              <w:rPr>
                <w:szCs w:val="22"/>
              </w:rPr>
            </w:pPr>
            <w:r w:rsidRPr="00AB5430">
              <w:rPr>
                <w:szCs w:val="22"/>
              </w:rPr>
              <w:t>23.3.4.8</w:t>
            </w:r>
          </w:p>
        </w:tc>
        <w:tc>
          <w:tcPr>
            <w:tcW w:w="900" w:type="dxa"/>
          </w:tcPr>
          <w:p w:rsidR="00AB0664" w:rsidRPr="00423492" w:rsidRDefault="00264F34" w:rsidP="00AB5430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AB5430">
              <w:rPr>
                <w:szCs w:val="22"/>
              </w:rPr>
              <w:t>29</w:t>
            </w:r>
            <w:r>
              <w:rPr>
                <w:szCs w:val="22"/>
              </w:rPr>
              <w:t>.</w:t>
            </w:r>
            <w:r w:rsidR="00AB5430">
              <w:rPr>
                <w:szCs w:val="22"/>
              </w:rPr>
              <w:t>01</w:t>
            </w:r>
          </w:p>
        </w:tc>
        <w:tc>
          <w:tcPr>
            <w:tcW w:w="2430" w:type="dxa"/>
          </w:tcPr>
          <w:p w:rsidR="00AB0664" w:rsidRPr="00423492" w:rsidRDefault="00AB5430" w:rsidP="0011752F">
            <w:pPr>
              <w:rPr>
                <w:szCs w:val="22"/>
              </w:rPr>
            </w:pPr>
            <w:r w:rsidRPr="00AB5430">
              <w:rPr>
                <w:szCs w:val="22"/>
              </w:rPr>
              <w:t>The TVHT-SIG-B construction for multi-segment transmission was not covered in 22.3.4.8. Note that now TVHT-SIG-B in more than one BCU is constellation repeated instead of information bit repeated as in clause 22, refer to 23.3.8.2.6.</w:t>
            </w:r>
          </w:p>
        </w:tc>
        <w:tc>
          <w:tcPr>
            <w:tcW w:w="2070" w:type="dxa"/>
          </w:tcPr>
          <w:p w:rsidR="00AB0664" w:rsidRPr="00423492" w:rsidRDefault="00AB5430" w:rsidP="0011752F">
            <w:pPr>
              <w:rPr>
                <w:szCs w:val="22"/>
              </w:rPr>
            </w:pPr>
            <w:r w:rsidRPr="00AB5430">
              <w:rPr>
                <w:szCs w:val="22"/>
              </w:rPr>
              <w:t>Add sub-bullet for multi-segment duplication of TVHT-SIGB, before the phase rotation sub-bullet.</w:t>
            </w:r>
          </w:p>
        </w:tc>
        <w:tc>
          <w:tcPr>
            <w:tcW w:w="1188" w:type="dxa"/>
          </w:tcPr>
          <w:p w:rsidR="00AB0664" w:rsidRPr="00423492" w:rsidRDefault="0032132A" w:rsidP="00380A5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  <w:r w:rsidR="007B28BB">
              <w:rPr>
                <w:b/>
                <w:szCs w:val="22"/>
              </w:rPr>
              <w:t xml:space="preserve"> </w:t>
            </w:r>
          </w:p>
        </w:tc>
      </w:tr>
      <w:tr w:rsidR="00686C2B" w:rsidRPr="00423492" w:rsidTr="00AB5430">
        <w:tc>
          <w:tcPr>
            <w:tcW w:w="738" w:type="dxa"/>
          </w:tcPr>
          <w:p w:rsidR="00686C2B" w:rsidRDefault="00686C2B" w:rsidP="00336456">
            <w:pPr>
              <w:rPr>
                <w:szCs w:val="22"/>
              </w:rPr>
            </w:pPr>
            <w:r>
              <w:rPr>
                <w:szCs w:val="22"/>
              </w:rPr>
              <w:t>100</w:t>
            </w:r>
            <w:r>
              <w:rPr>
                <w:szCs w:val="22"/>
              </w:rPr>
              <w:t>5</w:t>
            </w:r>
          </w:p>
        </w:tc>
        <w:tc>
          <w:tcPr>
            <w:tcW w:w="1080" w:type="dxa"/>
          </w:tcPr>
          <w:p w:rsidR="00686C2B" w:rsidRPr="00423492" w:rsidRDefault="00686C2B" w:rsidP="00336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810" w:type="dxa"/>
          </w:tcPr>
          <w:p w:rsidR="00686C2B" w:rsidRDefault="00686C2B" w:rsidP="00676552">
            <w:pPr>
              <w:rPr>
                <w:szCs w:val="22"/>
              </w:rPr>
            </w:pPr>
            <w:r w:rsidRPr="00686C2B"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86C2B" w:rsidRDefault="00686C2B" w:rsidP="007B28BB">
            <w:pPr>
              <w:rPr>
                <w:szCs w:val="22"/>
              </w:rPr>
            </w:pPr>
            <w:r w:rsidRPr="00686C2B">
              <w:rPr>
                <w:szCs w:val="22"/>
              </w:rPr>
              <w:t>238.54</w:t>
            </w:r>
          </w:p>
        </w:tc>
        <w:tc>
          <w:tcPr>
            <w:tcW w:w="2430" w:type="dxa"/>
          </w:tcPr>
          <w:p w:rsidR="00686C2B" w:rsidRPr="00D34FBD" w:rsidRDefault="00686C2B" w:rsidP="0011752F">
            <w:pPr>
              <w:rPr>
                <w:szCs w:val="22"/>
              </w:rPr>
            </w:pPr>
            <w:r w:rsidRPr="00686C2B">
              <w:rPr>
                <w:szCs w:val="22"/>
              </w:rPr>
              <w:t>Time domain waveform equation for TVHT-SIGB is missing</w:t>
            </w:r>
          </w:p>
        </w:tc>
        <w:tc>
          <w:tcPr>
            <w:tcW w:w="2070" w:type="dxa"/>
          </w:tcPr>
          <w:p w:rsidR="00686C2B" w:rsidRPr="00D34FBD" w:rsidRDefault="00686C2B" w:rsidP="0011752F">
            <w:pPr>
              <w:rPr>
                <w:szCs w:val="22"/>
              </w:rPr>
            </w:pPr>
            <w:r w:rsidRPr="00686C2B">
              <w:rPr>
                <w:szCs w:val="22"/>
              </w:rPr>
              <w:t>Add a new paragraph at the end "The time domain waveform of the TVHT-SIG-B field in each BCU is specified in equation (22-43) where......"</w:t>
            </w:r>
          </w:p>
        </w:tc>
        <w:tc>
          <w:tcPr>
            <w:tcW w:w="1188" w:type="dxa"/>
          </w:tcPr>
          <w:p w:rsidR="00686C2B" w:rsidRDefault="00686C2B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</w:tbl>
    <w:p w:rsidR="00AB0664" w:rsidRDefault="00AB0664" w:rsidP="00AB0664"/>
    <w:p w:rsidR="00F070D2" w:rsidRPr="0032132A" w:rsidRDefault="003E5DC2" w:rsidP="001F042B">
      <w:pPr>
        <w:pStyle w:val="Default"/>
        <w:spacing w:before="200" w:after="120"/>
        <w:rPr>
          <w:szCs w:val="22"/>
        </w:rPr>
      </w:pPr>
      <w:r w:rsidRPr="0032132A">
        <w:rPr>
          <w:b/>
          <w:szCs w:val="22"/>
        </w:rPr>
        <w:t>Discussions</w:t>
      </w:r>
      <w:r w:rsidRPr="003E5DC2">
        <w:rPr>
          <w:i/>
          <w:szCs w:val="22"/>
        </w:rPr>
        <w:t xml:space="preserve">: </w:t>
      </w:r>
      <w:r w:rsidR="00F070D2">
        <w:rPr>
          <w:szCs w:val="22"/>
        </w:rPr>
        <w:t xml:space="preserve">Agree with the commenter that </w:t>
      </w:r>
      <w:r w:rsidR="00EF4B30">
        <w:rPr>
          <w:szCs w:val="22"/>
        </w:rPr>
        <w:t>the SIGB transmission in multi-segment cases need to be stressed that it is different from 11ac</w:t>
      </w:r>
      <w:r w:rsidR="00F070D2">
        <w:rPr>
          <w:szCs w:val="22"/>
        </w:rPr>
        <w:t>.</w:t>
      </w:r>
    </w:p>
    <w:p w:rsidR="00EA7EBB" w:rsidRDefault="0032132A" w:rsidP="00EA7EBB">
      <w:pPr>
        <w:pStyle w:val="T"/>
        <w:rPr>
          <w:b/>
          <w:bCs/>
          <w:sz w:val="24"/>
          <w:szCs w:val="24"/>
          <w:lang w:eastAsia="ko-KR"/>
        </w:rPr>
      </w:pPr>
      <w:r w:rsidRPr="00EA7EBB">
        <w:rPr>
          <w:b/>
          <w:sz w:val="24"/>
          <w:szCs w:val="24"/>
        </w:rPr>
        <w:t xml:space="preserve">Proposal: Revised for CIDs </w:t>
      </w:r>
      <w:r w:rsidR="00EF4B30">
        <w:rPr>
          <w:b/>
          <w:sz w:val="24"/>
          <w:szCs w:val="24"/>
        </w:rPr>
        <w:t>1003</w:t>
      </w:r>
      <w:r w:rsidRPr="00EA7EBB">
        <w:rPr>
          <w:b/>
          <w:sz w:val="24"/>
          <w:szCs w:val="24"/>
        </w:rPr>
        <w:t xml:space="preserve">, </w:t>
      </w:r>
      <w:r w:rsidR="00EF4B30">
        <w:rPr>
          <w:b/>
          <w:sz w:val="24"/>
          <w:szCs w:val="24"/>
        </w:rPr>
        <w:t>1005</w:t>
      </w:r>
      <w:r w:rsidR="00EA7EBB" w:rsidRPr="00EA7EBB">
        <w:rPr>
          <w:b/>
          <w:sz w:val="24"/>
          <w:szCs w:val="24"/>
        </w:rPr>
        <w:t xml:space="preserve">. </w:t>
      </w:r>
      <w:r w:rsidR="00EA7EBB">
        <w:rPr>
          <w:b/>
          <w:bCs/>
          <w:sz w:val="24"/>
          <w:szCs w:val="24"/>
          <w:lang w:eastAsia="ko-KR"/>
        </w:rPr>
        <w:t>The p</w:t>
      </w:r>
      <w:r w:rsidR="00EA7EBB" w:rsidRPr="00E1170F">
        <w:rPr>
          <w:b/>
          <w:bCs/>
          <w:sz w:val="24"/>
          <w:szCs w:val="24"/>
          <w:lang w:val="en-GB" w:eastAsia="ko-KR"/>
        </w:rPr>
        <w:t>roposed editorial instructions are included in this document</w:t>
      </w:r>
      <w:r w:rsidR="00EA7EBB">
        <w:rPr>
          <w:b/>
          <w:bCs/>
          <w:sz w:val="24"/>
          <w:szCs w:val="24"/>
          <w:lang w:val="en-GB" w:eastAsia="ko-KR"/>
        </w:rPr>
        <w:t xml:space="preserve"> as shown below</w:t>
      </w:r>
      <w:r w:rsidR="00EA7EBB" w:rsidRPr="00E1170F">
        <w:rPr>
          <w:b/>
          <w:bCs/>
          <w:sz w:val="24"/>
          <w:szCs w:val="24"/>
          <w:lang w:val="en-GB" w:eastAsia="ko-KR"/>
        </w:rPr>
        <w:t>.</w:t>
      </w:r>
      <w:r w:rsidR="00EA7EBB" w:rsidRPr="00E1170F">
        <w:rPr>
          <w:b/>
          <w:bCs/>
          <w:sz w:val="24"/>
          <w:szCs w:val="24"/>
          <w:lang w:eastAsia="ko-KR"/>
        </w:rPr>
        <w:t xml:space="preserve"> </w:t>
      </w:r>
    </w:p>
    <w:p w:rsidR="0032132A" w:rsidRPr="00EA7EBB" w:rsidRDefault="0032132A" w:rsidP="0032132A">
      <w:pPr>
        <w:rPr>
          <w:b/>
          <w:sz w:val="24"/>
          <w:szCs w:val="24"/>
          <w:lang w:val="en-US"/>
        </w:rPr>
      </w:pPr>
    </w:p>
    <w:p w:rsidR="00F14859" w:rsidRPr="0032132A" w:rsidRDefault="00F14859" w:rsidP="00AB0664">
      <w:pPr>
        <w:rPr>
          <w:b/>
          <w:szCs w:val="22"/>
        </w:rPr>
      </w:pPr>
    </w:p>
    <w:p w:rsidR="004B430F" w:rsidRDefault="00032549" w:rsidP="00F070D2">
      <w:pPr>
        <w:pStyle w:val="Default"/>
        <w:spacing w:before="200" w:after="120"/>
        <w:rPr>
          <w:i/>
          <w:szCs w:val="22"/>
        </w:rPr>
      </w:pPr>
      <w:r w:rsidRPr="00EA7EBB">
        <w:rPr>
          <w:i/>
          <w:szCs w:val="22"/>
          <w:highlight w:val="green"/>
        </w:rPr>
        <w:t>TGaf Editor: Pls make the following change</w:t>
      </w:r>
      <w:r w:rsidR="00F070D2">
        <w:rPr>
          <w:i/>
          <w:szCs w:val="22"/>
          <w:highlight w:val="green"/>
        </w:rPr>
        <w:t xml:space="preserve"> in </w:t>
      </w:r>
      <w:r w:rsidR="00F070D2" w:rsidRPr="00E11AB1">
        <w:rPr>
          <w:i/>
          <w:szCs w:val="22"/>
          <w:highlight w:val="green"/>
        </w:rPr>
        <w:t xml:space="preserve">clause </w:t>
      </w:r>
      <w:r w:rsidR="00F070D2" w:rsidRPr="00E11AB1">
        <w:rPr>
          <w:rFonts w:ascii="Arial" w:hAnsi="Arial" w:cs="Arial"/>
          <w:bCs/>
          <w:i/>
          <w:sz w:val="20"/>
          <w:highlight w:val="green"/>
        </w:rPr>
        <w:t>23.3.</w:t>
      </w:r>
      <w:r w:rsidR="00882DDD">
        <w:rPr>
          <w:rFonts w:ascii="Arial" w:hAnsi="Arial" w:cs="Arial"/>
          <w:bCs/>
          <w:i/>
          <w:sz w:val="20"/>
          <w:highlight w:val="green"/>
        </w:rPr>
        <w:t>4.</w:t>
      </w:r>
      <w:r w:rsidR="00F070D2" w:rsidRPr="00E11AB1">
        <w:rPr>
          <w:rFonts w:ascii="Arial" w:hAnsi="Arial" w:cs="Arial"/>
          <w:bCs/>
          <w:i/>
          <w:sz w:val="20"/>
          <w:highlight w:val="green"/>
        </w:rPr>
        <w:t xml:space="preserve">8 </w:t>
      </w:r>
      <w:r w:rsidR="00E11AB1">
        <w:rPr>
          <w:i/>
          <w:szCs w:val="22"/>
          <w:highlight w:val="green"/>
        </w:rPr>
        <w:t>i</w:t>
      </w:r>
      <w:r w:rsidRPr="00E11AB1">
        <w:rPr>
          <w:i/>
          <w:szCs w:val="22"/>
          <w:highlight w:val="green"/>
        </w:rPr>
        <w:t xml:space="preserve">n </w:t>
      </w:r>
      <w:r w:rsidRPr="00EA7EBB">
        <w:rPr>
          <w:i/>
          <w:szCs w:val="22"/>
          <w:highlight w:val="green"/>
        </w:rPr>
        <w:t xml:space="preserve">page </w:t>
      </w:r>
      <w:r w:rsidR="00F070D2">
        <w:rPr>
          <w:i/>
          <w:szCs w:val="22"/>
          <w:highlight w:val="green"/>
        </w:rPr>
        <w:t>2</w:t>
      </w:r>
      <w:r w:rsidR="00882DDD">
        <w:rPr>
          <w:i/>
          <w:szCs w:val="22"/>
          <w:highlight w:val="green"/>
        </w:rPr>
        <w:t>29</w:t>
      </w:r>
      <w:r w:rsidRPr="00EA7EBB">
        <w:rPr>
          <w:i/>
          <w:szCs w:val="22"/>
          <w:highlight w:val="green"/>
        </w:rPr>
        <w:t>:</w:t>
      </w:r>
    </w:p>
    <w:p w:rsidR="00882DDD" w:rsidRPr="00882DDD" w:rsidRDefault="00882DDD" w:rsidP="00882DDD">
      <w:pPr>
        <w:autoSpaceDE w:val="0"/>
        <w:autoSpaceDN w:val="0"/>
        <w:adjustRightInd w:val="0"/>
        <w:spacing w:before="200" w:after="12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882DDD" w:rsidRPr="00882DDD" w:rsidRDefault="00882DDD" w:rsidP="00882DDD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zh-CN"/>
        </w:rPr>
      </w:pPr>
      <w:r w:rsidRPr="00882DDD">
        <w:rPr>
          <w:rFonts w:ascii="Arial" w:hAnsi="Arial" w:cs="Arial"/>
          <w:b/>
          <w:bCs/>
          <w:color w:val="000000"/>
          <w:lang w:val="en-US" w:eastAsia="zh-CN"/>
        </w:rPr>
        <w:t>23.3.4.8 Construction of TVHT-SIG-B</w:t>
      </w:r>
    </w:p>
    <w:p w:rsidR="00882DDD" w:rsidRPr="00882DDD" w:rsidRDefault="00882DDD" w:rsidP="00882DDD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 w:rsidRPr="00882DDD">
        <w:rPr>
          <w:color w:val="000000"/>
          <w:lang w:val="en-US" w:eastAsia="zh-CN"/>
        </w:rPr>
        <w:t>The TVHT-SIG-B field is constructed per-user</w:t>
      </w:r>
      <w:r>
        <w:rPr>
          <w:color w:val="000000"/>
          <w:lang w:val="en-US" w:eastAsia="zh-CN"/>
        </w:rPr>
        <w:t xml:space="preserve"> </w:t>
      </w:r>
      <w:r w:rsidRPr="00882DDD">
        <w:rPr>
          <w:color w:val="000000"/>
          <w:highlight w:val="yellow"/>
          <w:u w:val="single"/>
          <w:lang w:val="en-US" w:eastAsia="zh-CN"/>
        </w:rPr>
        <w:t>for each BC</w:t>
      </w:r>
      <w:r>
        <w:rPr>
          <w:color w:val="000000"/>
          <w:highlight w:val="yellow"/>
          <w:u w:val="single"/>
          <w:lang w:val="en-US" w:eastAsia="zh-CN"/>
        </w:rPr>
        <w:t>U</w:t>
      </w:r>
      <w:r w:rsidRPr="00882DDD">
        <w:rPr>
          <w:color w:val="000000"/>
          <w:lang w:val="en-US" w:eastAsia="zh-CN"/>
        </w:rPr>
        <w:t xml:space="preserve"> as defined in 22.3.4.8 (Construction of VHT-SIG-B) </w:t>
      </w:r>
      <w:r w:rsidR="00EC252A" w:rsidRPr="00EC252A">
        <w:rPr>
          <w:color w:val="000000"/>
          <w:highlight w:val="yellow"/>
          <w:u w:val="single"/>
          <w:lang w:val="en-US" w:eastAsia="zh-CN"/>
        </w:rPr>
        <w:t>with channel bandwidth being 40MHz,</w:t>
      </w:r>
      <w:r w:rsidR="00EC252A" w:rsidRPr="00EC252A">
        <w:rPr>
          <w:color w:val="000000"/>
          <w:u w:val="single"/>
          <w:lang w:val="en-US" w:eastAsia="zh-CN"/>
        </w:rPr>
        <w:t xml:space="preserve"> </w:t>
      </w:r>
      <w:r w:rsidRPr="00882DDD">
        <w:rPr>
          <w:color w:val="000000"/>
          <w:lang w:val="en-US" w:eastAsia="zh-CN"/>
        </w:rPr>
        <w:t>reading Clause 23 for references to Clause 22 except:</w:t>
      </w:r>
      <w:r>
        <w:rPr>
          <w:color w:val="000000"/>
          <w:lang w:val="en-US" w:eastAsia="zh-CN"/>
        </w:rPr>
        <w:t xml:space="preserve">     </w:t>
      </w:r>
    </w:p>
    <w:p w:rsidR="00882DDD" w:rsidRPr="00882DDD" w:rsidRDefault="00882DDD" w:rsidP="00882DDD">
      <w:pPr>
        <w:autoSpaceDE w:val="0"/>
        <w:autoSpaceDN w:val="0"/>
        <w:adjustRightInd w:val="0"/>
        <w:spacing w:before="60" w:after="60"/>
        <w:jc w:val="both"/>
        <w:rPr>
          <w:color w:val="000000"/>
          <w:lang w:val="en-US" w:eastAsia="zh-CN"/>
        </w:rPr>
      </w:pPr>
      <w:r>
        <w:rPr>
          <w:color w:val="000000"/>
          <w:lang w:val="en-US" w:eastAsia="zh-CN"/>
        </w:rPr>
        <w:t xml:space="preserve">     </w:t>
      </w:r>
      <w:r w:rsidR="00EC252A">
        <w:rPr>
          <w:color w:val="000000"/>
          <w:lang w:val="en-US" w:eastAsia="zh-CN"/>
        </w:rPr>
        <w:t>k</w:t>
      </w:r>
      <w:r w:rsidR="00CF0403">
        <w:rPr>
          <w:color w:val="000000"/>
          <w:lang w:val="en-US" w:eastAsia="zh-CN"/>
        </w:rPr>
        <w:t>)</w:t>
      </w:r>
      <w:r w:rsidR="00EC252A">
        <w:rPr>
          <w:color w:val="000000"/>
          <w:lang w:val="en-US" w:eastAsia="zh-CN"/>
        </w:rPr>
        <w:t xml:space="preserve"> </w:t>
      </w:r>
      <w:r>
        <w:rPr>
          <w:color w:val="000000"/>
          <w:lang w:val="en-US" w:eastAsia="zh-CN"/>
        </w:rPr>
        <w:t xml:space="preserve"> </w:t>
      </w:r>
      <w:r w:rsidR="00EC252A">
        <w:rPr>
          <w:color w:val="000000"/>
          <w:lang w:val="en-US" w:eastAsia="zh-CN"/>
        </w:rPr>
        <w:t xml:space="preserve"> </w:t>
      </w:r>
      <w:r w:rsidRPr="00882DDD">
        <w:rPr>
          <w:color w:val="000000"/>
          <w:lang w:val="en-US" w:eastAsia="zh-CN"/>
        </w:rPr>
        <w:t>Phase rotation: Apply the appropriate phase rotations as defined in 23.3.7 (Mathematical description of signals).</w:t>
      </w:r>
    </w:p>
    <w:p w:rsidR="00882DDD" w:rsidRPr="00882DDD" w:rsidRDefault="00882DDD" w:rsidP="00882DDD">
      <w:pPr>
        <w:pStyle w:val="Default"/>
        <w:spacing w:before="200" w:after="120"/>
        <w:rPr>
          <w:i/>
          <w:sz w:val="28"/>
          <w:szCs w:val="22"/>
        </w:rPr>
      </w:pPr>
      <w:r>
        <w:rPr>
          <w:sz w:val="22"/>
        </w:rPr>
        <w:t xml:space="preserve">     </w:t>
      </w:r>
      <w:r w:rsidR="00EC252A">
        <w:rPr>
          <w:sz w:val="22"/>
        </w:rPr>
        <w:t>m</w:t>
      </w:r>
      <w:r w:rsidR="00CF0403">
        <w:rPr>
          <w:sz w:val="22"/>
        </w:rPr>
        <w:t>)</w:t>
      </w:r>
      <w:r w:rsidR="00EC252A">
        <w:rPr>
          <w:sz w:val="22"/>
        </w:rPr>
        <w:t xml:space="preserve">    </w:t>
      </w:r>
      <w:r>
        <w:rPr>
          <w:sz w:val="22"/>
        </w:rPr>
        <w:t xml:space="preserve"> </w:t>
      </w:r>
      <w:r w:rsidRPr="00882DDD">
        <w:rPr>
          <w:sz w:val="22"/>
        </w:rPr>
        <w:t>Insert GI and apply windowing: prepend a GI (LONG_GI) and apply windowing as defined in 23.3.7 (Mathematical description of signals).</w:t>
      </w:r>
    </w:p>
    <w:p w:rsidR="00882DDD" w:rsidRDefault="009F0C67" w:rsidP="00B53EE7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Cs w:val="22"/>
          <w:lang w:val="en-US" w:eastAsia="zh-CN"/>
        </w:rPr>
      </w:pPr>
      <w:r>
        <w:rPr>
          <w:szCs w:val="22"/>
          <w:highlight w:val="yellow"/>
          <w:u w:val="single"/>
        </w:rPr>
        <w:t>In mutiple BCU transmissions TVHT_MODE_2C, TVHT_MODE_2N, TVHT_MODE_4C</w:t>
      </w:r>
      <w:r w:rsidR="00392FF0" w:rsidRPr="00392FF0">
        <w:rPr>
          <w:szCs w:val="22"/>
          <w:highlight w:val="yellow"/>
          <w:u w:val="single"/>
        </w:rPr>
        <w:t>,</w:t>
      </w:r>
      <w:r>
        <w:rPr>
          <w:szCs w:val="22"/>
          <w:highlight w:val="yellow"/>
          <w:u w:val="single"/>
        </w:rPr>
        <w:t xml:space="preserve"> and TVHT_MODE_4N,</w:t>
      </w:r>
      <w:r w:rsidR="00392FF0" w:rsidRPr="00392FF0">
        <w:rPr>
          <w:szCs w:val="22"/>
          <w:highlight w:val="yellow"/>
          <w:u w:val="single"/>
        </w:rPr>
        <w:t xml:space="preserve"> the TVHT-SIG-B subcarriers</w:t>
      </w:r>
      <w:r w:rsidR="00C01F90">
        <w:rPr>
          <w:szCs w:val="22"/>
          <w:highlight w:val="yellow"/>
          <w:u w:val="single"/>
        </w:rPr>
        <w:t xml:space="preserve"> </w:t>
      </w:r>
      <w:r>
        <w:rPr>
          <w:szCs w:val="22"/>
          <w:highlight w:val="yellow"/>
          <w:u w:val="single"/>
        </w:rPr>
        <w:t>of</w:t>
      </w:r>
      <w:r w:rsidR="00C01F90">
        <w:rPr>
          <w:szCs w:val="22"/>
          <w:highlight w:val="yellow"/>
          <w:u w:val="single"/>
        </w:rPr>
        <w:t xml:space="preserve"> one BCU </w:t>
      </w:r>
      <w:r w:rsidR="00392FF0" w:rsidRPr="00392FF0">
        <w:rPr>
          <w:szCs w:val="22"/>
          <w:highlight w:val="yellow"/>
          <w:u w:val="single"/>
        </w:rPr>
        <w:t>are repeated</w:t>
      </w:r>
      <w:r w:rsidR="00C01F90">
        <w:rPr>
          <w:szCs w:val="22"/>
          <w:highlight w:val="yellow"/>
          <w:u w:val="single"/>
        </w:rPr>
        <w:t xml:space="preserve"> in each BCU </w:t>
      </w:r>
      <w:r w:rsidR="00392FF0">
        <w:rPr>
          <w:szCs w:val="22"/>
          <w:highlight w:val="yellow"/>
          <w:u w:val="single"/>
        </w:rPr>
        <w:t>with a</w:t>
      </w:r>
      <w:r w:rsidR="00C01F90">
        <w:rPr>
          <w:szCs w:val="22"/>
          <w:highlight w:val="yellow"/>
          <w:u w:val="single"/>
        </w:rPr>
        <w:t>n approriate</w:t>
      </w:r>
      <w:r w:rsidR="00392FF0">
        <w:rPr>
          <w:szCs w:val="22"/>
          <w:highlight w:val="yellow"/>
          <w:u w:val="single"/>
        </w:rPr>
        <w:t xml:space="preserve"> phase rot</w:t>
      </w:r>
      <w:r w:rsidR="00C01F90">
        <w:rPr>
          <w:szCs w:val="22"/>
          <w:highlight w:val="yellow"/>
          <w:u w:val="single"/>
        </w:rPr>
        <w:t>at</w:t>
      </w:r>
      <w:r w:rsidR="00392FF0">
        <w:rPr>
          <w:szCs w:val="22"/>
          <w:highlight w:val="yellow"/>
          <w:u w:val="single"/>
        </w:rPr>
        <w:t>ion</w:t>
      </w:r>
      <w:r w:rsidR="00C01F90">
        <w:rPr>
          <w:szCs w:val="22"/>
          <w:highlight w:val="yellow"/>
          <w:u w:val="single"/>
        </w:rPr>
        <w:t xml:space="preserve"> factor being applied</w:t>
      </w:r>
      <w:r w:rsidR="00392FF0" w:rsidRPr="00392FF0">
        <w:rPr>
          <w:szCs w:val="22"/>
          <w:highlight w:val="yellow"/>
          <w:u w:val="single"/>
        </w:rPr>
        <w:t xml:space="preserve"> as described in 23.3.8.2.6 (TVHT-SIG-B).</w:t>
      </w:r>
    </w:p>
    <w:p w:rsidR="00392FF0" w:rsidRDefault="00392FF0" w:rsidP="00B53EE7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Cs w:val="22"/>
          <w:lang w:val="en-US" w:eastAsia="zh-CN"/>
        </w:rPr>
      </w:pPr>
    </w:p>
    <w:p w:rsidR="007264A4" w:rsidRDefault="007264A4" w:rsidP="007264A4">
      <w:pPr>
        <w:pStyle w:val="Default"/>
        <w:spacing w:before="200" w:after="120"/>
        <w:rPr>
          <w:i/>
          <w:szCs w:val="22"/>
        </w:rPr>
      </w:pPr>
      <w:r w:rsidRPr="00EA7EBB">
        <w:rPr>
          <w:i/>
          <w:szCs w:val="22"/>
          <w:highlight w:val="green"/>
        </w:rPr>
        <w:t>TGaf Editor: Pls make the following change</w:t>
      </w:r>
      <w:r>
        <w:rPr>
          <w:i/>
          <w:szCs w:val="22"/>
          <w:highlight w:val="green"/>
        </w:rPr>
        <w:t xml:space="preserve"> in </w:t>
      </w:r>
      <w:r w:rsidRPr="00E11AB1">
        <w:rPr>
          <w:i/>
          <w:szCs w:val="22"/>
          <w:highlight w:val="green"/>
        </w:rPr>
        <w:t xml:space="preserve">clause </w:t>
      </w:r>
      <w:r w:rsidRPr="00E11AB1">
        <w:rPr>
          <w:rFonts w:ascii="Arial" w:hAnsi="Arial" w:cs="Arial"/>
          <w:bCs/>
          <w:i/>
          <w:sz w:val="20"/>
          <w:highlight w:val="green"/>
        </w:rPr>
        <w:t>23.3.</w:t>
      </w:r>
      <w:r>
        <w:rPr>
          <w:rFonts w:ascii="Arial" w:hAnsi="Arial" w:cs="Arial"/>
          <w:bCs/>
          <w:i/>
          <w:sz w:val="20"/>
          <w:highlight w:val="green"/>
        </w:rPr>
        <w:t>8.2.6</w:t>
      </w:r>
      <w:r w:rsidRPr="00E11AB1">
        <w:rPr>
          <w:rFonts w:ascii="Arial" w:hAnsi="Arial" w:cs="Arial"/>
          <w:bCs/>
          <w:i/>
          <w:sz w:val="20"/>
          <w:highlight w:val="green"/>
        </w:rPr>
        <w:t xml:space="preserve"> </w:t>
      </w:r>
      <w:r>
        <w:rPr>
          <w:i/>
          <w:szCs w:val="22"/>
          <w:highlight w:val="green"/>
        </w:rPr>
        <w:t>i</w:t>
      </w:r>
      <w:r w:rsidRPr="00E11AB1">
        <w:rPr>
          <w:i/>
          <w:szCs w:val="22"/>
          <w:highlight w:val="green"/>
        </w:rPr>
        <w:t xml:space="preserve">n </w:t>
      </w:r>
      <w:r w:rsidRPr="00EA7EBB">
        <w:rPr>
          <w:i/>
          <w:szCs w:val="22"/>
          <w:highlight w:val="green"/>
        </w:rPr>
        <w:t xml:space="preserve">page </w:t>
      </w:r>
      <w:r>
        <w:rPr>
          <w:i/>
          <w:szCs w:val="22"/>
          <w:highlight w:val="green"/>
        </w:rPr>
        <w:t>238</w:t>
      </w:r>
      <w:r w:rsidRPr="00EA7EBB">
        <w:rPr>
          <w:i/>
          <w:szCs w:val="22"/>
          <w:highlight w:val="green"/>
        </w:rPr>
        <w:t>:</w:t>
      </w:r>
    </w:p>
    <w:p w:rsidR="007264A4" w:rsidRPr="007264A4" w:rsidRDefault="007264A4" w:rsidP="007264A4">
      <w:pPr>
        <w:autoSpaceDE w:val="0"/>
        <w:autoSpaceDN w:val="0"/>
        <w:adjustRightInd w:val="0"/>
        <w:spacing w:before="200" w:after="12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7264A4" w:rsidRPr="007264A4" w:rsidRDefault="007264A4" w:rsidP="007264A4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zh-CN"/>
        </w:rPr>
      </w:pPr>
      <w:r w:rsidRPr="007264A4">
        <w:rPr>
          <w:rFonts w:ascii="Arial" w:hAnsi="Arial" w:cs="Arial"/>
          <w:b/>
          <w:bCs/>
          <w:color w:val="000000"/>
          <w:lang w:val="en-US" w:eastAsia="zh-CN"/>
        </w:rPr>
        <w:t>23.3.8.2.6 TVHT-SIG-B definition</w:t>
      </w:r>
    </w:p>
    <w:p w:rsidR="007264A4" w:rsidRPr="007264A4" w:rsidRDefault="007264A4" w:rsidP="007264A4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 w:rsidRPr="007264A4">
        <w:rPr>
          <w:color w:val="000000"/>
          <w:lang w:val="en-US" w:eastAsia="zh-CN"/>
        </w:rPr>
        <w:t>The TVHT-SIG-B field for each BCU in any transmission mode is as defined in 22.3.8.2.6 (VHT-SIG-B def</w:t>
      </w:r>
      <w:r w:rsidRPr="007264A4">
        <w:rPr>
          <w:color w:val="000000"/>
          <w:lang w:val="en-US" w:eastAsia="zh-CN"/>
        </w:rPr>
        <w:softHyphen/>
        <w:t>inition) for 40 MHz bandwidth.</w:t>
      </w:r>
    </w:p>
    <w:p w:rsidR="007264A4" w:rsidRPr="007264A4" w:rsidRDefault="007264A4" w:rsidP="007264A4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 w:rsidRPr="007264A4">
        <w:rPr>
          <w:color w:val="000000"/>
          <w:lang w:val="en-US" w:eastAsia="zh-CN"/>
        </w:rPr>
        <w:t>The 27 TVHT-SIG-B bits are first repeated twice, and then BCC encoded, interleaved and made into con</w:t>
      </w:r>
      <w:r w:rsidRPr="007264A4">
        <w:rPr>
          <w:color w:val="000000"/>
          <w:lang w:val="en-US" w:eastAsia="zh-CN"/>
        </w:rPr>
        <w:softHyphen/>
        <w:t xml:space="preserve">stellations as described by Figure 22-20 and the corresponding text in 22.3.8.2.6 (VHT-SIG-B definition). If the channel bandwidth of the current PPDU is TVHT_W, then the IDFT is conducted as defined in 22.3.8.2.6 (VHT-SIG-B definition). </w:t>
      </w:r>
    </w:p>
    <w:p w:rsidR="00181363" w:rsidRDefault="00137AC8" w:rsidP="00181363">
      <w:pPr>
        <w:pStyle w:val="Default"/>
        <w:spacing w:before="200" w:after="120"/>
        <w:rPr>
          <w:rFonts w:ascii="TimesNewRomanPSMT" w:hAnsi="TimesNewRomanPSMT" w:cs="TimesNewRomanPSMT"/>
          <w:szCs w:val="22"/>
          <w:highlight w:val="yellow"/>
          <w:u w:val="single"/>
        </w:rPr>
      </w:pPr>
      <w:r w:rsidRPr="00712089">
        <w:rPr>
          <w:rFonts w:ascii="TimesNewRomanPSMT" w:hAnsi="TimesNewRomanPSMT" w:cs="TimesNewRomanPSMT"/>
          <w:sz w:val="22"/>
          <w:szCs w:val="22"/>
          <w:highlight w:val="yellow"/>
          <w:u w:val="single"/>
        </w:rPr>
        <w:t>The time domain waveform</w:t>
      </w:r>
      <w:r>
        <w:rPr>
          <w:rFonts w:ascii="TimesNewRomanPSMT" w:hAnsi="TimesNewRomanPSMT" w:cs="TimesNewRomanPSMT"/>
          <w:szCs w:val="22"/>
          <w:highlight w:val="yellow"/>
          <w:u w:val="single"/>
        </w:rPr>
        <w:t xml:space="preserve"> </w:t>
      </w:r>
      <w:r w:rsidRPr="00712089">
        <w:rPr>
          <w:rFonts w:ascii="TimesNewRomanPSMT" w:hAnsi="TimesNewRomanPSMT" w:cs="TimesNewRomanPSMT"/>
          <w:sz w:val="22"/>
          <w:szCs w:val="22"/>
          <w:highlight w:val="yellow"/>
          <w:u w:val="single"/>
        </w:rPr>
        <w:t xml:space="preserve">for the TVHT-SIG-B field in each BCU in a TVHT PPDU is </w:t>
      </w:r>
      <w:r w:rsidRPr="00712089">
        <w:rPr>
          <w:rFonts w:ascii="TimesNewRomanPSMT" w:hAnsi="TimesNewRomanPSMT" w:cs="TimesNewRomanPSMT"/>
          <w:szCs w:val="22"/>
          <w:highlight w:val="yellow"/>
          <w:u w:val="single"/>
        </w:rPr>
        <w:t>the same as</w:t>
      </w:r>
      <w:r w:rsidRPr="00712089">
        <w:rPr>
          <w:rFonts w:ascii="TimesNewRomanPSMT" w:hAnsi="TimesNewRomanPSMT" w:cs="TimesNewRomanPSMT"/>
          <w:sz w:val="22"/>
          <w:szCs w:val="22"/>
          <w:highlight w:val="yellow"/>
          <w:u w:val="single"/>
        </w:rPr>
        <w:t xml:space="preserve"> Equation (22-47)</w:t>
      </w:r>
      <w:r>
        <w:rPr>
          <w:rFonts w:ascii="TimesNewRomanPSMT" w:hAnsi="TimesNewRomanPSMT" w:cs="TimesNewRomanPSMT"/>
          <w:szCs w:val="22"/>
          <w:highlight w:val="yellow"/>
          <w:u w:val="single"/>
        </w:rPr>
        <w:t xml:space="preserve"> with channel bandwidth being 40MHz</w:t>
      </w:r>
      <w:r w:rsidRPr="00712089">
        <w:rPr>
          <w:rFonts w:ascii="TimesNewRomanPSMT" w:hAnsi="TimesNewRomanPSMT" w:cs="TimesNewRomanPSMT"/>
          <w:sz w:val="22"/>
          <w:szCs w:val="22"/>
          <w:highlight w:val="yellow"/>
          <w:u w:val="single"/>
        </w:rPr>
        <w:t>.</w:t>
      </w:r>
      <w:r>
        <w:rPr>
          <w:rFonts w:ascii="TimesNewRomanPSMT" w:hAnsi="TimesNewRomanPSMT" w:cs="TimesNewRomanPSMT"/>
          <w:sz w:val="22"/>
          <w:szCs w:val="22"/>
          <w:u w:val="single"/>
        </w:rPr>
        <w:t xml:space="preserve"> </w:t>
      </w:r>
      <w:r w:rsidR="007264A4" w:rsidRPr="007264A4">
        <w:rPr>
          <w:sz w:val="22"/>
        </w:rPr>
        <w:t>If the channel bandwidth of the current PPDU is larger than TVHT_W, then the TVHT-SIG-B subcarriers as described above are repeated in each BCU, with appropriate phase rotation factors</w:t>
      </w:r>
      <w:r w:rsidR="007264A4">
        <w:rPr>
          <w:sz w:val="22"/>
        </w:rPr>
        <w:t xml:space="preserve"> </w:t>
      </w:r>
      <w:r w:rsidR="007264A4" w:rsidRPr="007264A4">
        <w:rPr>
          <w:position w:val="-14"/>
          <w:sz w:val="22"/>
        </w:rPr>
        <w:object w:dxaOrig="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19.2pt" o:ole="">
            <v:imagedata r:id="rId9" o:title=""/>
          </v:shape>
          <o:OLEObject Type="Embed" ProgID="Equation.DSMT4" ShapeID="_x0000_i1025" DrawAspect="Content" ObjectID="_1419688800" r:id="rId10"/>
        </w:object>
      </w:r>
      <w:r w:rsidR="007264A4" w:rsidRPr="007264A4">
        <w:rPr>
          <w:sz w:val="22"/>
        </w:rPr>
        <w:t xml:space="preserve"> being applied as shown in Table 23-12 (Transmission mode and Gamma subk,m), before conducting IDFT.</w:t>
      </w:r>
      <w:r w:rsidR="00DC009C" w:rsidRPr="00712089">
        <w:rPr>
          <w:rFonts w:ascii="TimesNewRomanPSMT" w:hAnsi="TimesNewRomanPSMT" w:cs="TimesNewRomanPSMT"/>
          <w:szCs w:val="22"/>
          <w:highlight w:val="yellow"/>
          <w:u w:val="single"/>
        </w:rPr>
        <w:t xml:space="preserve"> </w:t>
      </w:r>
      <w:r w:rsidR="00181363">
        <w:rPr>
          <w:rFonts w:ascii="TimesNewRomanPSMT" w:hAnsi="TimesNewRomanPSMT" w:cs="TimesNewRomanPSMT"/>
          <w:szCs w:val="22"/>
          <w:highlight w:val="yellow"/>
          <w:u w:val="single"/>
        </w:rPr>
        <w:t xml:space="preserve"> </w:t>
      </w:r>
    </w:p>
    <w:p w:rsidR="00181363" w:rsidRDefault="00181363" w:rsidP="00AB482B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highlight w:val="yellow"/>
          <w:u w:val="single"/>
          <w:lang w:val="en-US" w:eastAsia="zh-CN"/>
        </w:rPr>
      </w:pPr>
    </w:p>
    <w:p w:rsidR="00D42575" w:rsidRPr="00712089" w:rsidRDefault="00D42575" w:rsidP="007264A4">
      <w:pPr>
        <w:autoSpaceDE w:val="0"/>
        <w:autoSpaceDN w:val="0"/>
        <w:adjustRightInd w:val="0"/>
        <w:rPr>
          <w:szCs w:val="22"/>
          <w:u w:val="single"/>
        </w:rPr>
      </w:pPr>
      <w:r>
        <w:rPr>
          <w:u w:val="single"/>
        </w:rPr>
        <w:t xml:space="preserve">          </w:t>
      </w:r>
    </w:p>
    <w:p w:rsidR="006B681C" w:rsidRDefault="006B681C" w:rsidP="00B53EE7">
      <w:pPr>
        <w:pStyle w:val="Default"/>
        <w:spacing w:before="200" w:after="120"/>
        <w:rPr>
          <w:sz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1080"/>
        <w:gridCol w:w="810"/>
        <w:gridCol w:w="900"/>
        <w:gridCol w:w="2430"/>
        <w:gridCol w:w="2070"/>
        <w:gridCol w:w="1188"/>
      </w:tblGrid>
      <w:tr w:rsidR="00410613" w:rsidTr="00336456">
        <w:tc>
          <w:tcPr>
            <w:tcW w:w="738" w:type="dxa"/>
          </w:tcPr>
          <w:p w:rsidR="00410613" w:rsidRDefault="00410613" w:rsidP="00336456">
            <w:pPr>
              <w:rPr>
                <w:szCs w:val="22"/>
              </w:rPr>
            </w:pPr>
            <w:r>
              <w:rPr>
                <w:szCs w:val="22"/>
              </w:rPr>
              <w:t>1004</w:t>
            </w:r>
          </w:p>
        </w:tc>
        <w:tc>
          <w:tcPr>
            <w:tcW w:w="1080" w:type="dxa"/>
          </w:tcPr>
          <w:p w:rsidR="00410613" w:rsidRPr="00423492" w:rsidRDefault="00410613" w:rsidP="00336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810" w:type="dxa"/>
          </w:tcPr>
          <w:p w:rsidR="00410613" w:rsidRPr="00423492" w:rsidRDefault="00410613" w:rsidP="00336456">
            <w:pPr>
              <w:rPr>
                <w:szCs w:val="22"/>
              </w:rPr>
            </w:pPr>
            <w:r w:rsidRPr="00686C2B">
              <w:rPr>
                <w:szCs w:val="22"/>
              </w:rPr>
              <w:t>23.3.4.9</w:t>
            </w:r>
          </w:p>
        </w:tc>
        <w:tc>
          <w:tcPr>
            <w:tcW w:w="900" w:type="dxa"/>
          </w:tcPr>
          <w:p w:rsidR="00410613" w:rsidRPr="00423492" w:rsidRDefault="00410613" w:rsidP="00336456">
            <w:pPr>
              <w:rPr>
                <w:szCs w:val="22"/>
              </w:rPr>
            </w:pPr>
            <w:r>
              <w:rPr>
                <w:szCs w:val="22"/>
              </w:rPr>
              <w:t>229.12</w:t>
            </w:r>
          </w:p>
        </w:tc>
        <w:tc>
          <w:tcPr>
            <w:tcW w:w="2430" w:type="dxa"/>
          </w:tcPr>
          <w:p w:rsidR="00410613" w:rsidRPr="00320EDA" w:rsidRDefault="00410613" w:rsidP="00336456">
            <w:pPr>
              <w:rPr>
                <w:szCs w:val="22"/>
              </w:rPr>
            </w:pPr>
            <w:r w:rsidRPr="00686C2B">
              <w:rPr>
                <w:szCs w:val="22"/>
              </w:rPr>
              <w:t>The data encoding and modulation flow for multi-segment transmissions using BCC and LDPC was not covered in 22.3.4.9, and the segment parser and deparser in 22.3.4.9 was also removed in clause 23, where we are now using a joint interleaver.or joint LDPC tone mapper.</w:t>
            </w:r>
          </w:p>
        </w:tc>
        <w:tc>
          <w:tcPr>
            <w:tcW w:w="2070" w:type="dxa"/>
          </w:tcPr>
          <w:p w:rsidR="00410613" w:rsidRPr="00320EDA" w:rsidRDefault="00410613" w:rsidP="00336456">
            <w:pPr>
              <w:rPr>
                <w:szCs w:val="22"/>
              </w:rPr>
            </w:pPr>
            <w:r w:rsidRPr="00686C2B">
              <w:rPr>
                <w:szCs w:val="22"/>
              </w:rPr>
              <w:t>Add text to differentiate the construction of the data field when in multi-segment modes, from 22.3.4.9.</w:t>
            </w:r>
          </w:p>
        </w:tc>
        <w:tc>
          <w:tcPr>
            <w:tcW w:w="1188" w:type="dxa"/>
          </w:tcPr>
          <w:p w:rsidR="00410613" w:rsidRDefault="00410613" w:rsidP="0033645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EC252A" w:rsidTr="00336456">
        <w:tc>
          <w:tcPr>
            <w:tcW w:w="738" w:type="dxa"/>
          </w:tcPr>
          <w:p w:rsidR="00EC252A" w:rsidRDefault="00EC252A" w:rsidP="00336456">
            <w:pPr>
              <w:rPr>
                <w:szCs w:val="22"/>
              </w:rPr>
            </w:pPr>
            <w:r>
              <w:rPr>
                <w:szCs w:val="22"/>
              </w:rPr>
              <w:t>1033</w:t>
            </w:r>
          </w:p>
        </w:tc>
        <w:tc>
          <w:tcPr>
            <w:tcW w:w="1080" w:type="dxa"/>
          </w:tcPr>
          <w:p w:rsidR="00EC252A" w:rsidRDefault="00EC252A" w:rsidP="00336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Xun Yang</w:t>
            </w:r>
          </w:p>
        </w:tc>
        <w:tc>
          <w:tcPr>
            <w:tcW w:w="810" w:type="dxa"/>
          </w:tcPr>
          <w:p w:rsidR="00EC252A" w:rsidRPr="00686C2B" w:rsidRDefault="00EC252A" w:rsidP="00336456">
            <w:pPr>
              <w:rPr>
                <w:szCs w:val="22"/>
              </w:rPr>
            </w:pPr>
            <w:r w:rsidRPr="003C5334">
              <w:rPr>
                <w:rFonts w:ascii="Arial" w:hAnsi="Arial" w:cs="Arial"/>
                <w:sz w:val="20"/>
              </w:rPr>
              <w:t>23.3.3</w:t>
            </w:r>
          </w:p>
        </w:tc>
        <w:tc>
          <w:tcPr>
            <w:tcW w:w="900" w:type="dxa"/>
          </w:tcPr>
          <w:p w:rsidR="00EC252A" w:rsidRDefault="00EC252A" w:rsidP="00336456">
            <w:pPr>
              <w:rPr>
                <w:szCs w:val="22"/>
              </w:rPr>
            </w:pPr>
            <w:r w:rsidRPr="003C5334">
              <w:rPr>
                <w:rFonts w:ascii="Arial" w:hAnsi="Arial" w:cs="Arial"/>
                <w:sz w:val="20"/>
              </w:rPr>
              <w:t>226.04</w:t>
            </w:r>
          </w:p>
        </w:tc>
        <w:tc>
          <w:tcPr>
            <w:tcW w:w="2430" w:type="dxa"/>
          </w:tcPr>
          <w:p w:rsidR="00EC252A" w:rsidRPr="00686C2B" w:rsidRDefault="00EC252A" w:rsidP="00336456">
            <w:pPr>
              <w:rPr>
                <w:szCs w:val="22"/>
              </w:rPr>
            </w:pPr>
            <w:r w:rsidRPr="003C5334">
              <w:rPr>
                <w:rFonts w:ascii="Arial" w:hAnsi="Arial" w:cs="Arial"/>
                <w:sz w:val="20"/>
              </w:rPr>
              <w:t>There is no definition/description for the module "Subcarrier Allocation".</w:t>
            </w:r>
          </w:p>
        </w:tc>
        <w:tc>
          <w:tcPr>
            <w:tcW w:w="2070" w:type="dxa"/>
          </w:tcPr>
          <w:p w:rsidR="00EC252A" w:rsidRPr="00686C2B" w:rsidRDefault="00CF0403" w:rsidP="00336456">
            <w:pPr>
              <w:rPr>
                <w:szCs w:val="22"/>
              </w:rPr>
            </w:pPr>
            <w:r w:rsidRPr="003C5334">
              <w:rPr>
                <w:rFonts w:ascii="Arial" w:hAnsi="Arial" w:cs="Arial"/>
                <w:sz w:val="20"/>
              </w:rPr>
              <w:t>Add the definition /description of "Subcarrier Allocation".</w:t>
            </w:r>
          </w:p>
        </w:tc>
        <w:tc>
          <w:tcPr>
            <w:tcW w:w="1188" w:type="dxa"/>
          </w:tcPr>
          <w:p w:rsidR="00EC252A" w:rsidRDefault="00CF0403" w:rsidP="0033645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</w:tbl>
    <w:p w:rsidR="006B681C" w:rsidRDefault="006B681C" w:rsidP="00B53EE7">
      <w:pPr>
        <w:pStyle w:val="Default"/>
        <w:spacing w:before="200" w:after="120"/>
        <w:rPr>
          <w:szCs w:val="22"/>
        </w:rPr>
      </w:pPr>
    </w:p>
    <w:p w:rsidR="001E0EA4" w:rsidRDefault="001E0EA4" w:rsidP="001E0EA4">
      <w:pPr>
        <w:pStyle w:val="Default"/>
        <w:spacing w:before="200" w:after="120"/>
        <w:rPr>
          <w:szCs w:val="22"/>
        </w:rPr>
      </w:pPr>
      <w:r w:rsidRPr="0032132A">
        <w:rPr>
          <w:b/>
          <w:szCs w:val="22"/>
        </w:rPr>
        <w:t>Discussions</w:t>
      </w:r>
      <w:r w:rsidRPr="003E5DC2">
        <w:rPr>
          <w:i/>
          <w:szCs w:val="22"/>
        </w:rPr>
        <w:t xml:space="preserve">: </w:t>
      </w:r>
      <w:r>
        <w:rPr>
          <w:szCs w:val="22"/>
        </w:rPr>
        <w:t>Agree with the commenter that the multi-segment data field cases are different from what mentioned in the counterpart clauses in 11ac. Need to add the corresponding text.</w:t>
      </w:r>
    </w:p>
    <w:p w:rsidR="00CF0403" w:rsidRDefault="00CF0403" w:rsidP="001E0EA4">
      <w:pPr>
        <w:pStyle w:val="Default"/>
        <w:spacing w:before="200" w:after="120"/>
        <w:rPr>
          <w:szCs w:val="22"/>
        </w:rPr>
      </w:pPr>
      <w:r>
        <w:rPr>
          <w:szCs w:val="22"/>
        </w:rPr>
        <w:t>Also we need to add clear text descriptions on the “subcarrier allocation” block.</w:t>
      </w:r>
    </w:p>
    <w:p w:rsidR="00CF0403" w:rsidRPr="0032132A" w:rsidRDefault="00CF0403" w:rsidP="001E0EA4">
      <w:pPr>
        <w:pStyle w:val="Default"/>
        <w:spacing w:before="200" w:after="120"/>
        <w:rPr>
          <w:szCs w:val="22"/>
        </w:rPr>
      </w:pPr>
    </w:p>
    <w:p w:rsidR="001E0EA4" w:rsidRDefault="001E0EA4" w:rsidP="001E0EA4">
      <w:pPr>
        <w:pStyle w:val="T"/>
        <w:rPr>
          <w:b/>
          <w:bCs/>
          <w:sz w:val="24"/>
          <w:szCs w:val="24"/>
          <w:lang w:eastAsia="ko-KR"/>
        </w:rPr>
      </w:pPr>
      <w:r w:rsidRPr="00EA7EBB">
        <w:rPr>
          <w:b/>
          <w:sz w:val="24"/>
          <w:szCs w:val="24"/>
        </w:rPr>
        <w:t xml:space="preserve">Proposal: Revised for CIDs </w:t>
      </w:r>
      <w:r>
        <w:rPr>
          <w:b/>
          <w:sz w:val="24"/>
          <w:szCs w:val="24"/>
        </w:rPr>
        <w:t>1004</w:t>
      </w:r>
      <w:r w:rsidRPr="00EA7EBB">
        <w:rPr>
          <w:b/>
          <w:sz w:val="24"/>
          <w:szCs w:val="24"/>
        </w:rPr>
        <w:t xml:space="preserve">. </w:t>
      </w:r>
      <w:r>
        <w:rPr>
          <w:b/>
          <w:bCs/>
          <w:sz w:val="24"/>
          <w:szCs w:val="24"/>
          <w:lang w:eastAsia="ko-KR"/>
        </w:rPr>
        <w:t>The p</w:t>
      </w:r>
      <w:r w:rsidRPr="00E1170F">
        <w:rPr>
          <w:b/>
          <w:bCs/>
          <w:sz w:val="24"/>
          <w:szCs w:val="24"/>
          <w:lang w:val="en-GB" w:eastAsia="ko-KR"/>
        </w:rPr>
        <w:t>roposed editorial instructions are included in this document</w:t>
      </w:r>
      <w:r>
        <w:rPr>
          <w:b/>
          <w:bCs/>
          <w:sz w:val="24"/>
          <w:szCs w:val="24"/>
          <w:lang w:val="en-GB" w:eastAsia="ko-KR"/>
        </w:rPr>
        <w:t xml:space="preserve"> as shown below</w:t>
      </w:r>
      <w:r w:rsidRPr="00E1170F">
        <w:rPr>
          <w:b/>
          <w:bCs/>
          <w:sz w:val="24"/>
          <w:szCs w:val="24"/>
          <w:lang w:val="en-GB" w:eastAsia="ko-KR"/>
        </w:rPr>
        <w:t>.</w:t>
      </w:r>
      <w:r w:rsidRPr="00E1170F">
        <w:rPr>
          <w:b/>
          <w:bCs/>
          <w:sz w:val="24"/>
          <w:szCs w:val="24"/>
          <w:lang w:eastAsia="ko-KR"/>
        </w:rPr>
        <w:t xml:space="preserve"> </w:t>
      </w:r>
    </w:p>
    <w:p w:rsidR="00FF1E1B" w:rsidRDefault="00FF1E1B" w:rsidP="001E0EA4">
      <w:pPr>
        <w:pStyle w:val="Default"/>
        <w:spacing w:before="200" w:after="120"/>
        <w:rPr>
          <w:i/>
          <w:szCs w:val="22"/>
          <w:highlight w:val="green"/>
        </w:rPr>
      </w:pPr>
    </w:p>
    <w:p w:rsidR="00FF1E1B" w:rsidRDefault="00FF1E1B" w:rsidP="00FF1E1B">
      <w:pPr>
        <w:pStyle w:val="Default"/>
        <w:spacing w:before="200" w:after="120"/>
        <w:rPr>
          <w:i/>
          <w:szCs w:val="22"/>
        </w:rPr>
      </w:pPr>
      <w:r w:rsidRPr="00EA7EBB">
        <w:rPr>
          <w:i/>
          <w:szCs w:val="22"/>
          <w:highlight w:val="green"/>
        </w:rPr>
        <w:lastRenderedPageBreak/>
        <w:t>TGaf Editor: Pls make the following change</w:t>
      </w:r>
      <w:r>
        <w:rPr>
          <w:i/>
          <w:szCs w:val="22"/>
          <w:highlight w:val="green"/>
        </w:rPr>
        <w:t xml:space="preserve"> in </w:t>
      </w:r>
      <w:r w:rsidRPr="0038171F">
        <w:rPr>
          <w:i/>
          <w:szCs w:val="22"/>
          <w:highlight w:val="green"/>
        </w:rPr>
        <w:t xml:space="preserve">clause </w:t>
      </w:r>
      <w:r w:rsidRPr="0038171F">
        <w:rPr>
          <w:rStyle w:val="SC34062"/>
          <w:highlight w:val="green"/>
        </w:rPr>
        <w:t>23.3.</w:t>
      </w:r>
      <w:r>
        <w:rPr>
          <w:rStyle w:val="SC34062"/>
        </w:rPr>
        <w:t>3</w:t>
      </w:r>
      <w:r w:rsidRPr="0038171F">
        <w:rPr>
          <w:rStyle w:val="SC34062"/>
          <w:highlight w:val="green"/>
        </w:rPr>
        <w:t xml:space="preserve"> </w:t>
      </w:r>
      <w:r>
        <w:rPr>
          <w:i/>
          <w:szCs w:val="22"/>
          <w:highlight w:val="green"/>
        </w:rPr>
        <w:t>in the last paragraph at</w:t>
      </w:r>
      <w:r w:rsidRPr="0038171F">
        <w:rPr>
          <w:i/>
          <w:szCs w:val="22"/>
          <w:highlight w:val="green"/>
        </w:rPr>
        <w:t xml:space="preserve"> </w:t>
      </w:r>
      <w:r w:rsidRPr="00EA7EBB">
        <w:rPr>
          <w:i/>
          <w:szCs w:val="22"/>
          <w:highlight w:val="green"/>
        </w:rPr>
        <w:t xml:space="preserve">page </w:t>
      </w:r>
      <w:r>
        <w:rPr>
          <w:i/>
          <w:szCs w:val="22"/>
          <w:highlight w:val="green"/>
        </w:rPr>
        <w:t xml:space="preserve">225 lines 58~60 </w:t>
      </w:r>
      <w:r w:rsidRPr="00EA7EBB">
        <w:rPr>
          <w:i/>
          <w:szCs w:val="22"/>
          <w:highlight w:val="green"/>
        </w:rPr>
        <w:t>:</w:t>
      </w:r>
    </w:p>
    <w:p w:rsidR="00FF1E1B" w:rsidRDefault="00FF1E1B" w:rsidP="00FF1E1B">
      <w:pPr>
        <w:pStyle w:val="Default"/>
        <w:spacing w:before="200" w:after="120"/>
        <w:rPr>
          <w:rFonts w:ascii="Arial" w:hAnsi="Arial" w:cs="Arial"/>
          <w:b/>
          <w:bCs/>
          <w:sz w:val="20"/>
        </w:rPr>
      </w:pPr>
    </w:p>
    <w:p w:rsidR="00FF1E1B" w:rsidRDefault="00FF1E1B" w:rsidP="00FF1E1B">
      <w:pPr>
        <w:pStyle w:val="Default"/>
        <w:spacing w:before="200" w:after="120"/>
        <w:rPr>
          <w:rFonts w:ascii="Arial" w:hAnsi="Arial" w:cs="Arial"/>
          <w:b/>
          <w:bCs/>
          <w:sz w:val="20"/>
        </w:rPr>
      </w:pPr>
      <w:r w:rsidRPr="004370B2">
        <w:rPr>
          <w:rFonts w:ascii="Arial" w:hAnsi="Arial" w:cs="Arial"/>
          <w:b/>
          <w:bCs/>
          <w:sz w:val="20"/>
        </w:rPr>
        <w:t>23.3.3 Transmitter block diagram</w:t>
      </w:r>
    </w:p>
    <w:p w:rsidR="00FF1E1B" w:rsidRDefault="00FF1E1B" w:rsidP="00FF1E1B">
      <w:pPr>
        <w:pStyle w:val="Default"/>
        <w:spacing w:before="200" w:after="120"/>
        <w:rPr>
          <w:sz w:val="22"/>
        </w:rPr>
      </w:pPr>
      <w:r>
        <w:rPr>
          <w:rFonts w:ascii="Arial" w:hAnsi="Arial" w:cs="Arial"/>
          <w:b/>
          <w:bCs/>
          <w:sz w:val="20"/>
        </w:rPr>
        <w:t>…..</w:t>
      </w:r>
    </w:p>
    <w:p w:rsidR="00FF1E1B" w:rsidRPr="00FE4134" w:rsidRDefault="00FF1E1B" w:rsidP="00FF1E1B">
      <w:pPr>
        <w:pStyle w:val="Default"/>
        <w:spacing w:before="200" w:after="120"/>
        <w:rPr>
          <w:i/>
          <w:sz w:val="28"/>
          <w:szCs w:val="22"/>
        </w:rPr>
      </w:pPr>
      <w:r w:rsidRPr="00FE4134">
        <w:rPr>
          <w:sz w:val="22"/>
        </w:rPr>
        <w:t>Figure 23-2 (Transmitter block diagram for the Data field of a TVHT_MODE_2N or TVHT_MODE_4N SU PPDU with BCC encoding) and Figure 23-3 (Transmitter block diagram for the Data field of a TVHT_MODE_2N or TVHT_MODE_4N SU PPDU with LDPC encoding) show the transmit process for generating the Data field of a TVHT_MODE_2N or TVHT_MODE_4N SU PPDU with BCC and LDPC encoding</w:t>
      </w:r>
      <w:r w:rsidRPr="005F5103">
        <w:rPr>
          <w:strike/>
          <w:sz w:val="22"/>
        </w:rPr>
        <w:t>,</w:t>
      </w:r>
      <w:r w:rsidRPr="00FE4134">
        <w:rPr>
          <w:sz w:val="22"/>
        </w:rPr>
        <w:t xml:space="preserve"> respectively</w:t>
      </w:r>
      <w:r w:rsidRPr="00FE4134">
        <w:rPr>
          <w:sz w:val="22"/>
          <w:highlight w:val="yellow"/>
          <w:u w:val="single"/>
        </w:rPr>
        <w:t xml:space="preserve">, where the subcarrier allocation block </w:t>
      </w:r>
      <w:r w:rsidRPr="00FE4134">
        <w:rPr>
          <w:sz w:val="22"/>
          <w:szCs w:val="22"/>
          <w:highlight w:val="yellow"/>
          <w:u w:val="single"/>
        </w:rPr>
        <w:t xml:space="preserve">allocates </w:t>
      </w:r>
      <w:r>
        <w:rPr>
          <w:sz w:val="22"/>
          <w:szCs w:val="22"/>
          <w:highlight w:val="yellow"/>
          <w:u w:val="single"/>
        </w:rPr>
        <w:t xml:space="preserve">the </w:t>
      </w:r>
      <w:r w:rsidRPr="00FE4134">
        <w:rPr>
          <w:sz w:val="22"/>
          <w:szCs w:val="22"/>
          <w:highlight w:val="yellow"/>
          <w:u w:val="single"/>
        </w:rPr>
        <w:t xml:space="preserve">subcarriers for the two IDFTs in each transmit path by the subcarrier mapper as described in </w:t>
      </w:r>
      <w:r w:rsidRPr="00FE4134">
        <w:rPr>
          <w:rStyle w:val="SC34062"/>
          <w:sz w:val="22"/>
          <w:szCs w:val="22"/>
          <w:highlight w:val="yellow"/>
          <w:u w:val="single"/>
        </w:rPr>
        <w:t xml:space="preserve">23.3.10.11.1 </w:t>
      </w:r>
      <w:r w:rsidRPr="00FE4134">
        <w:rPr>
          <w:rStyle w:val="SC34062"/>
          <w:sz w:val="22"/>
          <w:szCs w:val="22"/>
          <w:u w:val="single"/>
        </w:rPr>
        <w:t>(</w:t>
      </w:r>
      <w:r w:rsidRPr="00FE4134">
        <w:rPr>
          <w:rStyle w:val="SC34062"/>
          <w:sz w:val="22"/>
          <w:szCs w:val="22"/>
          <w:highlight w:val="yellow"/>
          <w:u w:val="single"/>
        </w:rPr>
        <w:t>Transmission in VHT format</w:t>
      </w:r>
      <w:r w:rsidRPr="00FE4134">
        <w:rPr>
          <w:rStyle w:val="SC34062"/>
          <w:sz w:val="22"/>
          <w:szCs w:val="22"/>
          <w:u w:val="single"/>
        </w:rPr>
        <w:t>)</w:t>
      </w:r>
      <w:r>
        <w:rPr>
          <w:rStyle w:val="SC34062"/>
          <w:sz w:val="22"/>
          <w:szCs w:val="22"/>
          <w:u w:val="single"/>
        </w:rPr>
        <w:t>.</w:t>
      </w:r>
    </w:p>
    <w:p w:rsidR="00FF1E1B" w:rsidRDefault="00FF1E1B" w:rsidP="001E0EA4">
      <w:pPr>
        <w:pStyle w:val="Default"/>
        <w:spacing w:before="200" w:after="120"/>
        <w:rPr>
          <w:i/>
          <w:szCs w:val="22"/>
          <w:highlight w:val="green"/>
        </w:rPr>
      </w:pPr>
    </w:p>
    <w:p w:rsidR="001E0EA4" w:rsidRDefault="001E0EA4" w:rsidP="001E0EA4">
      <w:pPr>
        <w:pStyle w:val="Default"/>
        <w:spacing w:before="200" w:after="120"/>
        <w:rPr>
          <w:i/>
          <w:szCs w:val="22"/>
        </w:rPr>
      </w:pPr>
      <w:r w:rsidRPr="00EA7EBB">
        <w:rPr>
          <w:i/>
          <w:szCs w:val="22"/>
          <w:highlight w:val="green"/>
        </w:rPr>
        <w:t>TGaf Editor: Pls make the following change</w:t>
      </w:r>
      <w:r>
        <w:rPr>
          <w:i/>
          <w:szCs w:val="22"/>
          <w:highlight w:val="green"/>
        </w:rPr>
        <w:t xml:space="preserve"> in </w:t>
      </w:r>
      <w:r w:rsidRPr="00E11AB1">
        <w:rPr>
          <w:i/>
          <w:szCs w:val="22"/>
          <w:highlight w:val="green"/>
        </w:rPr>
        <w:t xml:space="preserve">clause </w:t>
      </w:r>
      <w:r w:rsidRPr="00E11AB1">
        <w:rPr>
          <w:rFonts w:ascii="Arial" w:hAnsi="Arial" w:cs="Arial"/>
          <w:bCs/>
          <w:i/>
          <w:sz w:val="20"/>
          <w:highlight w:val="green"/>
        </w:rPr>
        <w:t>23.3.</w:t>
      </w:r>
      <w:r>
        <w:rPr>
          <w:rFonts w:ascii="Arial" w:hAnsi="Arial" w:cs="Arial"/>
          <w:bCs/>
          <w:i/>
          <w:sz w:val="20"/>
          <w:highlight w:val="green"/>
        </w:rPr>
        <w:t>4.</w:t>
      </w:r>
      <w:r w:rsidR="00EC252A">
        <w:rPr>
          <w:rFonts w:ascii="Arial" w:hAnsi="Arial" w:cs="Arial"/>
          <w:bCs/>
          <w:i/>
          <w:sz w:val="20"/>
          <w:highlight w:val="green"/>
        </w:rPr>
        <w:t>9</w:t>
      </w:r>
      <w:r w:rsidRPr="00E11AB1">
        <w:rPr>
          <w:rFonts w:ascii="Arial" w:hAnsi="Arial" w:cs="Arial"/>
          <w:bCs/>
          <w:i/>
          <w:sz w:val="20"/>
          <w:highlight w:val="green"/>
        </w:rPr>
        <w:t xml:space="preserve"> </w:t>
      </w:r>
      <w:r>
        <w:rPr>
          <w:i/>
          <w:szCs w:val="22"/>
          <w:highlight w:val="green"/>
        </w:rPr>
        <w:t>i</w:t>
      </w:r>
      <w:r w:rsidRPr="00E11AB1">
        <w:rPr>
          <w:i/>
          <w:szCs w:val="22"/>
          <w:highlight w:val="green"/>
        </w:rPr>
        <w:t xml:space="preserve">n </w:t>
      </w:r>
      <w:r w:rsidRPr="00EA7EBB">
        <w:rPr>
          <w:i/>
          <w:szCs w:val="22"/>
          <w:highlight w:val="green"/>
        </w:rPr>
        <w:t xml:space="preserve">page </w:t>
      </w:r>
      <w:r>
        <w:rPr>
          <w:i/>
          <w:szCs w:val="22"/>
          <w:highlight w:val="green"/>
        </w:rPr>
        <w:t>229</w:t>
      </w:r>
      <w:r w:rsidRPr="00EA7EBB">
        <w:rPr>
          <w:i/>
          <w:szCs w:val="22"/>
          <w:highlight w:val="green"/>
        </w:rPr>
        <w:t>:</w:t>
      </w:r>
    </w:p>
    <w:p w:rsidR="00EC252A" w:rsidRPr="00EC252A" w:rsidRDefault="00EC252A" w:rsidP="00EC252A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zh-CN"/>
        </w:rPr>
      </w:pPr>
      <w:r w:rsidRPr="00EC252A">
        <w:rPr>
          <w:rFonts w:ascii="Arial" w:hAnsi="Arial" w:cs="Arial"/>
          <w:b/>
          <w:bCs/>
          <w:color w:val="000000"/>
          <w:lang w:val="en-US" w:eastAsia="zh-CN"/>
        </w:rPr>
        <w:t>23.3.4.9.1 Using BCC</w:t>
      </w:r>
    </w:p>
    <w:p w:rsidR="00EC252A" w:rsidRDefault="00CF0403" w:rsidP="00EC252A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 w:rsidRPr="00CF0403">
        <w:rPr>
          <w:color w:val="000000"/>
          <w:lang w:val="en-US" w:eastAsia="zh-CN"/>
        </w:rPr>
        <w:t>T</w:t>
      </w:r>
      <w:r w:rsidR="00EC252A" w:rsidRPr="00EC252A">
        <w:rPr>
          <w:color w:val="000000"/>
          <w:lang w:val="en-US" w:eastAsia="zh-CN"/>
        </w:rPr>
        <w:t>he construction of the Data field in a TVHT SU PPDU with BCC encoding proceeds as defined in 22.3.4.9.1 (Using BCC)</w:t>
      </w:r>
      <w:r w:rsidR="00EC252A">
        <w:rPr>
          <w:color w:val="000000"/>
          <w:lang w:val="en-US" w:eastAsia="zh-CN"/>
        </w:rPr>
        <w:t xml:space="preserve"> </w:t>
      </w:r>
      <w:r w:rsidR="00EC252A" w:rsidRPr="00EC252A">
        <w:rPr>
          <w:color w:val="000000"/>
          <w:lang w:val="en-US" w:eastAsia="zh-CN"/>
        </w:rPr>
        <w:t>reading Clause 23 for references to Clause 22 except:</w:t>
      </w:r>
    </w:p>
    <w:p w:rsidR="00CF0403" w:rsidRPr="00EC252A" w:rsidRDefault="00CF0403" w:rsidP="00EC252A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 w:rsidRPr="00CF0403">
        <w:rPr>
          <w:color w:val="000000"/>
          <w:lang w:val="en-US" w:eastAsia="zh-CN"/>
        </w:rPr>
        <w:t xml:space="preserve">           </w:t>
      </w:r>
      <w:r w:rsidRPr="00CF0403">
        <w:rPr>
          <w:color w:val="000000"/>
          <w:highlight w:val="yellow"/>
          <w:u w:val="single"/>
          <w:lang w:val="en-US" w:eastAsia="zh-CN"/>
        </w:rPr>
        <w:t>f)   Segment parser is omitted</w:t>
      </w:r>
      <w:r>
        <w:rPr>
          <w:color w:val="000000"/>
          <w:lang w:val="en-US" w:eastAsia="zh-CN"/>
        </w:rPr>
        <w:t>.</w:t>
      </w:r>
    </w:p>
    <w:p w:rsidR="001C43D2" w:rsidRDefault="00EC252A" w:rsidP="00EC252A">
      <w:pPr>
        <w:autoSpaceDE w:val="0"/>
        <w:autoSpaceDN w:val="0"/>
        <w:adjustRightInd w:val="0"/>
        <w:spacing w:before="60" w:after="60"/>
        <w:ind w:left="640"/>
        <w:jc w:val="both"/>
        <w:rPr>
          <w:color w:val="000000"/>
          <w:lang w:val="en-US" w:eastAsia="zh-CN"/>
        </w:rPr>
      </w:pPr>
      <w:r w:rsidRPr="00CF0403">
        <w:rPr>
          <w:strike/>
          <w:color w:val="000000"/>
          <w:highlight w:val="yellow"/>
          <w:lang w:val="en-US" w:eastAsia="zh-CN"/>
        </w:rPr>
        <w:t>o</w:t>
      </w:r>
      <w:r w:rsidR="00CF0403" w:rsidRPr="00CF0403">
        <w:rPr>
          <w:color w:val="000000"/>
          <w:highlight w:val="yellow"/>
          <w:u w:val="single"/>
          <w:lang w:val="en-US" w:eastAsia="zh-CN"/>
        </w:rPr>
        <w:t>m</w:t>
      </w:r>
      <w:r w:rsidR="00CF0403">
        <w:rPr>
          <w:color w:val="000000"/>
          <w:lang w:val="en-US" w:eastAsia="zh-CN"/>
        </w:rPr>
        <w:t>)</w:t>
      </w:r>
      <w:r w:rsidRPr="00EC252A">
        <w:rPr>
          <w:color w:val="000000"/>
          <w:lang w:val="en-US" w:eastAsia="zh-CN"/>
        </w:rPr>
        <w:t xml:space="preserve">  Phase rotation: Apply the appropriate phase rotations as defined in 23.3.7 (Mathematical description of  signals).</w:t>
      </w:r>
      <w:r w:rsidR="00A0507B">
        <w:rPr>
          <w:color w:val="000000"/>
          <w:lang w:val="en-US" w:eastAsia="zh-CN"/>
        </w:rPr>
        <w:t xml:space="preserve"> </w:t>
      </w:r>
    </w:p>
    <w:p w:rsidR="001C43D2" w:rsidRDefault="001C43D2" w:rsidP="00EC252A">
      <w:pPr>
        <w:autoSpaceDE w:val="0"/>
        <w:autoSpaceDN w:val="0"/>
        <w:adjustRightInd w:val="0"/>
        <w:spacing w:before="60" w:after="60"/>
        <w:ind w:left="640"/>
        <w:jc w:val="both"/>
        <w:rPr>
          <w:color w:val="000000"/>
          <w:lang w:val="en-US" w:eastAsia="zh-CN"/>
        </w:rPr>
      </w:pPr>
    </w:p>
    <w:p w:rsidR="00EC252A" w:rsidRPr="00DA0E30" w:rsidRDefault="001C43D2" w:rsidP="00EC252A">
      <w:pPr>
        <w:autoSpaceDE w:val="0"/>
        <w:autoSpaceDN w:val="0"/>
        <w:adjustRightInd w:val="0"/>
        <w:spacing w:before="60" w:after="60"/>
        <w:ind w:left="640"/>
        <w:jc w:val="both"/>
        <w:rPr>
          <w:color w:val="000000"/>
          <w:szCs w:val="22"/>
          <w:lang w:val="en-US" w:eastAsia="zh-CN"/>
        </w:rPr>
      </w:pPr>
      <w:r w:rsidRPr="00DA0E30">
        <w:rPr>
          <w:color w:val="000000"/>
          <w:szCs w:val="22"/>
          <w:highlight w:val="yellow"/>
          <w:u w:val="single"/>
          <w:lang w:val="en-US" w:eastAsia="zh-CN"/>
        </w:rPr>
        <w:t xml:space="preserve">m1)  </w:t>
      </w:r>
      <w:r w:rsidR="00A0507B" w:rsidRPr="00DA0E30">
        <w:rPr>
          <w:szCs w:val="22"/>
          <w:highlight w:val="yellow"/>
          <w:u w:val="single"/>
          <w:lang w:val="en-US" w:eastAsia="zh-CN"/>
        </w:rPr>
        <w:t xml:space="preserve">When in TVHT_MODE_2N or VHT_MODE_4N, allocate the subcarriers for the two IDFTs in each transmit path as described in </w:t>
      </w:r>
      <w:r w:rsidR="00A0507B" w:rsidRPr="00DA0E30">
        <w:rPr>
          <w:rStyle w:val="SC34062"/>
          <w:sz w:val="22"/>
          <w:szCs w:val="22"/>
          <w:highlight w:val="yellow"/>
          <w:u w:val="single"/>
        </w:rPr>
        <w:t xml:space="preserve">23.3.10.11.1 </w:t>
      </w:r>
      <w:r w:rsidR="00A0507B" w:rsidRPr="00DA0E30">
        <w:rPr>
          <w:rStyle w:val="SC34062"/>
          <w:sz w:val="22"/>
          <w:szCs w:val="22"/>
          <w:u w:val="single"/>
        </w:rPr>
        <w:t>(</w:t>
      </w:r>
      <w:r w:rsidR="00A0507B" w:rsidRPr="00DA0E30">
        <w:rPr>
          <w:rStyle w:val="SC34062"/>
          <w:sz w:val="22"/>
          <w:szCs w:val="22"/>
          <w:highlight w:val="yellow"/>
          <w:u w:val="single"/>
        </w:rPr>
        <w:t>Transmission in VHT format</w:t>
      </w:r>
      <w:r w:rsidR="00A0507B" w:rsidRPr="00DA0E30">
        <w:rPr>
          <w:rStyle w:val="SC34062"/>
          <w:sz w:val="22"/>
          <w:szCs w:val="22"/>
          <w:u w:val="single"/>
        </w:rPr>
        <w:t>)</w:t>
      </w:r>
      <w:r w:rsidR="00A0507B" w:rsidRPr="00DA0E30">
        <w:rPr>
          <w:szCs w:val="22"/>
          <w:highlight w:val="yellow"/>
          <w:u w:val="single"/>
          <w:lang w:val="en-US" w:eastAsia="zh-CN"/>
        </w:rPr>
        <w:t>.</w:t>
      </w:r>
    </w:p>
    <w:p w:rsidR="00A0507B" w:rsidRDefault="00A0507B" w:rsidP="00EC252A">
      <w:pPr>
        <w:autoSpaceDE w:val="0"/>
        <w:autoSpaceDN w:val="0"/>
        <w:adjustRightInd w:val="0"/>
        <w:spacing w:before="60" w:after="60"/>
        <w:ind w:left="640"/>
        <w:jc w:val="both"/>
        <w:rPr>
          <w:strike/>
          <w:color w:val="000000"/>
          <w:highlight w:val="yellow"/>
          <w:lang w:val="en-US" w:eastAsia="zh-CN"/>
        </w:rPr>
      </w:pPr>
    </w:p>
    <w:p w:rsidR="00EC252A" w:rsidRDefault="00EC252A" w:rsidP="00EC252A">
      <w:pPr>
        <w:autoSpaceDE w:val="0"/>
        <w:autoSpaceDN w:val="0"/>
        <w:adjustRightInd w:val="0"/>
        <w:spacing w:before="60" w:after="60"/>
        <w:ind w:left="640"/>
        <w:jc w:val="both"/>
        <w:rPr>
          <w:color w:val="000000"/>
          <w:lang w:val="en-US" w:eastAsia="zh-CN"/>
        </w:rPr>
      </w:pPr>
      <w:r w:rsidRPr="00A0507B">
        <w:rPr>
          <w:strike/>
          <w:color w:val="000000"/>
          <w:highlight w:val="yellow"/>
          <w:lang w:val="en-US" w:eastAsia="zh-CN"/>
        </w:rPr>
        <w:t>q</w:t>
      </w:r>
      <w:r w:rsidR="00A0507B" w:rsidRPr="00A0507B">
        <w:rPr>
          <w:color w:val="000000"/>
          <w:highlight w:val="yellow"/>
          <w:u w:val="single"/>
          <w:lang w:val="en-US" w:eastAsia="zh-CN"/>
        </w:rPr>
        <w:t>o</w:t>
      </w:r>
      <w:r w:rsidR="00CF0403">
        <w:rPr>
          <w:color w:val="000000"/>
          <w:lang w:val="en-US" w:eastAsia="zh-CN"/>
        </w:rPr>
        <w:t>)</w:t>
      </w:r>
      <w:r w:rsidRPr="00EC252A">
        <w:rPr>
          <w:color w:val="000000"/>
          <w:lang w:val="en-US" w:eastAsia="zh-CN"/>
        </w:rPr>
        <w:t xml:space="preserve"> Insert GI and apply windowing: prepend a GI (SHORT_GI or LONG_GI) and apply windowing as defined in 23.3.7 (Mathematical description of signals).</w:t>
      </w:r>
    </w:p>
    <w:p w:rsidR="00EC252A" w:rsidRDefault="00EC252A" w:rsidP="00EC252A">
      <w:pPr>
        <w:autoSpaceDE w:val="0"/>
        <w:autoSpaceDN w:val="0"/>
        <w:adjustRightInd w:val="0"/>
        <w:spacing w:before="60" w:after="60"/>
        <w:jc w:val="both"/>
        <w:rPr>
          <w:color w:val="000000"/>
          <w:lang w:val="en-US" w:eastAsia="zh-CN"/>
        </w:rPr>
      </w:pPr>
    </w:p>
    <w:p w:rsidR="00EC252A" w:rsidRPr="00EC252A" w:rsidRDefault="00EC252A" w:rsidP="00EC252A">
      <w:pPr>
        <w:autoSpaceDE w:val="0"/>
        <w:autoSpaceDN w:val="0"/>
        <w:adjustRightInd w:val="0"/>
        <w:spacing w:before="60" w:after="60"/>
        <w:jc w:val="both"/>
        <w:rPr>
          <w:color w:val="000000"/>
          <w:lang w:val="en-US" w:eastAsia="zh-CN"/>
        </w:rPr>
      </w:pPr>
    </w:p>
    <w:p w:rsidR="00EC252A" w:rsidRPr="00EC252A" w:rsidRDefault="00EC252A" w:rsidP="00EC252A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zh-CN"/>
        </w:rPr>
      </w:pPr>
      <w:r w:rsidRPr="00EC252A">
        <w:rPr>
          <w:rFonts w:ascii="Arial" w:hAnsi="Arial" w:cs="Arial"/>
          <w:b/>
          <w:bCs/>
          <w:color w:val="000000"/>
          <w:lang w:val="en-US" w:eastAsia="zh-CN"/>
        </w:rPr>
        <w:t>23.3.4.9.2 Using LDPC</w:t>
      </w:r>
    </w:p>
    <w:p w:rsidR="00EC252A" w:rsidRDefault="00EC252A" w:rsidP="00EC252A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 w:rsidRPr="00EC252A">
        <w:rPr>
          <w:color w:val="000000"/>
          <w:lang w:val="en-US" w:eastAsia="zh-CN"/>
        </w:rPr>
        <w:t>The construction of the Data field in a TVHT SU PPDU with LDPC encoding proceeds as defined in 22.3.4.9.2 (Using LDPC) reading Clause 23 for references to Clause 22 except:</w:t>
      </w:r>
    </w:p>
    <w:p w:rsidR="00A0507B" w:rsidRDefault="00A0507B" w:rsidP="00EC252A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>
        <w:rPr>
          <w:color w:val="000000"/>
          <w:lang w:val="en-US" w:eastAsia="zh-CN"/>
        </w:rPr>
        <w:t xml:space="preserve">           </w:t>
      </w:r>
      <w:r w:rsidRPr="00CF0403">
        <w:rPr>
          <w:color w:val="000000"/>
          <w:highlight w:val="yellow"/>
          <w:u w:val="single"/>
          <w:lang w:val="en-US" w:eastAsia="zh-CN"/>
        </w:rPr>
        <w:t>f)   Segment parser is omitted</w:t>
      </w:r>
      <w:r>
        <w:rPr>
          <w:color w:val="000000"/>
          <w:lang w:val="en-US" w:eastAsia="zh-CN"/>
        </w:rPr>
        <w:t>.</w:t>
      </w:r>
    </w:p>
    <w:p w:rsidR="00A0507B" w:rsidRPr="00EC252A" w:rsidRDefault="00A0507B" w:rsidP="00EC252A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</w:p>
    <w:p w:rsidR="001C43D2" w:rsidRDefault="00EC252A" w:rsidP="00EC252A">
      <w:pPr>
        <w:autoSpaceDE w:val="0"/>
        <w:autoSpaceDN w:val="0"/>
        <w:adjustRightInd w:val="0"/>
        <w:spacing w:before="60" w:after="60"/>
        <w:ind w:left="640"/>
        <w:jc w:val="both"/>
        <w:rPr>
          <w:color w:val="000000"/>
          <w:lang w:val="en-US" w:eastAsia="zh-CN"/>
        </w:rPr>
      </w:pPr>
      <w:r w:rsidRPr="00A0507B">
        <w:rPr>
          <w:strike/>
          <w:color w:val="000000"/>
          <w:highlight w:val="yellow"/>
          <w:lang w:val="en-US" w:eastAsia="zh-CN"/>
        </w:rPr>
        <w:t>n</w:t>
      </w:r>
      <w:r w:rsidR="00A0507B" w:rsidRPr="00A0507B">
        <w:rPr>
          <w:color w:val="000000"/>
          <w:highlight w:val="yellow"/>
          <w:u w:val="single"/>
          <w:lang w:val="en-US" w:eastAsia="zh-CN"/>
        </w:rPr>
        <w:t>m</w:t>
      </w:r>
      <w:r w:rsidR="00A0507B">
        <w:rPr>
          <w:color w:val="000000"/>
          <w:lang w:val="en-US" w:eastAsia="zh-CN"/>
        </w:rPr>
        <w:t>)</w:t>
      </w:r>
      <w:r>
        <w:rPr>
          <w:color w:val="000000"/>
          <w:lang w:val="en-US" w:eastAsia="zh-CN"/>
        </w:rPr>
        <w:t xml:space="preserve"> </w:t>
      </w:r>
      <w:r w:rsidRPr="00EC252A">
        <w:rPr>
          <w:color w:val="000000"/>
          <w:lang w:val="en-US" w:eastAsia="zh-CN"/>
        </w:rPr>
        <w:t>Phase rotation: Apply the appropriate phase rotations as defined in 23.3.7 (Mathematical description of signals).</w:t>
      </w:r>
      <w:r w:rsidR="00A0507B">
        <w:rPr>
          <w:color w:val="000000"/>
          <w:lang w:val="en-US" w:eastAsia="zh-CN"/>
        </w:rPr>
        <w:t xml:space="preserve"> </w:t>
      </w:r>
    </w:p>
    <w:p w:rsidR="001C43D2" w:rsidRDefault="001C43D2" w:rsidP="00EC252A">
      <w:pPr>
        <w:autoSpaceDE w:val="0"/>
        <w:autoSpaceDN w:val="0"/>
        <w:adjustRightInd w:val="0"/>
        <w:spacing w:before="60" w:after="60"/>
        <w:ind w:left="640"/>
        <w:jc w:val="both"/>
        <w:rPr>
          <w:color w:val="000000"/>
          <w:lang w:val="en-US" w:eastAsia="zh-CN"/>
        </w:rPr>
      </w:pPr>
    </w:p>
    <w:p w:rsidR="00EC252A" w:rsidRPr="00EC252A" w:rsidRDefault="001C43D2" w:rsidP="00EC252A">
      <w:pPr>
        <w:autoSpaceDE w:val="0"/>
        <w:autoSpaceDN w:val="0"/>
        <w:adjustRightInd w:val="0"/>
        <w:spacing w:before="60" w:after="60"/>
        <w:ind w:left="640"/>
        <w:jc w:val="both"/>
        <w:rPr>
          <w:color w:val="000000"/>
          <w:lang w:val="en-US" w:eastAsia="zh-CN"/>
        </w:rPr>
      </w:pPr>
      <w:r>
        <w:rPr>
          <w:color w:val="000000"/>
          <w:highlight w:val="yellow"/>
          <w:u w:val="single"/>
          <w:lang w:val="en-US" w:eastAsia="zh-CN"/>
        </w:rPr>
        <w:t>m</w:t>
      </w:r>
      <w:r w:rsidRPr="001C43D2">
        <w:rPr>
          <w:color w:val="000000"/>
          <w:highlight w:val="yellow"/>
          <w:u w:val="single"/>
          <w:lang w:val="en-US" w:eastAsia="zh-CN"/>
        </w:rPr>
        <w:t xml:space="preserve">1)  </w:t>
      </w:r>
      <w:r w:rsidR="00A0507B" w:rsidRPr="001C43D2">
        <w:rPr>
          <w:rFonts w:ascii="TimesNewRomanPSMT" w:hAnsi="TimesNewRomanPSMT" w:cs="TimesNewRomanPSMT"/>
          <w:sz w:val="20"/>
          <w:highlight w:val="yellow"/>
          <w:u w:val="single"/>
          <w:lang w:val="en-US" w:eastAsia="zh-CN"/>
        </w:rPr>
        <w:t>When i</w:t>
      </w:r>
      <w:r w:rsidR="00A0507B">
        <w:rPr>
          <w:rFonts w:ascii="TimesNewRomanPSMT" w:hAnsi="TimesNewRomanPSMT" w:cs="TimesNewRomanPSMT"/>
          <w:sz w:val="20"/>
          <w:highlight w:val="yellow"/>
          <w:u w:val="single"/>
          <w:lang w:val="en-US" w:eastAsia="zh-CN"/>
        </w:rPr>
        <w:t>n TVHT_MODE_2N or VHT_MODE_4N, allocate the subcarriers for the two IDFTs in each transm</w:t>
      </w:r>
      <w:r w:rsidR="009F0C67">
        <w:rPr>
          <w:rFonts w:ascii="TimesNewRomanPSMT" w:hAnsi="TimesNewRomanPSMT" w:cs="TimesNewRomanPSMT"/>
          <w:sz w:val="20"/>
          <w:highlight w:val="yellow"/>
          <w:u w:val="single"/>
          <w:lang w:val="en-US" w:eastAsia="zh-CN"/>
        </w:rPr>
        <w:t xml:space="preserve">it path </w:t>
      </w:r>
      <w:r w:rsidR="00A0507B">
        <w:rPr>
          <w:rFonts w:ascii="TimesNewRomanPSMT" w:hAnsi="TimesNewRomanPSMT" w:cs="TimesNewRomanPSMT"/>
          <w:sz w:val="20"/>
          <w:highlight w:val="yellow"/>
          <w:u w:val="single"/>
          <w:lang w:val="en-US" w:eastAsia="zh-CN"/>
        </w:rPr>
        <w:t xml:space="preserve">as described in </w:t>
      </w:r>
      <w:r w:rsidR="00A0507B" w:rsidRPr="00A0507B">
        <w:rPr>
          <w:rStyle w:val="SC34062"/>
          <w:highlight w:val="yellow"/>
          <w:u w:val="single"/>
        </w:rPr>
        <w:t xml:space="preserve">23.3.10.11.1 </w:t>
      </w:r>
      <w:r w:rsidR="00A0507B">
        <w:rPr>
          <w:rStyle w:val="SC34062"/>
          <w:u w:val="single"/>
        </w:rPr>
        <w:t>(</w:t>
      </w:r>
      <w:r w:rsidR="00A0507B" w:rsidRPr="00A0507B">
        <w:rPr>
          <w:rStyle w:val="SC34062"/>
          <w:highlight w:val="yellow"/>
          <w:u w:val="single"/>
        </w:rPr>
        <w:t>Transmission in VHT format</w:t>
      </w:r>
      <w:r w:rsidR="00A0507B">
        <w:rPr>
          <w:rStyle w:val="SC34062"/>
          <w:u w:val="single"/>
        </w:rPr>
        <w:t>)</w:t>
      </w:r>
      <w:r w:rsidR="00A0507B" w:rsidRPr="00A0507B">
        <w:rPr>
          <w:rFonts w:ascii="TimesNewRomanPSMT" w:hAnsi="TimesNewRomanPSMT" w:cs="TimesNewRomanPSMT"/>
          <w:sz w:val="20"/>
          <w:highlight w:val="yellow"/>
          <w:u w:val="single"/>
          <w:lang w:val="en-US" w:eastAsia="zh-CN"/>
        </w:rPr>
        <w:t>.</w:t>
      </w:r>
    </w:p>
    <w:p w:rsidR="001E0EA4" w:rsidRDefault="00EC252A" w:rsidP="00EC252A">
      <w:pPr>
        <w:pStyle w:val="Default"/>
        <w:spacing w:before="200" w:after="120"/>
        <w:ind w:left="640"/>
        <w:rPr>
          <w:sz w:val="22"/>
        </w:rPr>
      </w:pPr>
      <w:r w:rsidRPr="00A0507B">
        <w:rPr>
          <w:strike/>
          <w:sz w:val="22"/>
          <w:highlight w:val="yellow"/>
        </w:rPr>
        <w:lastRenderedPageBreak/>
        <w:t>p</w:t>
      </w:r>
      <w:r w:rsidR="00A0507B" w:rsidRPr="00A0507B">
        <w:rPr>
          <w:sz w:val="22"/>
          <w:highlight w:val="yellow"/>
          <w:u w:val="single"/>
        </w:rPr>
        <w:t>o</w:t>
      </w:r>
      <w:r w:rsidR="00A0507B">
        <w:rPr>
          <w:sz w:val="22"/>
        </w:rPr>
        <w:t>)</w:t>
      </w:r>
      <w:r>
        <w:rPr>
          <w:sz w:val="22"/>
        </w:rPr>
        <w:t xml:space="preserve">  </w:t>
      </w:r>
      <w:r w:rsidRPr="00EC252A">
        <w:rPr>
          <w:sz w:val="22"/>
        </w:rPr>
        <w:t xml:space="preserve">Insert GI and apply windowing: prepend a GI (SHORT_GI or LONG_GI) and apply windowing </w:t>
      </w:r>
      <w:r>
        <w:rPr>
          <w:sz w:val="22"/>
        </w:rPr>
        <w:t xml:space="preserve"> </w:t>
      </w:r>
      <w:r w:rsidRPr="00EC252A">
        <w:rPr>
          <w:sz w:val="22"/>
        </w:rPr>
        <w:t>as defined in 23.3.7 (Mathematical description of signals).</w:t>
      </w:r>
    </w:p>
    <w:p w:rsidR="0038171F" w:rsidRDefault="0038171F" w:rsidP="0038171F">
      <w:pPr>
        <w:pStyle w:val="Default"/>
        <w:spacing w:before="200" w:after="120"/>
        <w:rPr>
          <w:sz w:val="22"/>
        </w:rPr>
      </w:pPr>
    </w:p>
    <w:p w:rsidR="0038171F" w:rsidRDefault="0038171F" w:rsidP="0038171F">
      <w:pPr>
        <w:pStyle w:val="Default"/>
        <w:spacing w:before="200" w:after="120"/>
        <w:rPr>
          <w:i/>
          <w:szCs w:val="22"/>
        </w:rPr>
      </w:pPr>
      <w:r w:rsidRPr="00EA7EBB">
        <w:rPr>
          <w:i/>
          <w:szCs w:val="22"/>
          <w:highlight w:val="green"/>
        </w:rPr>
        <w:t>TGaf Editor: Pls make the following change</w:t>
      </w:r>
      <w:r>
        <w:rPr>
          <w:i/>
          <w:szCs w:val="22"/>
          <w:highlight w:val="green"/>
        </w:rPr>
        <w:t xml:space="preserve"> in </w:t>
      </w:r>
      <w:r w:rsidRPr="004370B2">
        <w:rPr>
          <w:i/>
          <w:szCs w:val="22"/>
          <w:highlight w:val="green"/>
        </w:rPr>
        <w:t xml:space="preserve">clause </w:t>
      </w:r>
      <w:r w:rsidRPr="004370B2">
        <w:rPr>
          <w:rStyle w:val="SC34062"/>
          <w:i/>
          <w:highlight w:val="green"/>
        </w:rPr>
        <w:t>23.3.10.11.1</w:t>
      </w:r>
      <w:r w:rsidRPr="0038171F">
        <w:rPr>
          <w:rStyle w:val="SC34062"/>
          <w:highlight w:val="green"/>
        </w:rPr>
        <w:t xml:space="preserve"> </w:t>
      </w:r>
      <w:r w:rsidRPr="0038171F">
        <w:rPr>
          <w:i/>
          <w:szCs w:val="22"/>
          <w:highlight w:val="green"/>
        </w:rPr>
        <w:t xml:space="preserve">in </w:t>
      </w:r>
      <w:r w:rsidRPr="00EA7EBB">
        <w:rPr>
          <w:i/>
          <w:szCs w:val="22"/>
          <w:highlight w:val="green"/>
        </w:rPr>
        <w:t xml:space="preserve">page </w:t>
      </w:r>
      <w:r>
        <w:rPr>
          <w:i/>
          <w:szCs w:val="22"/>
          <w:highlight w:val="green"/>
        </w:rPr>
        <w:t xml:space="preserve">241 lines 58~60 </w:t>
      </w:r>
      <w:r w:rsidRPr="00EA7EBB">
        <w:rPr>
          <w:i/>
          <w:szCs w:val="22"/>
          <w:highlight w:val="green"/>
        </w:rPr>
        <w:t>:</w:t>
      </w:r>
    </w:p>
    <w:p w:rsidR="004370B2" w:rsidRPr="004370B2" w:rsidRDefault="004370B2" w:rsidP="004370B2">
      <w:pPr>
        <w:autoSpaceDE w:val="0"/>
        <w:autoSpaceDN w:val="0"/>
        <w:adjustRightInd w:val="0"/>
        <w:spacing w:before="200" w:after="12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38171F" w:rsidRDefault="004370B2" w:rsidP="004370B2">
      <w:pPr>
        <w:pStyle w:val="Default"/>
        <w:spacing w:before="200" w:after="120"/>
        <w:rPr>
          <w:rFonts w:ascii="Arial" w:hAnsi="Arial" w:cs="Arial"/>
          <w:b/>
          <w:bCs/>
          <w:sz w:val="20"/>
        </w:rPr>
      </w:pPr>
      <w:r w:rsidRPr="004370B2">
        <w:rPr>
          <w:rFonts w:ascii="Arial" w:hAnsi="Arial" w:cs="Arial"/>
          <w:b/>
          <w:bCs/>
          <w:sz w:val="20"/>
        </w:rPr>
        <w:t>23.3.10.11.1 Transmission in VHT format</w:t>
      </w:r>
    </w:p>
    <w:p w:rsidR="004370B2" w:rsidRDefault="004370B2" w:rsidP="004370B2">
      <w:pPr>
        <w:pStyle w:val="Default"/>
        <w:spacing w:before="200" w:after="120"/>
        <w:rPr>
          <w:i/>
          <w:szCs w:val="22"/>
        </w:rPr>
      </w:pPr>
      <w:r>
        <w:rPr>
          <w:rFonts w:ascii="Arial" w:hAnsi="Arial" w:cs="Arial"/>
          <w:b/>
          <w:bCs/>
          <w:sz w:val="20"/>
        </w:rPr>
        <w:t>…..</w:t>
      </w:r>
    </w:p>
    <w:p w:rsidR="00886DF1" w:rsidRDefault="0038171F" w:rsidP="0038171F">
      <w:pPr>
        <w:pStyle w:val="Default"/>
        <w:spacing w:before="200" w:after="120"/>
      </w:pPr>
      <w:r>
        <w:t>For multi-segment transmissions TVHT_MODE_2N and TVHT_MODE_4N, each frequency segment shall follow the waveform as described in Equation (22-91), and the data and pilot subcarriers are allocated</w:t>
      </w:r>
      <w:r>
        <w:rPr>
          <w:color w:val="FF0000"/>
          <w:u w:val="single"/>
        </w:rPr>
        <w:t xml:space="preserve"> </w:t>
      </w:r>
      <w:r w:rsidRPr="0038171F">
        <w:rPr>
          <w:color w:val="auto"/>
          <w:highlight w:val="yellow"/>
          <w:u w:val="single"/>
        </w:rPr>
        <w:t>by the subcarrier allocation block, as shown in Figure 23-2,</w:t>
      </w:r>
      <w:r>
        <w:rPr>
          <w:color w:val="FF0000"/>
          <w:u w:val="single"/>
        </w:rPr>
        <w:t xml:space="preserve"> </w:t>
      </w:r>
      <w:r>
        <w:t>to the two IDFT blocks according to the subcarrier mapping</w:t>
      </w:r>
      <w:r w:rsidR="00886DF1">
        <w:t>…</w:t>
      </w:r>
    </w:p>
    <w:p w:rsidR="00886DF1" w:rsidRPr="00EC252A" w:rsidRDefault="00886DF1" w:rsidP="0038171F">
      <w:pPr>
        <w:pStyle w:val="Default"/>
        <w:spacing w:before="200" w:after="120"/>
        <w:rPr>
          <w:sz w:val="28"/>
          <w:szCs w:val="22"/>
        </w:rPr>
      </w:pPr>
    </w:p>
    <w:sectPr w:rsidR="00886DF1" w:rsidRPr="00EC252A" w:rsidSect="001121B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7B6" w:rsidRDefault="008417B6">
      <w:r>
        <w:separator/>
      </w:r>
    </w:p>
  </w:endnote>
  <w:endnote w:type="continuationSeparator" w:id="1">
    <w:p w:rsidR="008417B6" w:rsidRDefault="0084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52" w:rsidRPr="00EF1A28" w:rsidRDefault="00722BB0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="00676552" w:rsidRPr="00EF1A28">
        <w:rPr>
          <w:lang w:val="fr-FR"/>
        </w:rPr>
        <w:t>Submission</w:t>
      </w:r>
    </w:fldSimple>
    <w:r w:rsidR="00676552" w:rsidRPr="00EF1A28">
      <w:rPr>
        <w:lang w:val="fr-FR"/>
      </w:rPr>
      <w:tab/>
      <w:t xml:space="preserve">page </w:t>
    </w:r>
    <w:r>
      <w:fldChar w:fldCharType="begin"/>
    </w:r>
    <w:r w:rsidR="00676552" w:rsidRPr="00EF1A28">
      <w:rPr>
        <w:lang w:val="fr-FR"/>
      </w:rPr>
      <w:instrText xml:space="preserve">page </w:instrText>
    </w:r>
    <w:r>
      <w:fldChar w:fldCharType="separate"/>
    </w:r>
    <w:r w:rsidR="00137AC8">
      <w:rPr>
        <w:noProof/>
        <w:lang w:val="fr-FR"/>
      </w:rPr>
      <w:t>3</w:t>
    </w:r>
    <w:r>
      <w:fldChar w:fldCharType="end"/>
    </w:r>
    <w:r w:rsidR="00676552" w:rsidRPr="00EF1A28">
      <w:rPr>
        <w:lang w:val="fr-FR"/>
      </w:rPr>
      <w:tab/>
      <w:t>Hongyuan Zhang</w:t>
    </w:r>
    <w:r w:rsidR="00CF0403">
      <w:rPr>
        <w:lang w:val="fr-FR"/>
      </w:rPr>
      <w:t>, et. al.</w:t>
    </w:r>
  </w:p>
  <w:p w:rsidR="00676552" w:rsidRPr="00EF1A28" w:rsidRDefault="00676552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7B6" w:rsidRDefault="008417B6">
      <w:r>
        <w:separator/>
      </w:r>
    </w:p>
  </w:footnote>
  <w:footnote w:type="continuationSeparator" w:id="1">
    <w:p w:rsidR="008417B6" w:rsidRDefault="00841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52" w:rsidRDefault="00722BB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10613">
        <w:t>Jan</w:t>
      </w:r>
      <w:r w:rsidR="00676552">
        <w:t>. 201</w:t>
      </w:r>
    </w:fldSimple>
    <w:r w:rsidR="00410613">
      <w:t>3</w:t>
    </w:r>
    <w:r w:rsidR="00676552">
      <w:tab/>
    </w:r>
    <w:r w:rsidR="00676552">
      <w:tab/>
    </w:r>
    <w:fldSimple w:instr=" TITLE  \* MERGEFORMAT ">
      <w:r w:rsidR="00410613">
        <w:t>doc.: IEEE 802.11-13</w:t>
      </w:r>
      <w:r w:rsidR="00676552">
        <w:t>/</w:t>
      </w:r>
      <w:r w:rsidR="00410613">
        <w:t>0103</w:t>
      </w:r>
      <w:r w:rsidR="00676552">
        <w:t>r</w:t>
      </w:r>
    </w:fldSimple>
    <w:r w:rsidR="00410613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64030"/>
    <w:multiLevelType w:val="hybridMultilevel"/>
    <w:tmpl w:val="7FEA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635A1"/>
    <w:rsid w:val="0001410C"/>
    <w:rsid w:val="00020396"/>
    <w:rsid w:val="0002065E"/>
    <w:rsid w:val="00027183"/>
    <w:rsid w:val="00032549"/>
    <w:rsid w:val="00042DDD"/>
    <w:rsid w:val="0005735E"/>
    <w:rsid w:val="000626F6"/>
    <w:rsid w:val="000630BD"/>
    <w:rsid w:val="00064B43"/>
    <w:rsid w:val="00066D58"/>
    <w:rsid w:val="00083233"/>
    <w:rsid w:val="00083D92"/>
    <w:rsid w:val="00093E82"/>
    <w:rsid w:val="000974E5"/>
    <w:rsid w:val="000A0DA9"/>
    <w:rsid w:val="000A1F51"/>
    <w:rsid w:val="000A2598"/>
    <w:rsid w:val="000B0960"/>
    <w:rsid w:val="000B1D64"/>
    <w:rsid w:val="000B6DEA"/>
    <w:rsid w:val="000B794E"/>
    <w:rsid w:val="000C49BC"/>
    <w:rsid w:val="000C5AFE"/>
    <w:rsid w:val="000C71E6"/>
    <w:rsid w:val="000D6291"/>
    <w:rsid w:val="000D6387"/>
    <w:rsid w:val="000E3F33"/>
    <w:rsid w:val="000F0756"/>
    <w:rsid w:val="00103B57"/>
    <w:rsid w:val="0010550A"/>
    <w:rsid w:val="00110BC2"/>
    <w:rsid w:val="001121BF"/>
    <w:rsid w:val="001147BE"/>
    <w:rsid w:val="0011752F"/>
    <w:rsid w:val="00121AD8"/>
    <w:rsid w:val="001247AD"/>
    <w:rsid w:val="00124E95"/>
    <w:rsid w:val="00130691"/>
    <w:rsid w:val="00136A39"/>
    <w:rsid w:val="00137AC8"/>
    <w:rsid w:val="001402E0"/>
    <w:rsid w:val="001442B2"/>
    <w:rsid w:val="0015137E"/>
    <w:rsid w:val="0015251A"/>
    <w:rsid w:val="00156BAA"/>
    <w:rsid w:val="00163ABC"/>
    <w:rsid w:val="0017299A"/>
    <w:rsid w:val="001737B6"/>
    <w:rsid w:val="00173E54"/>
    <w:rsid w:val="0017544E"/>
    <w:rsid w:val="0017724D"/>
    <w:rsid w:val="00181363"/>
    <w:rsid w:val="0018245A"/>
    <w:rsid w:val="001905BE"/>
    <w:rsid w:val="0019117B"/>
    <w:rsid w:val="001A4FCC"/>
    <w:rsid w:val="001B57A4"/>
    <w:rsid w:val="001B5995"/>
    <w:rsid w:val="001B710A"/>
    <w:rsid w:val="001B7BCB"/>
    <w:rsid w:val="001C43D2"/>
    <w:rsid w:val="001D39F2"/>
    <w:rsid w:val="001D723B"/>
    <w:rsid w:val="001E0EA4"/>
    <w:rsid w:val="001E7B05"/>
    <w:rsid w:val="001F042B"/>
    <w:rsid w:val="001F2C2B"/>
    <w:rsid w:val="00200CC8"/>
    <w:rsid w:val="00205BD7"/>
    <w:rsid w:val="00210203"/>
    <w:rsid w:val="00212B47"/>
    <w:rsid w:val="002205F5"/>
    <w:rsid w:val="00220F43"/>
    <w:rsid w:val="00233A1D"/>
    <w:rsid w:val="00234D45"/>
    <w:rsid w:val="00236C2C"/>
    <w:rsid w:val="002424D5"/>
    <w:rsid w:val="00264F34"/>
    <w:rsid w:val="002704BA"/>
    <w:rsid w:val="002709F7"/>
    <w:rsid w:val="0027412A"/>
    <w:rsid w:val="0028329F"/>
    <w:rsid w:val="0029020B"/>
    <w:rsid w:val="00291352"/>
    <w:rsid w:val="0029543E"/>
    <w:rsid w:val="002A1CF7"/>
    <w:rsid w:val="002B0AE4"/>
    <w:rsid w:val="002B363E"/>
    <w:rsid w:val="002C1038"/>
    <w:rsid w:val="002C18A1"/>
    <w:rsid w:val="002D0395"/>
    <w:rsid w:val="002D0668"/>
    <w:rsid w:val="002D10AB"/>
    <w:rsid w:val="002D1B35"/>
    <w:rsid w:val="002D27D6"/>
    <w:rsid w:val="002D44BE"/>
    <w:rsid w:val="002D72F5"/>
    <w:rsid w:val="00303AAB"/>
    <w:rsid w:val="00305BF6"/>
    <w:rsid w:val="00307BF0"/>
    <w:rsid w:val="00313607"/>
    <w:rsid w:val="00316B18"/>
    <w:rsid w:val="00320EDA"/>
    <w:rsid w:val="0032132A"/>
    <w:rsid w:val="0032152F"/>
    <w:rsid w:val="00321C48"/>
    <w:rsid w:val="00322668"/>
    <w:rsid w:val="0034522A"/>
    <w:rsid w:val="0035098F"/>
    <w:rsid w:val="003568C3"/>
    <w:rsid w:val="0036162A"/>
    <w:rsid w:val="00365F29"/>
    <w:rsid w:val="00370E0C"/>
    <w:rsid w:val="00372025"/>
    <w:rsid w:val="00376AC5"/>
    <w:rsid w:val="00380A55"/>
    <w:rsid w:val="0038171F"/>
    <w:rsid w:val="00384092"/>
    <w:rsid w:val="00390AC4"/>
    <w:rsid w:val="00392FF0"/>
    <w:rsid w:val="003B51F5"/>
    <w:rsid w:val="003D0BF9"/>
    <w:rsid w:val="003D0CC9"/>
    <w:rsid w:val="003E1B51"/>
    <w:rsid w:val="003E5DC2"/>
    <w:rsid w:val="004066BE"/>
    <w:rsid w:val="00410613"/>
    <w:rsid w:val="004114A6"/>
    <w:rsid w:val="004131F0"/>
    <w:rsid w:val="00413C1B"/>
    <w:rsid w:val="004160A2"/>
    <w:rsid w:val="00423492"/>
    <w:rsid w:val="004265C5"/>
    <w:rsid w:val="00427325"/>
    <w:rsid w:val="004320E2"/>
    <w:rsid w:val="004370B2"/>
    <w:rsid w:val="004403A7"/>
    <w:rsid w:val="00442037"/>
    <w:rsid w:val="004443E4"/>
    <w:rsid w:val="00450B89"/>
    <w:rsid w:val="00452498"/>
    <w:rsid w:val="00464BEE"/>
    <w:rsid w:val="00476675"/>
    <w:rsid w:val="00482EC7"/>
    <w:rsid w:val="0048676A"/>
    <w:rsid w:val="0048699E"/>
    <w:rsid w:val="00496FF1"/>
    <w:rsid w:val="004A3A63"/>
    <w:rsid w:val="004A5F28"/>
    <w:rsid w:val="004B430F"/>
    <w:rsid w:val="004B541E"/>
    <w:rsid w:val="004B72C1"/>
    <w:rsid w:val="004B7BD0"/>
    <w:rsid w:val="004D125E"/>
    <w:rsid w:val="004E04C4"/>
    <w:rsid w:val="004E46E4"/>
    <w:rsid w:val="004E7DF6"/>
    <w:rsid w:val="004F2C3A"/>
    <w:rsid w:val="00504BCE"/>
    <w:rsid w:val="00507A83"/>
    <w:rsid w:val="00526686"/>
    <w:rsid w:val="00533B56"/>
    <w:rsid w:val="005463C6"/>
    <w:rsid w:val="00551896"/>
    <w:rsid w:val="005606F1"/>
    <w:rsid w:val="00560D1C"/>
    <w:rsid w:val="00567E8B"/>
    <w:rsid w:val="00584401"/>
    <w:rsid w:val="00597587"/>
    <w:rsid w:val="005A2A88"/>
    <w:rsid w:val="005A5B37"/>
    <w:rsid w:val="005A7C7C"/>
    <w:rsid w:val="005B3735"/>
    <w:rsid w:val="005B3E8D"/>
    <w:rsid w:val="005B7535"/>
    <w:rsid w:val="005C1616"/>
    <w:rsid w:val="005C37F7"/>
    <w:rsid w:val="005D2157"/>
    <w:rsid w:val="005D46C0"/>
    <w:rsid w:val="005D47ED"/>
    <w:rsid w:val="005D7433"/>
    <w:rsid w:val="005E417C"/>
    <w:rsid w:val="005F5103"/>
    <w:rsid w:val="005F5549"/>
    <w:rsid w:val="005F6A70"/>
    <w:rsid w:val="00603E42"/>
    <w:rsid w:val="006132A2"/>
    <w:rsid w:val="00623146"/>
    <w:rsid w:val="0062440B"/>
    <w:rsid w:val="006275E1"/>
    <w:rsid w:val="00627CEC"/>
    <w:rsid w:val="00632B7A"/>
    <w:rsid w:val="00635664"/>
    <w:rsid w:val="00643C98"/>
    <w:rsid w:val="006530B6"/>
    <w:rsid w:val="00656013"/>
    <w:rsid w:val="006647F1"/>
    <w:rsid w:val="00664EDE"/>
    <w:rsid w:val="00676552"/>
    <w:rsid w:val="00680BCD"/>
    <w:rsid w:val="006843DA"/>
    <w:rsid w:val="00686C2B"/>
    <w:rsid w:val="00686E5E"/>
    <w:rsid w:val="006905B9"/>
    <w:rsid w:val="00692927"/>
    <w:rsid w:val="006A1998"/>
    <w:rsid w:val="006B2FB0"/>
    <w:rsid w:val="006B681C"/>
    <w:rsid w:val="006C0727"/>
    <w:rsid w:val="006C11BE"/>
    <w:rsid w:val="006C52A6"/>
    <w:rsid w:val="006D40AF"/>
    <w:rsid w:val="006E145F"/>
    <w:rsid w:val="006F4B4D"/>
    <w:rsid w:val="00705B49"/>
    <w:rsid w:val="007072CB"/>
    <w:rsid w:val="007116D3"/>
    <w:rsid w:val="00712089"/>
    <w:rsid w:val="00713757"/>
    <w:rsid w:val="00722BB0"/>
    <w:rsid w:val="00725532"/>
    <w:rsid w:val="007264A4"/>
    <w:rsid w:val="007264C7"/>
    <w:rsid w:val="007345FF"/>
    <w:rsid w:val="00735D75"/>
    <w:rsid w:val="007434C6"/>
    <w:rsid w:val="00745789"/>
    <w:rsid w:val="007569C4"/>
    <w:rsid w:val="00757490"/>
    <w:rsid w:val="0076647B"/>
    <w:rsid w:val="00770572"/>
    <w:rsid w:val="00771400"/>
    <w:rsid w:val="00793534"/>
    <w:rsid w:val="00793C12"/>
    <w:rsid w:val="007950DE"/>
    <w:rsid w:val="007A0390"/>
    <w:rsid w:val="007A360C"/>
    <w:rsid w:val="007A50AE"/>
    <w:rsid w:val="007B0AB0"/>
    <w:rsid w:val="007B28BB"/>
    <w:rsid w:val="007C1CBD"/>
    <w:rsid w:val="007C4420"/>
    <w:rsid w:val="007C510F"/>
    <w:rsid w:val="007E067C"/>
    <w:rsid w:val="007E3186"/>
    <w:rsid w:val="007E6656"/>
    <w:rsid w:val="007F4D8A"/>
    <w:rsid w:val="008030F3"/>
    <w:rsid w:val="00805498"/>
    <w:rsid w:val="00807A34"/>
    <w:rsid w:val="0081126D"/>
    <w:rsid w:val="00812761"/>
    <w:rsid w:val="00815F65"/>
    <w:rsid w:val="0081728C"/>
    <w:rsid w:val="00820DD5"/>
    <w:rsid w:val="008261DE"/>
    <w:rsid w:val="008374B4"/>
    <w:rsid w:val="00837B7B"/>
    <w:rsid w:val="008417B6"/>
    <w:rsid w:val="00841EE4"/>
    <w:rsid w:val="00850558"/>
    <w:rsid w:val="00856084"/>
    <w:rsid w:val="00861211"/>
    <w:rsid w:val="00866C8C"/>
    <w:rsid w:val="00882DDD"/>
    <w:rsid w:val="00886DF1"/>
    <w:rsid w:val="0089195C"/>
    <w:rsid w:val="00892AA6"/>
    <w:rsid w:val="008A2DC0"/>
    <w:rsid w:val="008A2F9B"/>
    <w:rsid w:val="008C41AD"/>
    <w:rsid w:val="008D1B22"/>
    <w:rsid w:val="008D4095"/>
    <w:rsid w:val="008E3083"/>
    <w:rsid w:val="008E3BEB"/>
    <w:rsid w:val="008F0170"/>
    <w:rsid w:val="008F5201"/>
    <w:rsid w:val="00904ED7"/>
    <w:rsid w:val="0090557F"/>
    <w:rsid w:val="009138EA"/>
    <w:rsid w:val="00913D1D"/>
    <w:rsid w:val="0091748A"/>
    <w:rsid w:val="009209AF"/>
    <w:rsid w:val="009243A7"/>
    <w:rsid w:val="00925EDB"/>
    <w:rsid w:val="0092607C"/>
    <w:rsid w:val="00933331"/>
    <w:rsid w:val="009345C8"/>
    <w:rsid w:val="00934BE0"/>
    <w:rsid w:val="0094109C"/>
    <w:rsid w:val="00942F15"/>
    <w:rsid w:val="00950DA8"/>
    <w:rsid w:val="009566A3"/>
    <w:rsid w:val="00961442"/>
    <w:rsid w:val="009635A1"/>
    <w:rsid w:val="00964AC7"/>
    <w:rsid w:val="0096566E"/>
    <w:rsid w:val="009706C7"/>
    <w:rsid w:val="009715D6"/>
    <w:rsid w:val="00971F63"/>
    <w:rsid w:val="00973D9B"/>
    <w:rsid w:val="009869A6"/>
    <w:rsid w:val="00996EC9"/>
    <w:rsid w:val="00996FA9"/>
    <w:rsid w:val="009A29A2"/>
    <w:rsid w:val="009A5A2B"/>
    <w:rsid w:val="009B6D26"/>
    <w:rsid w:val="009B76B6"/>
    <w:rsid w:val="009C40F2"/>
    <w:rsid w:val="009D1AFC"/>
    <w:rsid w:val="009D3E7E"/>
    <w:rsid w:val="009E1780"/>
    <w:rsid w:val="009E1AB0"/>
    <w:rsid w:val="009E3B14"/>
    <w:rsid w:val="009E72A0"/>
    <w:rsid w:val="009F02FF"/>
    <w:rsid w:val="009F0C67"/>
    <w:rsid w:val="009F2CB8"/>
    <w:rsid w:val="009F5B88"/>
    <w:rsid w:val="009F772A"/>
    <w:rsid w:val="009F77A3"/>
    <w:rsid w:val="00A00FF6"/>
    <w:rsid w:val="00A0481C"/>
    <w:rsid w:val="00A0507B"/>
    <w:rsid w:val="00A0528A"/>
    <w:rsid w:val="00A06B14"/>
    <w:rsid w:val="00A073D4"/>
    <w:rsid w:val="00A16D93"/>
    <w:rsid w:val="00A31F02"/>
    <w:rsid w:val="00A32249"/>
    <w:rsid w:val="00A330E5"/>
    <w:rsid w:val="00A40052"/>
    <w:rsid w:val="00A475D6"/>
    <w:rsid w:val="00A53D17"/>
    <w:rsid w:val="00A549F9"/>
    <w:rsid w:val="00A577EF"/>
    <w:rsid w:val="00A647B2"/>
    <w:rsid w:val="00A67B0C"/>
    <w:rsid w:val="00A76584"/>
    <w:rsid w:val="00A82F2E"/>
    <w:rsid w:val="00A929BA"/>
    <w:rsid w:val="00A949DE"/>
    <w:rsid w:val="00AA0AE5"/>
    <w:rsid w:val="00AA427C"/>
    <w:rsid w:val="00AB00B7"/>
    <w:rsid w:val="00AB0664"/>
    <w:rsid w:val="00AB39FB"/>
    <w:rsid w:val="00AB482B"/>
    <w:rsid w:val="00AB5430"/>
    <w:rsid w:val="00AC3267"/>
    <w:rsid w:val="00AC33B0"/>
    <w:rsid w:val="00AC3681"/>
    <w:rsid w:val="00AC37B6"/>
    <w:rsid w:val="00AD02E4"/>
    <w:rsid w:val="00AD0934"/>
    <w:rsid w:val="00AE64B1"/>
    <w:rsid w:val="00AF488E"/>
    <w:rsid w:val="00AF75E4"/>
    <w:rsid w:val="00B10135"/>
    <w:rsid w:val="00B16652"/>
    <w:rsid w:val="00B2133C"/>
    <w:rsid w:val="00B35DF1"/>
    <w:rsid w:val="00B42FD9"/>
    <w:rsid w:val="00B53EE7"/>
    <w:rsid w:val="00B54BD6"/>
    <w:rsid w:val="00B636DD"/>
    <w:rsid w:val="00B670F3"/>
    <w:rsid w:val="00B73681"/>
    <w:rsid w:val="00B80916"/>
    <w:rsid w:val="00B90ED7"/>
    <w:rsid w:val="00BA3DE6"/>
    <w:rsid w:val="00BB1EB9"/>
    <w:rsid w:val="00BD2BDF"/>
    <w:rsid w:val="00BD7100"/>
    <w:rsid w:val="00BD7C1E"/>
    <w:rsid w:val="00BE4C77"/>
    <w:rsid w:val="00BE55F1"/>
    <w:rsid w:val="00BE6041"/>
    <w:rsid w:val="00BE68C2"/>
    <w:rsid w:val="00C01F90"/>
    <w:rsid w:val="00C1046E"/>
    <w:rsid w:val="00C357F3"/>
    <w:rsid w:val="00C46DC4"/>
    <w:rsid w:val="00C6065B"/>
    <w:rsid w:val="00C65944"/>
    <w:rsid w:val="00C67455"/>
    <w:rsid w:val="00C800E5"/>
    <w:rsid w:val="00C81538"/>
    <w:rsid w:val="00C83392"/>
    <w:rsid w:val="00C87A3E"/>
    <w:rsid w:val="00CA09B2"/>
    <w:rsid w:val="00CA6BA5"/>
    <w:rsid w:val="00CB3C22"/>
    <w:rsid w:val="00CC3C5A"/>
    <w:rsid w:val="00CC436C"/>
    <w:rsid w:val="00CC4909"/>
    <w:rsid w:val="00CE0640"/>
    <w:rsid w:val="00CE69BF"/>
    <w:rsid w:val="00CF0403"/>
    <w:rsid w:val="00CF2F18"/>
    <w:rsid w:val="00CF3014"/>
    <w:rsid w:val="00CF58B5"/>
    <w:rsid w:val="00D024DE"/>
    <w:rsid w:val="00D04564"/>
    <w:rsid w:val="00D06CD0"/>
    <w:rsid w:val="00D156D5"/>
    <w:rsid w:val="00D20350"/>
    <w:rsid w:val="00D260F4"/>
    <w:rsid w:val="00D34FBD"/>
    <w:rsid w:val="00D35F5A"/>
    <w:rsid w:val="00D36A73"/>
    <w:rsid w:val="00D42575"/>
    <w:rsid w:val="00D42A0E"/>
    <w:rsid w:val="00D44D98"/>
    <w:rsid w:val="00D555D5"/>
    <w:rsid w:val="00D56C6D"/>
    <w:rsid w:val="00D575AC"/>
    <w:rsid w:val="00D62922"/>
    <w:rsid w:val="00D63138"/>
    <w:rsid w:val="00D63CE3"/>
    <w:rsid w:val="00D65849"/>
    <w:rsid w:val="00D6616B"/>
    <w:rsid w:val="00D66D29"/>
    <w:rsid w:val="00D740A0"/>
    <w:rsid w:val="00D75FB9"/>
    <w:rsid w:val="00D81B7F"/>
    <w:rsid w:val="00D87E81"/>
    <w:rsid w:val="00D93E8A"/>
    <w:rsid w:val="00D96D6E"/>
    <w:rsid w:val="00DA0E30"/>
    <w:rsid w:val="00DA636C"/>
    <w:rsid w:val="00DB0094"/>
    <w:rsid w:val="00DB40AD"/>
    <w:rsid w:val="00DC009C"/>
    <w:rsid w:val="00DC5A7B"/>
    <w:rsid w:val="00DD4431"/>
    <w:rsid w:val="00DD5A69"/>
    <w:rsid w:val="00DE0293"/>
    <w:rsid w:val="00DE443C"/>
    <w:rsid w:val="00DE6392"/>
    <w:rsid w:val="00DE75BF"/>
    <w:rsid w:val="00DF295C"/>
    <w:rsid w:val="00DF3CA1"/>
    <w:rsid w:val="00DF4C37"/>
    <w:rsid w:val="00E11AB1"/>
    <w:rsid w:val="00E139BE"/>
    <w:rsid w:val="00E148EC"/>
    <w:rsid w:val="00E21E85"/>
    <w:rsid w:val="00E26145"/>
    <w:rsid w:val="00E2748B"/>
    <w:rsid w:val="00E301CE"/>
    <w:rsid w:val="00E3344A"/>
    <w:rsid w:val="00E414F5"/>
    <w:rsid w:val="00E50069"/>
    <w:rsid w:val="00E560E7"/>
    <w:rsid w:val="00E65146"/>
    <w:rsid w:val="00E67132"/>
    <w:rsid w:val="00E73CBF"/>
    <w:rsid w:val="00E77430"/>
    <w:rsid w:val="00E77FD0"/>
    <w:rsid w:val="00E80CA5"/>
    <w:rsid w:val="00E8104F"/>
    <w:rsid w:val="00E843A0"/>
    <w:rsid w:val="00E94FFE"/>
    <w:rsid w:val="00EA4F6A"/>
    <w:rsid w:val="00EA6C57"/>
    <w:rsid w:val="00EA7EBB"/>
    <w:rsid w:val="00EB4269"/>
    <w:rsid w:val="00EB7CE1"/>
    <w:rsid w:val="00EC252A"/>
    <w:rsid w:val="00EC6BF3"/>
    <w:rsid w:val="00ED507A"/>
    <w:rsid w:val="00ED7EAD"/>
    <w:rsid w:val="00EE4A70"/>
    <w:rsid w:val="00EF11DA"/>
    <w:rsid w:val="00EF1A28"/>
    <w:rsid w:val="00EF45DF"/>
    <w:rsid w:val="00EF4B30"/>
    <w:rsid w:val="00F01D15"/>
    <w:rsid w:val="00F035AD"/>
    <w:rsid w:val="00F05025"/>
    <w:rsid w:val="00F06A39"/>
    <w:rsid w:val="00F070D2"/>
    <w:rsid w:val="00F12D48"/>
    <w:rsid w:val="00F14859"/>
    <w:rsid w:val="00F167F2"/>
    <w:rsid w:val="00F25DE6"/>
    <w:rsid w:val="00F4280C"/>
    <w:rsid w:val="00F4495D"/>
    <w:rsid w:val="00F6028D"/>
    <w:rsid w:val="00F66E30"/>
    <w:rsid w:val="00F7079B"/>
    <w:rsid w:val="00F7648F"/>
    <w:rsid w:val="00F82627"/>
    <w:rsid w:val="00F92C90"/>
    <w:rsid w:val="00F935E9"/>
    <w:rsid w:val="00FB67AC"/>
    <w:rsid w:val="00FC4A21"/>
    <w:rsid w:val="00FC567E"/>
    <w:rsid w:val="00FD2C6E"/>
    <w:rsid w:val="00FD413D"/>
    <w:rsid w:val="00FD662B"/>
    <w:rsid w:val="00FE4134"/>
    <w:rsid w:val="00FF0095"/>
    <w:rsid w:val="00FF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1B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21B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121B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121B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121B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121B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121BF"/>
    <w:pPr>
      <w:jc w:val="center"/>
    </w:pPr>
    <w:rPr>
      <w:b/>
      <w:sz w:val="28"/>
    </w:rPr>
  </w:style>
  <w:style w:type="paragraph" w:customStyle="1" w:styleId="T2">
    <w:name w:val="T2"/>
    <w:basedOn w:val="T1"/>
    <w:rsid w:val="001121BF"/>
    <w:pPr>
      <w:spacing w:after="240"/>
      <w:ind w:left="720" w:right="720"/>
    </w:pPr>
  </w:style>
  <w:style w:type="paragraph" w:customStyle="1" w:styleId="T3">
    <w:name w:val="T3"/>
    <w:basedOn w:val="T1"/>
    <w:rsid w:val="001121B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121BF"/>
    <w:pPr>
      <w:ind w:left="720" w:hanging="720"/>
    </w:pPr>
  </w:style>
  <w:style w:type="character" w:styleId="Hyperlink">
    <w:name w:val="Hyperlink"/>
    <w:basedOn w:val="DefaultParagraphFont"/>
    <w:rsid w:val="001121B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05BF6"/>
    <w:rPr>
      <w:rFonts w:ascii="Consolas" w:eastAsia="SimSun" w:hAnsi="Consolas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05BF6"/>
    <w:rPr>
      <w:rFonts w:ascii="Consolas" w:eastAsia="SimSun" w:hAnsi="Consolas" w:cs="Times New Roman"/>
      <w:sz w:val="21"/>
      <w:szCs w:val="21"/>
    </w:rPr>
  </w:style>
  <w:style w:type="paragraph" w:customStyle="1" w:styleId="Default">
    <w:name w:val="Default"/>
    <w:rsid w:val="003568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3294923">
    <w:name w:val="SP.3.294923"/>
    <w:basedOn w:val="Default"/>
    <w:next w:val="Default"/>
    <w:uiPriority w:val="99"/>
    <w:rsid w:val="003568C3"/>
    <w:rPr>
      <w:color w:val="auto"/>
    </w:rPr>
  </w:style>
  <w:style w:type="paragraph" w:customStyle="1" w:styleId="SP3295022">
    <w:name w:val="SP.3.295022"/>
    <w:basedOn w:val="Default"/>
    <w:next w:val="Default"/>
    <w:uiPriority w:val="99"/>
    <w:rsid w:val="003568C3"/>
    <w:rPr>
      <w:color w:val="auto"/>
    </w:rPr>
  </w:style>
  <w:style w:type="paragraph" w:customStyle="1" w:styleId="SP3294968">
    <w:name w:val="SP.3.294968"/>
    <w:basedOn w:val="Default"/>
    <w:next w:val="Default"/>
    <w:uiPriority w:val="99"/>
    <w:rsid w:val="003568C3"/>
    <w:rPr>
      <w:color w:val="auto"/>
    </w:rPr>
  </w:style>
  <w:style w:type="character" w:customStyle="1" w:styleId="SC34016">
    <w:name w:val="SC.3.4016"/>
    <w:uiPriority w:val="99"/>
    <w:rsid w:val="003568C3"/>
    <w:rPr>
      <w:color w:val="000000"/>
      <w:sz w:val="20"/>
      <w:szCs w:val="20"/>
    </w:rPr>
  </w:style>
  <w:style w:type="paragraph" w:customStyle="1" w:styleId="SP3294914">
    <w:name w:val="SP.3.294914"/>
    <w:basedOn w:val="Default"/>
    <w:next w:val="Default"/>
    <w:uiPriority w:val="99"/>
    <w:rsid w:val="000630BD"/>
    <w:rPr>
      <w:rFonts w:ascii="Arial" w:hAnsi="Arial" w:cs="Arial"/>
      <w:color w:val="auto"/>
    </w:rPr>
  </w:style>
  <w:style w:type="paragraph" w:customStyle="1" w:styleId="SP3295000">
    <w:name w:val="SP.3.295000"/>
    <w:basedOn w:val="Default"/>
    <w:next w:val="Default"/>
    <w:uiPriority w:val="99"/>
    <w:rsid w:val="000630BD"/>
    <w:rPr>
      <w:rFonts w:ascii="Arial" w:hAnsi="Arial" w:cs="Arial"/>
      <w:color w:val="auto"/>
    </w:rPr>
  </w:style>
  <w:style w:type="character" w:customStyle="1" w:styleId="SC34035">
    <w:name w:val="SC.3.4035"/>
    <w:uiPriority w:val="99"/>
    <w:rsid w:val="00E843A0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T">
    <w:name w:val="T"/>
    <w:aliases w:val="Text"/>
    <w:uiPriority w:val="99"/>
    <w:rsid w:val="00EA7E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3217099">
    <w:name w:val="SP.3.217099"/>
    <w:basedOn w:val="Default"/>
    <w:next w:val="Default"/>
    <w:uiPriority w:val="99"/>
    <w:rsid w:val="00882DDD"/>
    <w:rPr>
      <w:rFonts w:ascii="Arial" w:hAnsi="Arial" w:cs="Arial"/>
      <w:color w:val="auto"/>
    </w:rPr>
  </w:style>
  <w:style w:type="paragraph" w:customStyle="1" w:styleId="SP3217198">
    <w:name w:val="SP.3.217198"/>
    <w:basedOn w:val="Default"/>
    <w:next w:val="Default"/>
    <w:uiPriority w:val="99"/>
    <w:rsid w:val="00882DDD"/>
    <w:rPr>
      <w:rFonts w:ascii="Arial" w:hAnsi="Arial" w:cs="Arial"/>
      <w:color w:val="auto"/>
    </w:rPr>
  </w:style>
  <w:style w:type="paragraph" w:customStyle="1" w:styleId="SP3217144">
    <w:name w:val="SP.3.217144"/>
    <w:basedOn w:val="Default"/>
    <w:next w:val="Default"/>
    <w:uiPriority w:val="99"/>
    <w:rsid w:val="00882DDD"/>
    <w:rPr>
      <w:rFonts w:ascii="Arial" w:hAnsi="Arial" w:cs="Arial"/>
      <w:color w:val="auto"/>
    </w:rPr>
  </w:style>
  <w:style w:type="character" w:customStyle="1" w:styleId="SC34062">
    <w:name w:val="SC.3.4062"/>
    <w:uiPriority w:val="99"/>
    <w:rsid w:val="00882DDD"/>
    <w:rPr>
      <w:color w:val="000000"/>
      <w:sz w:val="20"/>
      <w:szCs w:val="20"/>
    </w:rPr>
  </w:style>
  <w:style w:type="paragraph" w:customStyle="1" w:styleId="SP3217090">
    <w:name w:val="SP.3.217090"/>
    <w:basedOn w:val="Default"/>
    <w:next w:val="Default"/>
    <w:uiPriority w:val="99"/>
    <w:rsid w:val="00882DDD"/>
    <w:rPr>
      <w:rFonts w:ascii="Arial" w:hAnsi="Arial" w:cs="Arial"/>
      <w:color w:val="auto"/>
    </w:rPr>
  </w:style>
  <w:style w:type="paragraph" w:customStyle="1" w:styleId="SP3217176">
    <w:name w:val="SP.3.217176"/>
    <w:basedOn w:val="Default"/>
    <w:next w:val="Default"/>
    <w:uiPriority w:val="99"/>
    <w:rsid w:val="00882DDD"/>
    <w:rPr>
      <w:rFonts w:ascii="Arial" w:hAnsi="Arial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0A28-313D-48E2-988B-1573BEFF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310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Brian Hart</dc:creator>
  <cp:keywords>Mar. 2011</cp:keywords>
  <dc:description>John Doe, Somwhere Company</dc:description>
  <cp:lastModifiedBy>hongyuan</cp:lastModifiedBy>
  <cp:revision>36</cp:revision>
  <dcterms:created xsi:type="dcterms:W3CDTF">2012-09-19T20:44:00Z</dcterms:created>
  <dcterms:modified xsi:type="dcterms:W3CDTF">2013-01-15T01:07:00Z</dcterms:modified>
</cp:coreProperties>
</file>