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F94983">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w:t>
            </w:r>
            <w:r w:rsidR="00237C51">
              <w:rPr>
                <w:rFonts w:eastAsia="MS Mincho"/>
                <w:lang w:eastAsia="ja-JP"/>
              </w:rPr>
              <w:t>11af comment resolutions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F45090">
              <w:rPr>
                <w:b w:val="0"/>
                <w:sz w:val="20"/>
              </w:rPr>
              <w:t>-11</w:t>
            </w:r>
            <w:r w:rsidR="008B1D0A" w:rsidRPr="005B533A">
              <w:rPr>
                <w:b w:val="0"/>
                <w:sz w:val="20"/>
              </w:rPr>
              <w:t>-</w:t>
            </w:r>
            <w:r w:rsidR="000D1AED">
              <w:rPr>
                <w:b w:val="0"/>
                <w:sz w:val="20"/>
              </w:rPr>
              <w:t>1</w:t>
            </w:r>
            <w:r w:rsidR="006618BA">
              <w:rPr>
                <w:b w:val="0"/>
                <w:sz w:val="20"/>
              </w:rPr>
              <w:t>4</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E54F63"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6618B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618BA" w:rsidRPr="006618BA">
                              <w:rPr>
                                <w:rFonts w:eastAsia="MS Mincho"/>
                                <w:lang w:eastAsia="ja-JP"/>
                              </w:rPr>
                              <w:t>66, 352</w:t>
                            </w:r>
                            <w:r w:rsidR="00C95DCC">
                              <w:rPr>
                                <w:rFonts w:eastAsia="MS Mincho"/>
                                <w:lang w:eastAsia="ja-JP"/>
                              </w:rPr>
                              <w:t>,</w:t>
                            </w:r>
                            <w:r w:rsidR="006618BA">
                              <w:rPr>
                                <w:rFonts w:eastAsia="MS Mincho"/>
                                <w:lang w:eastAsia="ja-JP"/>
                              </w:rPr>
                              <w:t xml:space="preserve"> and 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6618B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618BA" w:rsidRPr="006618BA">
                        <w:rPr>
                          <w:rFonts w:eastAsia="MS Mincho"/>
                          <w:lang w:eastAsia="ja-JP"/>
                        </w:rPr>
                        <w:t>66, 352</w:t>
                      </w:r>
                      <w:r w:rsidR="00C95DCC">
                        <w:rPr>
                          <w:rFonts w:eastAsia="MS Mincho"/>
                          <w:lang w:eastAsia="ja-JP"/>
                        </w:rPr>
                        <w:t>,</w:t>
                      </w:r>
                      <w:r w:rsidR="006618BA">
                        <w:rPr>
                          <w:rFonts w:eastAsia="MS Mincho"/>
                          <w:lang w:eastAsia="ja-JP"/>
                        </w:rPr>
                        <w:t xml:space="preserve"> and 500.</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Default="00BD4F35" w:rsidP="00167F24"/>
    <w:p w:rsidR="006B45C5" w:rsidRDefault="006B45C5" w:rsidP="00167F24"/>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Default="007F509D" w:rsidP="007F509D">
      <w:pPr>
        <w:rPr>
          <w:rFonts w:eastAsia="MS Mincho"/>
          <w:lang w:eastAsia="ja-JP"/>
        </w:rPr>
      </w:pPr>
    </w:p>
    <w:p w:rsidR="006618BA" w:rsidRDefault="006618BA" w:rsidP="007F509D">
      <w:pPr>
        <w:rPr>
          <w:rFonts w:eastAsia="MS Mincho"/>
          <w:lang w:eastAsia="ja-JP"/>
        </w:rPr>
      </w:pPr>
    </w:p>
    <w:tbl>
      <w:tblPr>
        <w:tblW w:w="88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939"/>
        <w:gridCol w:w="1217"/>
        <w:gridCol w:w="2142"/>
        <w:gridCol w:w="1710"/>
        <w:gridCol w:w="2182"/>
      </w:tblGrid>
      <w:tr w:rsidR="00445124" w:rsidRPr="006618BA" w:rsidTr="00445124">
        <w:trPr>
          <w:trHeight w:val="510"/>
        </w:trPr>
        <w:tc>
          <w:tcPr>
            <w:tcW w:w="672" w:type="dxa"/>
            <w:shd w:val="clear" w:color="auto" w:fill="auto"/>
            <w:hideMark/>
          </w:tcPr>
          <w:p w:rsidR="00445124" w:rsidRPr="006618BA" w:rsidRDefault="00445124" w:rsidP="006618BA">
            <w:pPr>
              <w:rPr>
                <w:rFonts w:ascii="Arial" w:eastAsia="Times New Roman" w:hAnsi="Arial" w:cs="Arial"/>
                <w:b/>
                <w:bCs/>
                <w:sz w:val="20"/>
                <w:lang w:val="en-US"/>
              </w:rPr>
            </w:pPr>
            <w:r w:rsidRPr="006618BA">
              <w:rPr>
                <w:rFonts w:ascii="Arial" w:eastAsia="Times New Roman" w:hAnsi="Arial" w:cs="Arial"/>
                <w:b/>
                <w:bCs/>
                <w:sz w:val="20"/>
                <w:lang w:val="en-US"/>
              </w:rPr>
              <w:t>CID</w:t>
            </w:r>
          </w:p>
        </w:tc>
        <w:tc>
          <w:tcPr>
            <w:tcW w:w="939" w:type="dxa"/>
            <w:shd w:val="clear" w:color="auto" w:fill="auto"/>
            <w:hideMark/>
          </w:tcPr>
          <w:p w:rsidR="00445124" w:rsidRPr="006618BA" w:rsidRDefault="00445124" w:rsidP="006618BA">
            <w:pPr>
              <w:rPr>
                <w:rFonts w:ascii="Arial" w:eastAsia="Times New Roman" w:hAnsi="Arial" w:cs="Arial"/>
                <w:b/>
                <w:bCs/>
                <w:sz w:val="20"/>
                <w:lang w:val="en-US"/>
              </w:rPr>
            </w:pPr>
            <w:r w:rsidRPr="006618BA">
              <w:rPr>
                <w:rFonts w:ascii="Arial" w:eastAsia="Times New Roman" w:hAnsi="Arial" w:cs="Arial"/>
                <w:b/>
                <w:bCs/>
                <w:sz w:val="20"/>
                <w:lang w:val="en-US"/>
              </w:rPr>
              <w:t>Page</w:t>
            </w:r>
          </w:p>
        </w:tc>
        <w:tc>
          <w:tcPr>
            <w:tcW w:w="1217" w:type="dxa"/>
            <w:shd w:val="clear" w:color="auto" w:fill="auto"/>
            <w:hideMark/>
          </w:tcPr>
          <w:p w:rsidR="00445124" w:rsidRPr="006618BA" w:rsidRDefault="00445124" w:rsidP="006618BA">
            <w:pPr>
              <w:rPr>
                <w:rFonts w:ascii="Arial" w:eastAsia="Times New Roman" w:hAnsi="Arial" w:cs="Arial"/>
                <w:b/>
                <w:bCs/>
                <w:sz w:val="20"/>
                <w:lang w:val="en-US"/>
              </w:rPr>
            </w:pPr>
            <w:r w:rsidRPr="006618BA">
              <w:rPr>
                <w:rFonts w:ascii="Arial" w:eastAsia="Times New Roman" w:hAnsi="Arial" w:cs="Arial"/>
                <w:b/>
                <w:bCs/>
                <w:sz w:val="20"/>
                <w:lang w:val="en-US"/>
              </w:rPr>
              <w:t>Clause</w:t>
            </w:r>
          </w:p>
        </w:tc>
        <w:tc>
          <w:tcPr>
            <w:tcW w:w="2142" w:type="dxa"/>
            <w:shd w:val="clear" w:color="auto" w:fill="auto"/>
            <w:hideMark/>
          </w:tcPr>
          <w:p w:rsidR="00445124" w:rsidRPr="006618BA" w:rsidRDefault="00445124" w:rsidP="006618BA">
            <w:pPr>
              <w:rPr>
                <w:rFonts w:ascii="Arial" w:eastAsia="Times New Roman" w:hAnsi="Arial" w:cs="Arial"/>
                <w:b/>
                <w:bCs/>
                <w:sz w:val="20"/>
                <w:lang w:val="en-US"/>
              </w:rPr>
            </w:pPr>
            <w:r w:rsidRPr="006618BA">
              <w:rPr>
                <w:rFonts w:ascii="Arial" w:eastAsia="Times New Roman" w:hAnsi="Arial" w:cs="Arial"/>
                <w:b/>
                <w:bCs/>
                <w:sz w:val="20"/>
                <w:lang w:val="en-US"/>
              </w:rPr>
              <w:t>Comment</w:t>
            </w:r>
          </w:p>
        </w:tc>
        <w:tc>
          <w:tcPr>
            <w:tcW w:w="1710" w:type="dxa"/>
            <w:shd w:val="clear" w:color="auto" w:fill="auto"/>
            <w:hideMark/>
          </w:tcPr>
          <w:p w:rsidR="00445124" w:rsidRPr="006618BA" w:rsidRDefault="00445124" w:rsidP="006618BA">
            <w:pPr>
              <w:rPr>
                <w:rFonts w:ascii="Arial" w:eastAsia="Times New Roman" w:hAnsi="Arial" w:cs="Arial"/>
                <w:b/>
                <w:bCs/>
                <w:sz w:val="20"/>
                <w:lang w:val="en-US"/>
              </w:rPr>
            </w:pPr>
            <w:r w:rsidRPr="006618BA">
              <w:rPr>
                <w:rFonts w:ascii="Arial" w:eastAsia="Times New Roman" w:hAnsi="Arial" w:cs="Arial"/>
                <w:b/>
                <w:bCs/>
                <w:sz w:val="20"/>
                <w:lang w:val="en-US"/>
              </w:rPr>
              <w:t>Proposed Change</w:t>
            </w:r>
          </w:p>
        </w:tc>
        <w:tc>
          <w:tcPr>
            <w:tcW w:w="2182" w:type="dxa"/>
            <w:shd w:val="clear" w:color="auto" w:fill="auto"/>
            <w:hideMark/>
          </w:tcPr>
          <w:p w:rsidR="00445124" w:rsidRPr="006618BA" w:rsidRDefault="00445124" w:rsidP="005713EB">
            <w:pPr>
              <w:rPr>
                <w:rFonts w:ascii="Arial" w:eastAsia="Times New Roman" w:hAnsi="Arial" w:cs="Arial"/>
                <w:b/>
                <w:bCs/>
                <w:sz w:val="20"/>
                <w:lang w:val="en-US"/>
              </w:rPr>
            </w:pPr>
            <w:r w:rsidRPr="006618BA">
              <w:rPr>
                <w:rFonts w:ascii="Arial" w:eastAsia="Times New Roman" w:hAnsi="Arial" w:cs="Arial"/>
                <w:b/>
                <w:bCs/>
                <w:sz w:val="20"/>
                <w:lang w:val="en-US"/>
              </w:rPr>
              <w:t>Resolution</w:t>
            </w:r>
          </w:p>
        </w:tc>
      </w:tr>
      <w:tr w:rsidR="00445124" w:rsidRPr="006618BA" w:rsidTr="00445124">
        <w:trPr>
          <w:trHeight w:val="1200"/>
        </w:trPr>
        <w:tc>
          <w:tcPr>
            <w:tcW w:w="672" w:type="dxa"/>
            <w:shd w:val="clear" w:color="auto" w:fill="auto"/>
            <w:hideMark/>
          </w:tcPr>
          <w:p w:rsidR="00445124" w:rsidRPr="006618BA" w:rsidRDefault="00445124" w:rsidP="006618BA">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66</w:t>
            </w:r>
          </w:p>
        </w:tc>
        <w:tc>
          <w:tcPr>
            <w:tcW w:w="939" w:type="dxa"/>
            <w:shd w:val="clear" w:color="auto" w:fill="auto"/>
            <w:hideMark/>
          </w:tcPr>
          <w:p w:rsidR="00445124" w:rsidRPr="006618BA" w:rsidRDefault="00445124" w:rsidP="006618BA">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242.61</w:t>
            </w:r>
          </w:p>
        </w:tc>
        <w:tc>
          <w:tcPr>
            <w:tcW w:w="1217"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23.3.8.2.3</w:t>
            </w:r>
          </w:p>
        </w:tc>
        <w:tc>
          <w:tcPr>
            <w:tcW w:w="2142"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Assuming VHT-SIG-A symbols are BCC encoded with rate R=1/2 and using 108 data subcarriers, then the number of bits in each of the TVHT-SIG-A symbols is 54 bits. Is that true? If yes then TVHT-SIG-A doesn't have the same number of bits as in VHT-SIG-A (24 bits).</w:t>
            </w:r>
          </w:p>
        </w:tc>
        <w:tc>
          <w:tcPr>
            <w:tcW w:w="1710"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clarify</w:t>
            </w:r>
          </w:p>
        </w:tc>
        <w:tc>
          <w:tcPr>
            <w:tcW w:w="2182" w:type="dxa"/>
            <w:shd w:val="clear" w:color="auto" w:fill="auto"/>
            <w:noWrap/>
            <w:hideMark/>
          </w:tcPr>
          <w:p w:rsidR="00445124" w:rsidRPr="005713EB" w:rsidRDefault="00445124" w:rsidP="005713EB">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Rejected:</w:t>
            </w:r>
          </w:p>
          <w:p w:rsidR="00445124" w:rsidRPr="006618BA" w:rsidRDefault="00445124" w:rsidP="005713EB">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 xml:space="preserve">11af has adopted VHT40 frame structure. Hence SIG field is duplicated over each “VHT20” section using 54 tones. Furthermore, 11af uses the same bit-mapping with 11ac. </w:t>
            </w:r>
          </w:p>
        </w:tc>
      </w:tr>
      <w:tr w:rsidR="00445124" w:rsidRPr="006618BA" w:rsidTr="00445124">
        <w:trPr>
          <w:trHeight w:val="1200"/>
        </w:trPr>
        <w:tc>
          <w:tcPr>
            <w:tcW w:w="672" w:type="dxa"/>
            <w:shd w:val="clear" w:color="auto" w:fill="auto"/>
          </w:tcPr>
          <w:p w:rsidR="00445124" w:rsidRPr="006618BA" w:rsidRDefault="00445124"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352</w:t>
            </w:r>
          </w:p>
        </w:tc>
        <w:tc>
          <w:tcPr>
            <w:tcW w:w="939" w:type="dxa"/>
            <w:shd w:val="clear" w:color="auto" w:fill="auto"/>
          </w:tcPr>
          <w:p w:rsidR="00445124" w:rsidRPr="006618BA" w:rsidRDefault="00445124"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242.61</w:t>
            </w:r>
          </w:p>
        </w:tc>
        <w:tc>
          <w:tcPr>
            <w:tcW w:w="1217" w:type="dxa"/>
            <w:shd w:val="clear" w:color="auto" w:fill="auto"/>
          </w:tcPr>
          <w:p w:rsidR="00445124" w:rsidRPr="006618BA" w:rsidRDefault="00445124"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23.3.8.2.3</w:t>
            </w:r>
          </w:p>
        </w:tc>
        <w:tc>
          <w:tcPr>
            <w:tcW w:w="2142" w:type="dxa"/>
            <w:shd w:val="clear" w:color="auto" w:fill="auto"/>
          </w:tcPr>
          <w:p w:rsidR="00445124" w:rsidRPr="006618BA" w:rsidRDefault="00445124"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Assuming VHT-SIG-A symbols are BCC encoded with rate R=1/2 and using 108 data subcarriers, then the number of bits in each of the TVHT-SIG-A symbols is 54 bits. Is that true? If yes then TVHT-SIG-A doesn't have the same number of bits as in VHT-SIG-A (24 bits).</w:t>
            </w:r>
          </w:p>
        </w:tc>
        <w:tc>
          <w:tcPr>
            <w:tcW w:w="1710" w:type="dxa"/>
            <w:shd w:val="clear" w:color="auto" w:fill="auto"/>
          </w:tcPr>
          <w:p w:rsidR="00445124" w:rsidRPr="006618BA" w:rsidRDefault="00445124"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Clarify</w:t>
            </w:r>
          </w:p>
        </w:tc>
        <w:tc>
          <w:tcPr>
            <w:tcW w:w="2182" w:type="dxa"/>
            <w:shd w:val="clear" w:color="auto" w:fill="auto"/>
            <w:noWrap/>
          </w:tcPr>
          <w:p w:rsidR="00445124" w:rsidRPr="005713EB" w:rsidRDefault="00445124" w:rsidP="005713EB">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Rejected:</w:t>
            </w:r>
          </w:p>
          <w:p w:rsidR="00445124" w:rsidRPr="005713EB" w:rsidRDefault="00445124" w:rsidP="005713EB">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11af has adopted VHT40 frame structure. Hence SIG field is duplicated over each “VHT20” section using 54 tones. Furthermore, 11af uses the same bit-mapping with 11ac.</w:t>
            </w:r>
          </w:p>
        </w:tc>
      </w:tr>
      <w:tr w:rsidR="00445124" w:rsidRPr="006618BA" w:rsidTr="00445124">
        <w:trPr>
          <w:trHeight w:val="1200"/>
        </w:trPr>
        <w:tc>
          <w:tcPr>
            <w:tcW w:w="672" w:type="dxa"/>
            <w:shd w:val="clear" w:color="auto" w:fill="auto"/>
            <w:hideMark/>
          </w:tcPr>
          <w:p w:rsidR="00445124" w:rsidRPr="006618BA" w:rsidRDefault="00445124" w:rsidP="006618BA">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lastRenderedPageBreak/>
              <w:t>500</w:t>
            </w:r>
          </w:p>
        </w:tc>
        <w:tc>
          <w:tcPr>
            <w:tcW w:w="939" w:type="dxa"/>
            <w:shd w:val="clear" w:color="auto" w:fill="auto"/>
            <w:hideMark/>
          </w:tcPr>
          <w:p w:rsidR="00445124" w:rsidRPr="006618BA" w:rsidRDefault="00445124" w:rsidP="006618BA">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35.06</w:t>
            </w:r>
          </w:p>
        </w:tc>
        <w:tc>
          <w:tcPr>
            <w:tcW w:w="1217"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8.2.3</w:t>
            </w:r>
          </w:p>
        </w:tc>
        <w:tc>
          <w:tcPr>
            <w:tcW w:w="2142"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 xml:space="preserve">Table 8-0a needs update for TVHT, second column heading plus fourth column, </w:t>
            </w:r>
            <w:proofErr w:type="spellStart"/>
            <w:r w:rsidRPr="006618BA">
              <w:rPr>
                <w:rFonts w:ascii="Calibri" w:eastAsia="Times New Roman" w:hAnsi="Calibri" w:cs="Calibri"/>
                <w:color w:val="000000"/>
                <w:szCs w:val="22"/>
                <w:lang w:val="en-US"/>
              </w:rPr>
              <w:t>PSDUSize</w:t>
            </w:r>
            <w:proofErr w:type="spellEnd"/>
            <w:r w:rsidRPr="006618BA">
              <w:rPr>
                <w:rFonts w:ascii="Calibri" w:eastAsia="Times New Roman" w:hAnsi="Calibri" w:cs="Calibri"/>
                <w:color w:val="000000"/>
                <w:szCs w:val="22"/>
                <w:lang w:val="en-US"/>
              </w:rPr>
              <w:t xml:space="preserve"> and </w:t>
            </w:r>
            <w:proofErr w:type="spellStart"/>
            <w:r w:rsidRPr="006618BA">
              <w:rPr>
                <w:rFonts w:ascii="Calibri" w:eastAsia="Times New Roman" w:hAnsi="Calibri" w:cs="Calibri"/>
                <w:color w:val="000000"/>
                <w:szCs w:val="22"/>
                <w:lang w:val="en-US"/>
              </w:rPr>
              <w:t>PSDUduration</w:t>
            </w:r>
            <w:proofErr w:type="spellEnd"/>
            <w:r w:rsidRPr="006618BA">
              <w:rPr>
                <w:rFonts w:ascii="Calibri" w:eastAsia="Times New Roman" w:hAnsi="Calibri" w:cs="Calibri"/>
                <w:color w:val="000000"/>
                <w:szCs w:val="22"/>
                <w:lang w:val="en-US"/>
              </w:rPr>
              <w:t xml:space="preserve"> row entries</w:t>
            </w:r>
          </w:p>
        </w:tc>
        <w:tc>
          <w:tcPr>
            <w:tcW w:w="1710" w:type="dxa"/>
            <w:shd w:val="clear" w:color="auto" w:fill="auto"/>
            <w:hideMark/>
          </w:tcPr>
          <w:p w:rsidR="00445124" w:rsidRPr="006618BA" w:rsidRDefault="00445124" w:rsidP="006618BA">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 xml:space="preserve">Second column heading just needs to include </w:t>
            </w:r>
            <w:proofErr w:type="gramStart"/>
            <w:r w:rsidRPr="006618BA">
              <w:rPr>
                <w:rFonts w:ascii="Calibri" w:eastAsia="Times New Roman" w:hAnsi="Calibri" w:cs="Calibri"/>
                <w:color w:val="000000"/>
                <w:szCs w:val="22"/>
                <w:lang w:val="en-US"/>
              </w:rPr>
              <w:t>TVHT,</w:t>
            </w:r>
            <w:proofErr w:type="gramEnd"/>
            <w:r w:rsidRPr="006618BA">
              <w:rPr>
                <w:rFonts w:ascii="Calibri" w:eastAsia="Times New Roman" w:hAnsi="Calibri" w:cs="Calibri"/>
                <w:color w:val="000000"/>
                <w:szCs w:val="22"/>
                <w:lang w:val="en-US"/>
              </w:rPr>
              <w:t xml:space="preserve"> fourth column mentioned rows need to include references to TVHT Characteristics table.</w:t>
            </w:r>
          </w:p>
        </w:tc>
        <w:tc>
          <w:tcPr>
            <w:tcW w:w="2182" w:type="dxa"/>
            <w:shd w:val="clear" w:color="auto" w:fill="auto"/>
            <w:noWrap/>
            <w:hideMark/>
          </w:tcPr>
          <w:p w:rsidR="00445124" w:rsidRDefault="00445124" w:rsidP="005713EB">
            <w:pPr>
              <w:rPr>
                <w:rFonts w:ascii="Calibri" w:eastAsia="Times New Roman" w:hAnsi="Calibri" w:cs="Calibri"/>
                <w:color w:val="0070C0"/>
                <w:szCs w:val="22"/>
                <w:lang w:val="en-US"/>
              </w:rPr>
            </w:pPr>
            <w:r>
              <w:rPr>
                <w:rFonts w:ascii="Calibri" w:eastAsia="Times New Roman" w:hAnsi="Calibri" w:cs="Calibri"/>
                <w:color w:val="0070C0"/>
                <w:szCs w:val="22"/>
                <w:lang w:val="en-US"/>
              </w:rPr>
              <w:t xml:space="preserve">Rejected: </w:t>
            </w:r>
          </w:p>
          <w:p w:rsidR="00445124" w:rsidRPr="006618BA" w:rsidRDefault="00445124" w:rsidP="005713EB">
            <w:pPr>
              <w:rPr>
                <w:rFonts w:ascii="Calibri" w:eastAsia="Times New Roman" w:hAnsi="Calibri" w:cs="Calibri"/>
                <w:color w:val="0070C0"/>
                <w:szCs w:val="22"/>
                <w:lang w:val="en-US"/>
              </w:rPr>
            </w:pPr>
            <w:r>
              <w:rPr>
                <w:rFonts w:ascii="Calibri" w:eastAsia="Times New Roman" w:hAnsi="Calibri" w:cs="Calibri"/>
                <w:color w:val="0070C0"/>
                <w:szCs w:val="22"/>
                <w:lang w:val="en-US"/>
              </w:rPr>
              <w:t>Table 8-0a is removed from 11ac draft.</w:t>
            </w:r>
          </w:p>
        </w:tc>
      </w:tr>
    </w:tbl>
    <w:p w:rsidR="005713EB" w:rsidRDefault="005713EB" w:rsidP="005713EB">
      <w:pPr>
        <w:pStyle w:val="SP3229486"/>
        <w:spacing w:before="360" w:after="240"/>
        <w:rPr>
          <w:color w:val="000000"/>
        </w:rPr>
      </w:pPr>
    </w:p>
    <w:p w:rsidR="005316DF" w:rsidRDefault="005316DF" w:rsidP="005316DF">
      <w:pPr>
        <w:pStyle w:val="Default"/>
      </w:pPr>
    </w:p>
    <w:p w:rsidR="005316DF" w:rsidRPr="005316DF" w:rsidRDefault="005316DF" w:rsidP="005316DF">
      <w:pPr>
        <w:pStyle w:val="Default"/>
      </w:pPr>
    </w:p>
    <w:p w:rsidR="00D7263E" w:rsidRDefault="005713EB" w:rsidP="005713EB">
      <w:pPr>
        <w:rPr>
          <w:b/>
          <w:i/>
          <w:lang w:val="en-US"/>
        </w:rPr>
      </w:pPr>
      <w:r>
        <w:rPr>
          <w:rStyle w:val="SC34062"/>
        </w:rPr>
        <w:t>Except in the case of a TDLS off-channel direct-link (which is independently constrained by 10.22.6.3), a STA shall not transmit a PPDU with a TXVECTOR parameter CH_BANDWIDTH indicating a channel bandwidth that is wider than the BSS operating channel width.</w:t>
      </w:r>
      <w:bookmarkStart w:id="0" w:name="_GoBack"/>
      <w:bookmarkEnd w:id="0"/>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63" w:rsidRDefault="00E54F63">
      <w:r>
        <w:separator/>
      </w:r>
    </w:p>
  </w:endnote>
  <w:endnote w:type="continuationSeparator" w:id="0">
    <w:p w:rsidR="00E54F63" w:rsidRDefault="00E5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4A4F84">
    <w:pPr>
      <w:pStyle w:val="Footer"/>
      <w:tabs>
        <w:tab w:val="clear" w:pos="6480"/>
        <w:tab w:val="center" w:pos="4680"/>
        <w:tab w:val="right" w:pos="9360"/>
      </w:tabs>
      <w:rPr>
        <w:rFonts w:eastAsia="MS Mincho"/>
        <w:lang w:eastAsia="ja-JP"/>
      </w:rPr>
    </w:pPr>
    <w:fldSimple w:instr=" SUBJECT  \* MERGEFORMAT ">
      <w:r w:rsidR="009A6969">
        <w:t>Submission</w:t>
      </w:r>
    </w:fldSimple>
    <w:r w:rsidR="009A6969">
      <w:tab/>
      <w:t xml:space="preserve">page </w:t>
    </w:r>
    <w:r w:rsidR="009A6969">
      <w:fldChar w:fldCharType="begin"/>
    </w:r>
    <w:r w:rsidR="009A6969">
      <w:instrText xml:space="preserve">page </w:instrText>
    </w:r>
    <w:r w:rsidR="009A6969">
      <w:fldChar w:fldCharType="separate"/>
    </w:r>
    <w:r w:rsidR="000B3478">
      <w:rPr>
        <w:noProof/>
      </w:rPr>
      <w:t>2</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63" w:rsidRDefault="00E54F63">
      <w:r>
        <w:separator/>
      </w:r>
    </w:p>
  </w:footnote>
  <w:footnote w:type="continuationSeparator" w:id="0">
    <w:p w:rsidR="00E54F63" w:rsidRDefault="00E5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D1AED">
      <w:rPr>
        <w:rFonts w:eastAsia="MS Mincho"/>
        <w:lang w:eastAsia="ja-JP"/>
      </w:rPr>
      <w:t>13</w:t>
    </w:r>
    <w:r w:rsidR="006618BA">
      <w:rPr>
        <w:rFonts w:eastAsia="MS Mincho"/>
        <w:lang w:eastAsia="ja-JP"/>
      </w:rPr>
      <w:t>95</w:t>
    </w:r>
    <w:r w:rsidR="0032512A">
      <w:rPr>
        <w:rFonts w:eastAsia="MS Mincho"/>
        <w:lang w:eastAsia="ja-JP"/>
      </w:rPr>
      <w:t>-</w:t>
    </w:r>
    <w:r w:rsidR="00BF43B3">
      <w:rPr>
        <w:rFonts w:eastAsia="MS Mincho" w:hint="eastAsia"/>
        <w:lang w:eastAsia="ja-JP"/>
      </w:rPr>
      <w:t>r</w:t>
    </w:r>
    <w:r w:rsidR="003251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11D9"/>
    <w:multiLevelType w:val="hybridMultilevel"/>
    <w:tmpl w:val="834A2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478"/>
    <w:rsid w:val="000B3ECD"/>
    <w:rsid w:val="000B4629"/>
    <w:rsid w:val="000B7C23"/>
    <w:rsid w:val="000C51D7"/>
    <w:rsid w:val="000C6E94"/>
    <w:rsid w:val="000D076D"/>
    <w:rsid w:val="000D1AED"/>
    <w:rsid w:val="000D3850"/>
    <w:rsid w:val="000D4BEC"/>
    <w:rsid w:val="000D640C"/>
    <w:rsid w:val="000D6CCD"/>
    <w:rsid w:val="000F4891"/>
    <w:rsid w:val="000F6821"/>
    <w:rsid w:val="0010164C"/>
    <w:rsid w:val="001052B2"/>
    <w:rsid w:val="00111EA1"/>
    <w:rsid w:val="00113E99"/>
    <w:rsid w:val="00135C5E"/>
    <w:rsid w:val="001400CC"/>
    <w:rsid w:val="0014015E"/>
    <w:rsid w:val="00140822"/>
    <w:rsid w:val="001470A6"/>
    <w:rsid w:val="001608A6"/>
    <w:rsid w:val="001673AF"/>
    <w:rsid w:val="00167F24"/>
    <w:rsid w:val="0017772C"/>
    <w:rsid w:val="0018609E"/>
    <w:rsid w:val="00192711"/>
    <w:rsid w:val="00192F8C"/>
    <w:rsid w:val="00193DFA"/>
    <w:rsid w:val="001A1E8B"/>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37C51"/>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14243"/>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D748C"/>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45124"/>
    <w:rsid w:val="0047591F"/>
    <w:rsid w:val="004919CC"/>
    <w:rsid w:val="00497CB1"/>
    <w:rsid w:val="004A19E2"/>
    <w:rsid w:val="004A1E31"/>
    <w:rsid w:val="004A4F84"/>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6DF"/>
    <w:rsid w:val="00531961"/>
    <w:rsid w:val="00531AD2"/>
    <w:rsid w:val="005331AC"/>
    <w:rsid w:val="00536964"/>
    <w:rsid w:val="00537C16"/>
    <w:rsid w:val="00540087"/>
    <w:rsid w:val="00547FC8"/>
    <w:rsid w:val="00557E1C"/>
    <w:rsid w:val="00560D1A"/>
    <w:rsid w:val="00570A9D"/>
    <w:rsid w:val="005713EB"/>
    <w:rsid w:val="00584B49"/>
    <w:rsid w:val="00594AB6"/>
    <w:rsid w:val="0059675D"/>
    <w:rsid w:val="005A070A"/>
    <w:rsid w:val="005A0BF7"/>
    <w:rsid w:val="005A5CB4"/>
    <w:rsid w:val="005B2951"/>
    <w:rsid w:val="005B533A"/>
    <w:rsid w:val="005C5BE9"/>
    <w:rsid w:val="005D6FAE"/>
    <w:rsid w:val="005E7A81"/>
    <w:rsid w:val="00614B11"/>
    <w:rsid w:val="006301B0"/>
    <w:rsid w:val="006355B6"/>
    <w:rsid w:val="00640230"/>
    <w:rsid w:val="006414B7"/>
    <w:rsid w:val="00643A89"/>
    <w:rsid w:val="00657D35"/>
    <w:rsid w:val="006610EC"/>
    <w:rsid w:val="006618BA"/>
    <w:rsid w:val="00674920"/>
    <w:rsid w:val="006752D7"/>
    <w:rsid w:val="00677A86"/>
    <w:rsid w:val="0068616C"/>
    <w:rsid w:val="00690454"/>
    <w:rsid w:val="006909F5"/>
    <w:rsid w:val="00695A44"/>
    <w:rsid w:val="006975BA"/>
    <w:rsid w:val="00697C07"/>
    <w:rsid w:val="006A634D"/>
    <w:rsid w:val="006B2230"/>
    <w:rsid w:val="006B31D2"/>
    <w:rsid w:val="006B45C5"/>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74F9A"/>
    <w:rsid w:val="007805B9"/>
    <w:rsid w:val="00780B94"/>
    <w:rsid w:val="00790C96"/>
    <w:rsid w:val="00792251"/>
    <w:rsid w:val="007979BF"/>
    <w:rsid w:val="00797B6C"/>
    <w:rsid w:val="007A0293"/>
    <w:rsid w:val="007A255C"/>
    <w:rsid w:val="007A3756"/>
    <w:rsid w:val="007A3BC9"/>
    <w:rsid w:val="007B551E"/>
    <w:rsid w:val="007C00FE"/>
    <w:rsid w:val="007C08FC"/>
    <w:rsid w:val="007C1408"/>
    <w:rsid w:val="007D20E2"/>
    <w:rsid w:val="007D23F8"/>
    <w:rsid w:val="007D6E8D"/>
    <w:rsid w:val="007E0CFB"/>
    <w:rsid w:val="007E3DB5"/>
    <w:rsid w:val="007E6D07"/>
    <w:rsid w:val="007E6FB4"/>
    <w:rsid w:val="007F2BC9"/>
    <w:rsid w:val="007F4386"/>
    <w:rsid w:val="007F4F51"/>
    <w:rsid w:val="007F509D"/>
    <w:rsid w:val="007F74E3"/>
    <w:rsid w:val="00803D5C"/>
    <w:rsid w:val="00814618"/>
    <w:rsid w:val="00815077"/>
    <w:rsid w:val="00815346"/>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34616"/>
    <w:rsid w:val="00B463BA"/>
    <w:rsid w:val="00B615BC"/>
    <w:rsid w:val="00B62937"/>
    <w:rsid w:val="00B64DD7"/>
    <w:rsid w:val="00B804FF"/>
    <w:rsid w:val="00B845B9"/>
    <w:rsid w:val="00B848A1"/>
    <w:rsid w:val="00B8737A"/>
    <w:rsid w:val="00B91797"/>
    <w:rsid w:val="00B97A2D"/>
    <w:rsid w:val="00BB1A60"/>
    <w:rsid w:val="00BB549E"/>
    <w:rsid w:val="00BB6AE0"/>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01D9"/>
    <w:rsid w:val="00C634A5"/>
    <w:rsid w:val="00C70CAE"/>
    <w:rsid w:val="00C7179A"/>
    <w:rsid w:val="00C71DD0"/>
    <w:rsid w:val="00C740ED"/>
    <w:rsid w:val="00C74F49"/>
    <w:rsid w:val="00C83036"/>
    <w:rsid w:val="00C95DCC"/>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2123"/>
    <w:rsid w:val="00DD3EF9"/>
    <w:rsid w:val="00DD6D5F"/>
    <w:rsid w:val="00DE1DC0"/>
    <w:rsid w:val="00DE6BB8"/>
    <w:rsid w:val="00DE7E14"/>
    <w:rsid w:val="00E0110B"/>
    <w:rsid w:val="00E034F8"/>
    <w:rsid w:val="00E04DF1"/>
    <w:rsid w:val="00E16258"/>
    <w:rsid w:val="00E3064E"/>
    <w:rsid w:val="00E34094"/>
    <w:rsid w:val="00E4061C"/>
    <w:rsid w:val="00E54674"/>
    <w:rsid w:val="00E54F63"/>
    <w:rsid w:val="00E601A3"/>
    <w:rsid w:val="00E6122D"/>
    <w:rsid w:val="00E63443"/>
    <w:rsid w:val="00E70742"/>
    <w:rsid w:val="00E83EE4"/>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074B9"/>
    <w:rsid w:val="00F107BB"/>
    <w:rsid w:val="00F14C46"/>
    <w:rsid w:val="00F17668"/>
    <w:rsid w:val="00F215C4"/>
    <w:rsid w:val="00F238C1"/>
    <w:rsid w:val="00F31C65"/>
    <w:rsid w:val="00F365F9"/>
    <w:rsid w:val="00F379A7"/>
    <w:rsid w:val="00F45090"/>
    <w:rsid w:val="00F4587B"/>
    <w:rsid w:val="00F55859"/>
    <w:rsid w:val="00F7085F"/>
    <w:rsid w:val="00F7770C"/>
    <w:rsid w:val="00F808A8"/>
    <w:rsid w:val="00F83575"/>
    <w:rsid w:val="00F8492D"/>
    <w:rsid w:val="00F860F2"/>
    <w:rsid w:val="00F91FBF"/>
    <w:rsid w:val="00F9267A"/>
    <w:rsid w:val="00F94983"/>
    <w:rsid w:val="00FA1F3E"/>
    <w:rsid w:val="00FA21A0"/>
    <w:rsid w:val="00FA37FB"/>
    <w:rsid w:val="00FB373F"/>
    <w:rsid w:val="00FB4223"/>
    <w:rsid w:val="00FB662B"/>
    <w:rsid w:val="00FC2303"/>
    <w:rsid w:val="00FC26E1"/>
    <w:rsid w:val="00FC5DA3"/>
    <w:rsid w:val="00FC7F7C"/>
    <w:rsid w:val="00FD4915"/>
    <w:rsid w:val="00FE3A40"/>
    <w:rsid w:val="00FF2754"/>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505867">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27482682">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171529914">
      <w:bodyDiv w:val="1"/>
      <w:marLeft w:val="0"/>
      <w:marRight w:val="0"/>
      <w:marTop w:val="0"/>
      <w:marBottom w:val="0"/>
      <w:divBdr>
        <w:top w:val="none" w:sz="0" w:space="0" w:color="auto"/>
        <w:left w:val="none" w:sz="0" w:space="0" w:color="auto"/>
        <w:bottom w:val="none" w:sz="0" w:space="0" w:color="auto"/>
        <w:right w:val="none" w:sz="0" w:space="0" w:color="auto"/>
      </w:divBdr>
    </w:div>
    <w:div w:id="192617777">
      <w:bodyDiv w:val="1"/>
      <w:marLeft w:val="0"/>
      <w:marRight w:val="0"/>
      <w:marTop w:val="0"/>
      <w:marBottom w:val="0"/>
      <w:divBdr>
        <w:top w:val="none" w:sz="0" w:space="0" w:color="auto"/>
        <w:left w:val="none" w:sz="0" w:space="0" w:color="auto"/>
        <w:bottom w:val="none" w:sz="0" w:space="0" w:color="auto"/>
        <w:right w:val="none" w:sz="0" w:space="0" w:color="auto"/>
      </w:divBdr>
    </w:div>
    <w:div w:id="202519468">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3191692">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2705385">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485829361">
      <w:bodyDiv w:val="1"/>
      <w:marLeft w:val="0"/>
      <w:marRight w:val="0"/>
      <w:marTop w:val="0"/>
      <w:marBottom w:val="0"/>
      <w:divBdr>
        <w:top w:val="none" w:sz="0" w:space="0" w:color="auto"/>
        <w:left w:val="none" w:sz="0" w:space="0" w:color="auto"/>
        <w:bottom w:val="none" w:sz="0" w:space="0" w:color="auto"/>
        <w:right w:val="none" w:sz="0" w:space="0" w:color="auto"/>
      </w:divBdr>
    </w:div>
    <w:div w:id="494152848">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60412514">
      <w:bodyDiv w:val="1"/>
      <w:marLeft w:val="0"/>
      <w:marRight w:val="0"/>
      <w:marTop w:val="0"/>
      <w:marBottom w:val="0"/>
      <w:divBdr>
        <w:top w:val="none" w:sz="0" w:space="0" w:color="auto"/>
        <w:left w:val="none" w:sz="0" w:space="0" w:color="auto"/>
        <w:bottom w:val="none" w:sz="0" w:space="0" w:color="auto"/>
        <w:right w:val="none" w:sz="0" w:space="0" w:color="auto"/>
      </w:divBdr>
    </w:div>
    <w:div w:id="560749232">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34619492">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799685762">
      <w:bodyDiv w:val="1"/>
      <w:marLeft w:val="0"/>
      <w:marRight w:val="0"/>
      <w:marTop w:val="0"/>
      <w:marBottom w:val="0"/>
      <w:divBdr>
        <w:top w:val="none" w:sz="0" w:space="0" w:color="auto"/>
        <w:left w:val="none" w:sz="0" w:space="0" w:color="auto"/>
        <w:bottom w:val="none" w:sz="0" w:space="0" w:color="auto"/>
        <w:right w:val="none" w:sz="0" w:space="0" w:color="auto"/>
      </w:divBdr>
    </w:div>
    <w:div w:id="850219146">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64770948">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85089196">
      <w:bodyDiv w:val="1"/>
      <w:marLeft w:val="0"/>
      <w:marRight w:val="0"/>
      <w:marTop w:val="0"/>
      <w:marBottom w:val="0"/>
      <w:divBdr>
        <w:top w:val="none" w:sz="0" w:space="0" w:color="auto"/>
        <w:left w:val="none" w:sz="0" w:space="0" w:color="auto"/>
        <w:bottom w:val="none" w:sz="0" w:space="0" w:color="auto"/>
        <w:right w:val="none" w:sz="0" w:space="0" w:color="auto"/>
      </w:divBdr>
    </w:div>
    <w:div w:id="993140850">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88936">
      <w:bodyDiv w:val="1"/>
      <w:marLeft w:val="0"/>
      <w:marRight w:val="0"/>
      <w:marTop w:val="0"/>
      <w:marBottom w:val="0"/>
      <w:divBdr>
        <w:top w:val="none" w:sz="0" w:space="0" w:color="auto"/>
        <w:left w:val="none" w:sz="0" w:space="0" w:color="auto"/>
        <w:bottom w:val="none" w:sz="0" w:space="0" w:color="auto"/>
        <w:right w:val="none" w:sz="0" w:space="0" w:color="auto"/>
      </w:divBdr>
    </w:div>
    <w:div w:id="1028943275">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61851104">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81108415">
      <w:bodyDiv w:val="1"/>
      <w:marLeft w:val="0"/>
      <w:marRight w:val="0"/>
      <w:marTop w:val="0"/>
      <w:marBottom w:val="0"/>
      <w:divBdr>
        <w:top w:val="none" w:sz="0" w:space="0" w:color="auto"/>
        <w:left w:val="none" w:sz="0" w:space="0" w:color="auto"/>
        <w:bottom w:val="none" w:sz="0" w:space="0" w:color="auto"/>
        <w:right w:val="none" w:sz="0" w:space="0" w:color="auto"/>
      </w:divBdr>
    </w:div>
    <w:div w:id="1291864230">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1297873">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17484619">
      <w:bodyDiv w:val="1"/>
      <w:marLeft w:val="0"/>
      <w:marRight w:val="0"/>
      <w:marTop w:val="0"/>
      <w:marBottom w:val="0"/>
      <w:divBdr>
        <w:top w:val="none" w:sz="0" w:space="0" w:color="auto"/>
        <w:left w:val="none" w:sz="0" w:space="0" w:color="auto"/>
        <w:bottom w:val="none" w:sz="0" w:space="0" w:color="auto"/>
        <w:right w:val="none" w:sz="0" w:space="0" w:color="auto"/>
      </w:divBdr>
    </w:div>
    <w:div w:id="1430155065">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4689836">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2256503">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2955881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04655094">
      <w:bodyDiv w:val="1"/>
      <w:marLeft w:val="0"/>
      <w:marRight w:val="0"/>
      <w:marTop w:val="0"/>
      <w:marBottom w:val="0"/>
      <w:divBdr>
        <w:top w:val="none" w:sz="0" w:space="0" w:color="auto"/>
        <w:left w:val="none" w:sz="0" w:space="0" w:color="auto"/>
        <w:bottom w:val="none" w:sz="0" w:space="0" w:color="auto"/>
        <w:right w:val="none" w:sz="0" w:space="0" w:color="auto"/>
      </w:divBdr>
    </w:div>
    <w:div w:id="1619875806">
      <w:bodyDiv w:val="1"/>
      <w:marLeft w:val="0"/>
      <w:marRight w:val="0"/>
      <w:marTop w:val="0"/>
      <w:marBottom w:val="0"/>
      <w:divBdr>
        <w:top w:val="none" w:sz="0" w:space="0" w:color="auto"/>
        <w:left w:val="none" w:sz="0" w:space="0" w:color="auto"/>
        <w:bottom w:val="none" w:sz="0" w:space="0" w:color="auto"/>
        <w:right w:val="none" w:sz="0" w:space="0" w:color="auto"/>
      </w:divBdr>
    </w:div>
    <w:div w:id="1631549023">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29498557">
      <w:bodyDiv w:val="1"/>
      <w:marLeft w:val="0"/>
      <w:marRight w:val="0"/>
      <w:marTop w:val="0"/>
      <w:marBottom w:val="0"/>
      <w:divBdr>
        <w:top w:val="none" w:sz="0" w:space="0" w:color="auto"/>
        <w:left w:val="none" w:sz="0" w:space="0" w:color="auto"/>
        <w:bottom w:val="none" w:sz="0" w:space="0" w:color="auto"/>
        <w:right w:val="none" w:sz="0" w:space="0" w:color="auto"/>
      </w:divBdr>
    </w:div>
    <w:div w:id="1744718737">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55398829">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62947313">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51158876">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1487074">
      <w:bodyDiv w:val="1"/>
      <w:marLeft w:val="0"/>
      <w:marRight w:val="0"/>
      <w:marTop w:val="0"/>
      <w:marBottom w:val="0"/>
      <w:divBdr>
        <w:top w:val="none" w:sz="0" w:space="0" w:color="auto"/>
        <w:left w:val="none" w:sz="0" w:space="0" w:color="auto"/>
        <w:bottom w:val="none" w:sz="0" w:space="0" w:color="auto"/>
        <w:right w:val="none" w:sz="0" w:space="0" w:color="auto"/>
      </w:divBdr>
    </w:div>
    <w:div w:id="210163345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BB61-7C7F-487C-9960-BB0303BA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3</Pages>
  <Words>408</Words>
  <Characters>2327</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PHY comment resolution</vt:lpstr>
      <vt:lpstr>doc.: IEEE 802.11-10/0794r1</vt:lpstr>
      <vt:lpstr>doc.: IEEE 802.11-10/0794r1</vt:lpstr>
    </vt:vector>
  </TitlesOfParts>
  <Company>Qualcomm</Company>
  <LinksUpToDate>false</LinksUpToDate>
  <CharactersWithSpaces>2730</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comment resolution</dc:title>
  <dc:subject>Submission</dc:subject>
  <dc:creator>tyucek@qca.qualcomm.com</dc:creator>
  <cp:keywords>July 2010</cp:keywords>
  <cp:lastModifiedBy>Tevfik Yucek</cp:lastModifiedBy>
  <cp:revision>4</cp:revision>
  <dcterms:created xsi:type="dcterms:W3CDTF">2012-11-14T15:28:00Z</dcterms:created>
  <dcterms:modified xsi:type="dcterms:W3CDTF">2012-11-14T19:40:00Z</dcterms:modified>
</cp:coreProperties>
</file>