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93217E">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FA44B6">
              <w:rPr>
                <w:rFonts w:eastAsia="MS Mincho" w:hint="eastAsia"/>
                <w:lang w:eastAsia="ja-JP"/>
              </w:rPr>
              <w:t xml:space="preserve">comment resolution </w:t>
            </w:r>
            <w:r w:rsidR="00FA44B6">
              <w:rPr>
                <w:rFonts w:eastAsia="MS Mincho"/>
                <w:lang w:eastAsia="ja-JP"/>
              </w:rPr>
              <w:t>(</w:t>
            </w:r>
            <w:r w:rsidR="0093217E">
              <w:rPr>
                <w:rFonts w:eastAsia="MS Mincho"/>
                <w:lang w:eastAsia="ja-JP"/>
              </w:rPr>
              <w:t>11af TXOP limit</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93217E">
              <w:rPr>
                <w:b w:val="0"/>
                <w:sz w:val="20"/>
              </w:rPr>
              <w:t>-11</w:t>
            </w:r>
            <w:r w:rsidR="008B1D0A" w:rsidRPr="005B533A">
              <w:rPr>
                <w:b w:val="0"/>
                <w:sz w:val="20"/>
              </w:rPr>
              <w:t>-</w:t>
            </w:r>
            <w:r w:rsidR="007E6336">
              <w:rPr>
                <w:b w:val="0"/>
                <w:sz w:val="20"/>
              </w:rPr>
              <w:t>12</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0D3850" w:rsidP="00537C16">
            <w:pPr>
              <w:pStyle w:val="T2"/>
              <w:spacing w:after="0"/>
              <w:ind w:left="0" w:right="0"/>
              <w:rPr>
                <w:rFonts w:eastAsia="MS Mincho"/>
                <w:b w:val="0"/>
                <w:sz w:val="20"/>
                <w:lang w:eastAsia="ja-JP"/>
              </w:rPr>
            </w:pPr>
            <w:r w:rsidRPr="002F1C84">
              <w:rPr>
                <w:rFonts w:eastAsia="MS Mincho"/>
                <w:b w:val="0"/>
                <w:sz w:val="20"/>
                <w:lang w:eastAsia="ja-JP"/>
              </w:rPr>
              <w:t>3105 Kifer Road, Santa Clara, CA</w:t>
            </w:r>
          </w:p>
        </w:tc>
        <w:tc>
          <w:tcPr>
            <w:tcW w:w="2127" w:type="dxa"/>
            <w:vAlign w:val="center"/>
          </w:tcPr>
          <w:p w:rsidR="009C34C8"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408-2166864</w:t>
            </w:r>
          </w:p>
        </w:tc>
        <w:tc>
          <w:tcPr>
            <w:tcW w:w="1671" w:type="dxa"/>
            <w:vAlign w:val="center"/>
          </w:tcPr>
          <w:p w:rsidR="009C34C8" w:rsidRPr="002F1C84" w:rsidRDefault="00BE6D74"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2F1C84" w:rsidRDefault="002F1C84" w:rsidP="00537C16">
            <w:pPr>
              <w:pStyle w:val="T2"/>
              <w:spacing w:after="0"/>
              <w:ind w:left="0" w:right="0"/>
              <w:rPr>
                <w:rFonts w:eastAsia="MS Mincho"/>
                <w:b w:val="0"/>
                <w:sz w:val="20"/>
                <w:lang w:eastAsia="ja-JP"/>
              </w:rPr>
            </w:pPr>
          </w:p>
        </w:tc>
        <w:tc>
          <w:tcPr>
            <w:tcW w:w="2127" w:type="dxa"/>
            <w:vAlign w:val="center"/>
          </w:tcPr>
          <w:p w:rsidR="002F1C84" w:rsidRPr="002F1C84" w:rsidRDefault="002F1C84" w:rsidP="00770399">
            <w:pPr>
              <w:jc w:val="center"/>
              <w:rPr>
                <w:rFonts w:eastAsia="MS Mincho"/>
                <w:sz w:val="20"/>
                <w:lang w:eastAsia="ja-JP"/>
              </w:rPr>
            </w:pPr>
          </w:p>
        </w:tc>
        <w:tc>
          <w:tcPr>
            <w:tcW w:w="1671" w:type="dxa"/>
            <w:vAlign w:val="center"/>
          </w:tcPr>
          <w:p w:rsidR="002F1C84" w:rsidRPr="002F1C84" w:rsidRDefault="002F1C84" w:rsidP="00537C16">
            <w:pPr>
              <w:pStyle w:val="T2"/>
              <w:spacing w:after="0"/>
              <w:ind w:left="0" w:right="0"/>
              <w:rPr>
                <w:rFonts w:eastAsia="MS Mincho"/>
                <w:b w:val="0"/>
                <w:color w:val="548DD4" w:themeColor="text2" w:themeTint="99"/>
                <w:sz w:val="20"/>
                <w:lang w:eastAsia="ja-JP"/>
              </w:rPr>
            </w:pPr>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w:t>
                            </w:r>
                            <w:r w:rsidR="00297FC6">
                              <w:t>a comment related to default TXOP limit in</w:t>
                            </w:r>
                            <w:r>
                              <w:t xml:space="preserve">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93217E">
                              <w:rPr>
                                <w:rFonts w:eastAsia="MS Mincho"/>
                                <w:lang w:eastAsia="ja-JP"/>
                              </w:rPr>
                              <w:t xml:space="preserve"> 511</w:t>
                            </w:r>
                            <w:r w:rsidR="005A0BF7">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w:t>
                      </w:r>
                      <w:r w:rsidR="00297FC6">
                        <w:t>a comment related to default TXOP limit in</w:t>
                      </w:r>
                      <w:r>
                        <w:t xml:space="preserve">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93217E">
                        <w:rPr>
                          <w:rFonts w:eastAsia="MS Mincho"/>
                          <w:lang w:eastAsia="ja-JP"/>
                        </w:rPr>
                        <w:t xml:space="preserve"> 511</w:t>
                      </w:r>
                      <w:r w:rsidR="005A0BF7">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A motion to approve this submission means that the editing instructions and any changed or added material are actioned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BD4F35" w:rsidRPr="00FA44B6" w:rsidRDefault="00A3133F" w:rsidP="00167F24">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7F509D" w:rsidRDefault="00237C51" w:rsidP="00031E7A">
      <w:pPr>
        <w:pStyle w:val="Heading1"/>
        <w:rPr>
          <w:rFonts w:eastAsia="MS Mincho"/>
          <w:lang w:eastAsia="ja-JP"/>
        </w:rPr>
      </w:pPr>
      <w:r>
        <w:rPr>
          <w:rFonts w:eastAsia="MS Mincho"/>
          <w:lang w:eastAsia="ja-JP"/>
        </w:rPr>
        <w:t>C</w:t>
      </w:r>
      <w:r w:rsidR="004D0D2B">
        <w:rPr>
          <w:rFonts w:eastAsia="MS Mincho"/>
          <w:lang w:eastAsia="ja-JP"/>
        </w:rPr>
        <w:t>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193"/>
        <w:gridCol w:w="3271"/>
      </w:tblGrid>
      <w:tr w:rsidR="007F509D" w:rsidRPr="005B533A" w:rsidTr="009338F7">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Clause</w:t>
            </w:r>
          </w:p>
        </w:tc>
        <w:tc>
          <w:tcPr>
            <w:tcW w:w="16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Comment</w:t>
            </w:r>
          </w:p>
        </w:tc>
        <w:tc>
          <w:tcPr>
            <w:tcW w:w="17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Proposed Change</w:t>
            </w:r>
          </w:p>
        </w:tc>
      </w:tr>
      <w:tr w:rsidR="00026560" w:rsidRPr="005B533A" w:rsidTr="009338F7">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026560" w:rsidRDefault="0093217E" w:rsidP="007406F0">
            <w:pPr>
              <w:jc w:val="right"/>
              <w:rPr>
                <w:rFonts w:ascii="Arial" w:eastAsia="MS Mincho" w:hAnsi="Arial" w:cs="Arial"/>
                <w:sz w:val="20"/>
                <w:lang w:eastAsia="ja-JP"/>
              </w:rPr>
            </w:pPr>
            <w:r>
              <w:rPr>
                <w:rFonts w:ascii="Arial" w:eastAsia="MS Mincho" w:hAnsi="Arial" w:cs="Arial"/>
                <w:sz w:val="20"/>
                <w:lang w:eastAsia="ja-JP"/>
              </w:rPr>
              <w:t>511</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3217E" w:rsidRDefault="0093217E" w:rsidP="0093217E">
            <w:pPr>
              <w:jc w:val="right"/>
              <w:rPr>
                <w:rFonts w:ascii="Arial" w:hAnsi="Arial" w:cs="Arial"/>
                <w:sz w:val="20"/>
              </w:rPr>
            </w:pPr>
            <w:r>
              <w:rPr>
                <w:rFonts w:ascii="Arial" w:hAnsi="Arial" w:cs="Arial"/>
                <w:sz w:val="20"/>
              </w:rPr>
              <w:t>48.45</w:t>
            </w:r>
          </w:p>
          <w:p w:rsidR="00026560" w:rsidRPr="00741B2B" w:rsidRDefault="00026560">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3217E" w:rsidRDefault="0093217E" w:rsidP="0093217E">
            <w:pPr>
              <w:rPr>
                <w:rFonts w:ascii="Arial" w:hAnsi="Arial" w:cs="Arial"/>
                <w:sz w:val="20"/>
              </w:rPr>
            </w:pPr>
            <w:r>
              <w:rPr>
                <w:rFonts w:ascii="Arial" w:hAnsi="Arial" w:cs="Arial"/>
                <w:sz w:val="20"/>
              </w:rPr>
              <w:t>8.4.2.31</w:t>
            </w:r>
          </w:p>
          <w:p w:rsidR="00026560" w:rsidRPr="00741B2B" w:rsidRDefault="00026560" w:rsidP="00741B2B">
            <w:pPr>
              <w:rPr>
                <w:rFonts w:ascii="Arial" w:eastAsia="MS Mincho" w:hAnsi="Arial" w:cs="Arial"/>
                <w:sz w:val="20"/>
                <w:lang w:eastAsia="ja-JP"/>
              </w:rPr>
            </w:pPr>
          </w:p>
        </w:tc>
        <w:tc>
          <w:tcPr>
            <w:tcW w:w="1695" w:type="pct"/>
            <w:tcBorders>
              <w:top w:val="outset" w:sz="6" w:space="0" w:color="C0C0C0"/>
              <w:left w:val="outset" w:sz="6" w:space="0" w:color="C0C0C0"/>
              <w:bottom w:val="outset" w:sz="6" w:space="0" w:color="C0C0C0"/>
              <w:right w:val="outset" w:sz="6" w:space="0" w:color="C0C0C0"/>
            </w:tcBorders>
            <w:shd w:val="clear" w:color="auto" w:fill="FFFFFF"/>
          </w:tcPr>
          <w:p w:rsidR="0093217E" w:rsidRDefault="0093217E" w:rsidP="0093217E">
            <w:pPr>
              <w:rPr>
                <w:rFonts w:ascii="Arial" w:hAnsi="Arial" w:cs="Arial"/>
                <w:sz w:val="20"/>
              </w:rPr>
            </w:pPr>
            <w:r>
              <w:rPr>
                <w:rFonts w:ascii="Arial" w:hAnsi="Arial" w:cs="Arial"/>
                <w:sz w:val="20"/>
              </w:rPr>
              <w:t>Need to add EDCA IE subclause and modify the default TXOP limit parameter values.</w:t>
            </w:r>
          </w:p>
          <w:p w:rsidR="00026560" w:rsidRPr="00741B2B" w:rsidRDefault="00026560" w:rsidP="009338F7">
            <w:pPr>
              <w:rPr>
                <w:rFonts w:ascii="Arial" w:eastAsia="MS Mincho" w:hAnsi="Arial" w:cs="Arial"/>
                <w:sz w:val="20"/>
                <w:lang w:eastAsia="ja-JP"/>
              </w:rPr>
            </w:pPr>
          </w:p>
        </w:tc>
        <w:tc>
          <w:tcPr>
            <w:tcW w:w="1736" w:type="pct"/>
            <w:tcBorders>
              <w:top w:val="outset" w:sz="6" w:space="0" w:color="C0C0C0"/>
              <w:left w:val="outset" w:sz="6" w:space="0" w:color="C0C0C0"/>
              <w:bottom w:val="outset" w:sz="6" w:space="0" w:color="C0C0C0"/>
              <w:right w:val="outset" w:sz="6" w:space="0" w:color="C0C0C0"/>
            </w:tcBorders>
            <w:shd w:val="clear" w:color="auto" w:fill="FFFFFF"/>
          </w:tcPr>
          <w:p w:rsidR="00026560" w:rsidRPr="009338F7" w:rsidRDefault="0093217E">
            <w:pPr>
              <w:rPr>
                <w:rFonts w:ascii="Arial" w:hAnsi="Arial" w:cs="Arial"/>
                <w:sz w:val="20"/>
              </w:rPr>
            </w:pPr>
            <w:r>
              <w:rPr>
                <w:rFonts w:ascii="Arial" w:hAnsi="Arial" w:cs="Arial"/>
                <w:sz w:val="20"/>
              </w:rPr>
              <w:t>As per comment</w:t>
            </w:r>
          </w:p>
        </w:tc>
      </w:tr>
    </w:tbl>
    <w:p w:rsidR="000D3850" w:rsidRDefault="000D3850" w:rsidP="007F509D"/>
    <w:p w:rsidR="000D3850" w:rsidRDefault="000D3850" w:rsidP="007F509D"/>
    <w:p w:rsidR="00F238C1" w:rsidRDefault="00322E5F" w:rsidP="007F509D">
      <w:pPr>
        <w:rPr>
          <w:rFonts w:eastAsia="MS Mincho"/>
          <w:lang w:eastAsia="ja-JP"/>
        </w:rPr>
      </w:pPr>
      <w:r>
        <w:rPr>
          <w:rFonts w:eastAsia="MS Mincho" w:hint="eastAsia"/>
          <w:b/>
          <w:lang w:eastAsia="ja-JP"/>
        </w:rPr>
        <w:t>Propose:</w:t>
      </w:r>
      <w:r w:rsidR="0021608C">
        <w:rPr>
          <w:rFonts w:eastAsia="MS Mincho" w:hint="eastAsia"/>
          <w:lang w:eastAsia="ja-JP"/>
        </w:rPr>
        <w:t xml:space="preserve"> </w:t>
      </w:r>
      <w:r w:rsidR="00B97A2D">
        <w:rPr>
          <w:rFonts w:eastAsia="MS Mincho"/>
          <w:lang w:eastAsia="ja-JP"/>
        </w:rPr>
        <w:t>Accept</w:t>
      </w:r>
      <w:r w:rsidR="004763A4">
        <w:rPr>
          <w:rFonts w:eastAsia="MS Mincho"/>
          <w:lang w:eastAsia="ja-JP"/>
        </w:rPr>
        <w:t>ed</w:t>
      </w:r>
      <w:bookmarkStart w:id="0" w:name="_GoBack"/>
      <w:bookmarkEnd w:id="0"/>
      <w:r>
        <w:rPr>
          <w:rFonts w:eastAsia="MS Mincho" w:hint="eastAsia"/>
          <w:lang w:eastAsia="ja-JP"/>
        </w:rPr>
        <w:t xml:space="preserve"> CID </w:t>
      </w:r>
      <w:r w:rsidR="009338F7">
        <w:rPr>
          <w:rFonts w:eastAsia="MS Mincho"/>
          <w:lang w:eastAsia="ja-JP"/>
        </w:rPr>
        <w:t>652</w:t>
      </w:r>
    </w:p>
    <w:p w:rsidR="004D0D2B" w:rsidRDefault="004D0D2B" w:rsidP="007F509D">
      <w:pPr>
        <w:rPr>
          <w:rFonts w:eastAsia="MS Mincho"/>
          <w:lang w:eastAsia="ja-JP"/>
        </w:rPr>
      </w:pPr>
    </w:p>
    <w:p w:rsidR="00D7263E" w:rsidRDefault="009338F7" w:rsidP="00B97A2D">
      <w:pPr>
        <w:pStyle w:val="CellHeading"/>
        <w:jc w:val="left"/>
        <w:rPr>
          <w:rFonts w:eastAsia="MS Mincho"/>
          <w:lang w:eastAsia="ja-JP"/>
        </w:rPr>
      </w:pPr>
      <w:r>
        <w:rPr>
          <w:rFonts w:eastAsia="MS Mincho"/>
          <w:lang w:eastAsia="ja-JP"/>
        </w:rPr>
        <w:t xml:space="preserve">Comment: </w:t>
      </w:r>
      <w:r w:rsidR="0093217E">
        <w:rPr>
          <w:rFonts w:eastAsia="MS Mincho"/>
          <w:lang w:eastAsia="ja-JP"/>
        </w:rPr>
        <w:t>Updated TxOP limits for 11af using PHY downclocking factors.</w:t>
      </w:r>
      <w:r w:rsidR="000A687D">
        <w:rPr>
          <w:rFonts w:eastAsia="MS Mincho"/>
          <w:lang w:eastAsia="ja-JP"/>
        </w:rPr>
        <w:t xml:space="preserve"> </w:t>
      </w:r>
    </w:p>
    <w:p w:rsidR="00BF43B3" w:rsidRPr="00F365F9" w:rsidRDefault="00BF43B3" w:rsidP="00BF43B3">
      <w:pPr>
        <w:pStyle w:val="Heading1"/>
        <w:rPr>
          <w:rFonts w:eastAsia="MS Mincho"/>
          <w:lang w:eastAsia="ja-JP"/>
        </w:rPr>
      </w:pPr>
      <w:r>
        <w:rPr>
          <w:rFonts w:eastAsia="MS Mincho" w:hint="eastAsia"/>
          <w:lang w:eastAsia="ja-JP"/>
        </w:rPr>
        <w:t>Editing instructions</w:t>
      </w:r>
    </w:p>
    <w:p w:rsidR="002D5C9A" w:rsidRPr="00A33D8D"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93217E" w:rsidRPr="0093217E" w:rsidRDefault="00770399" w:rsidP="0093217E">
      <w:pPr>
        <w:rPr>
          <w:b/>
          <w:bCs/>
          <w:i/>
          <w:iCs/>
          <w:sz w:val="20"/>
          <w:lang w:val="en-US"/>
        </w:rPr>
      </w:pPr>
      <w:r>
        <w:rPr>
          <w:b/>
          <w:i/>
          <w:lang w:val="en-US"/>
        </w:rPr>
        <w:t xml:space="preserve">TGaf editor: </w:t>
      </w:r>
      <w:r w:rsidR="0093217E">
        <w:rPr>
          <w:b/>
          <w:bCs/>
          <w:i/>
          <w:iCs/>
          <w:sz w:val="20"/>
          <w:lang w:val="en-US"/>
        </w:rPr>
        <w:t xml:space="preserve">Change Table 8-105 as shown in </w:t>
      </w:r>
      <w:r w:rsidR="0093217E" w:rsidRPr="0093217E">
        <w:rPr>
          <w:b/>
          <w:bCs/>
          <w:i/>
          <w:iCs/>
          <w:sz w:val="20"/>
          <w:lang w:val="en-US"/>
        </w:rPr>
        <w:t xml:space="preserve"> 8.4.2.31 EDCA Parameter Set element</w:t>
      </w:r>
    </w:p>
    <w:p w:rsidR="0093217E" w:rsidRDefault="0093217E" w:rsidP="0093217E">
      <w:pPr>
        <w:rPr>
          <w:lang w:val="en-US"/>
        </w:rPr>
      </w:pPr>
    </w:p>
    <w:tbl>
      <w:tblPr>
        <w:tblStyle w:val="TableGrid"/>
        <w:tblW w:w="9812" w:type="dxa"/>
        <w:tblLook w:val="04A0" w:firstRow="1" w:lastRow="0" w:firstColumn="1" w:lastColumn="0" w:noHBand="0" w:noVBand="1"/>
      </w:tblPr>
      <w:tblGrid>
        <w:gridCol w:w="750"/>
        <w:gridCol w:w="1608"/>
        <w:gridCol w:w="1469"/>
        <w:gridCol w:w="747"/>
        <w:gridCol w:w="1170"/>
        <w:gridCol w:w="1350"/>
        <w:gridCol w:w="1800"/>
        <w:gridCol w:w="918"/>
      </w:tblGrid>
      <w:tr w:rsidR="0093217E" w:rsidTr="006A7338">
        <w:tc>
          <w:tcPr>
            <w:tcW w:w="750" w:type="dxa"/>
            <w:vMerge w:val="restart"/>
            <w:vAlign w:val="center"/>
          </w:tcPr>
          <w:p w:rsidR="0093217E" w:rsidRPr="0093217E" w:rsidRDefault="0093217E" w:rsidP="0093217E">
            <w:pPr>
              <w:jc w:val="center"/>
              <w:rPr>
                <w:sz w:val="16"/>
                <w:szCs w:val="16"/>
                <w:lang w:val="en-US"/>
              </w:rPr>
            </w:pPr>
            <w:r w:rsidRPr="0093217E">
              <w:rPr>
                <w:sz w:val="16"/>
                <w:szCs w:val="16"/>
                <w:lang w:val="en-US"/>
              </w:rPr>
              <w:t>AC</w:t>
            </w:r>
          </w:p>
        </w:tc>
        <w:tc>
          <w:tcPr>
            <w:tcW w:w="1608" w:type="dxa"/>
            <w:vMerge w:val="restart"/>
            <w:vAlign w:val="center"/>
          </w:tcPr>
          <w:p w:rsidR="0093217E" w:rsidRPr="0093217E" w:rsidRDefault="0093217E" w:rsidP="0093217E">
            <w:pPr>
              <w:jc w:val="center"/>
              <w:rPr>
                <w:sz w:val="16"/>
                <w:szCs w:val="16"/>
                <w:lang w:val="en-US"/>
              </w:rPr>
            </w:pPr>
            <w:r w:rsidRPr="0093217E">
              <w:rPr>
                <w:sz w:val="16"/>
                <w:szCs w:val="16"/>
                <w:lang w:val="en-US"/>
              </w:rPr>
              <w:t>CWmin</w:t>
            </w:r>
          </w:p>
        </w:tc>
        <w:tc>
          <w:tcPr>
            <w:tcW w:w="1469" w:type="dxa"/>
            <w:vMerge w:val="restart"/>
            <w:vAlign w:val="center"/>
          </w:tcPr>
          <w:p w:rsidR="0093217E" w:rsidRPr="0093217E" w:rsidRDefault="0093217E" w:rsidP="0093217E">
            <w:pPr>
              <w:jc w:val="center"/>
              <w:rPr>
                <w:sz w:val="16"/>
                <w:szCs w:val="16"/>
                <w:lang w:val="en-US"/>
              </w:rPr>
            </w:pPr>
            <w:r w:rsidRPr="0093217E">
              <w:rPr>
                <w:sz w:val="16"/>
                <w:szCs w:val="16"/>
                <w:lang w:val="en-US"/>
              </w:rPr>
              <w:t>CWmax</w:t>
            </w:r>
          </w:p>
        </w:tc>
        <w:tc>
          <w:tcPr>
            <w:tcW w:w="747" w:type="dxa"/>
            <w:vMerge w:val="restart"/>
            <w:vAlign w:val="center"/>
          </w:tcPr>
          <w:p w:rsidR="0093217E" w:rsidRPr="0093217E" w:rsidRDefault="0093217E" w:rsidP="0093217E">
            <w:pPr>
              <w:jc w:val="center"/>
              <w:rPr>
                <w:sz w:val="16"/>
                <w:szCs w:val="16"/>
                <w:lang w:val="en-US"/>
              </w:rPr>
            </w:pPr>
            <w:r w:rsidRPr="0093217E">
              <w:rPr>
                <w:sz w:val="16"/>
                <w:szCs w:val="16"/>
                <w:lang w:val="en-US"/>
              </w:rPr>
              <w:t>AIFSN</w:t>
            </w:r>
          </w:p>
        </w:tc>
        <w:tc>
          <w:tcPr>
            <w:tcW w:w="5238" w:type="dxa"/>
            <w:gridSpan w:val="4"/>
          </w:tcPr>
          <w:p w:rsidR="0093217E" w:rsidRPr="0093217E" w:rsidRDefault="0093217E" w:rsidP="0093217E">
            <w:pPr>
              <w:jc w:val="center"/>
              <w:rPr>
                <w:sz w:val="16"/>
                <w:szCs w:val="16"/>
                <w:lang w:val="en-US"/>
              </w:rPr>
            </w:pPr>
            <w:r w:rsidRPr="0093217E">
              <w:rPr>
                <w:sz w:val="16"/>
                <w:szCs w:val="16"/>
                <w:lang w:val="en-US"/>
              </w:rPr>
              <w:t>TXOP limit</w:t>
            </w:r>
          </w:p>
        </w:tc>
      </w:tr>
      <w:tr w:rsidR="0093217E" w:rsidTr="006A7338">
        <w:tc>
          <w:tcPr>
            <w:tcW w:w="750" w:type="dxa"/>
            <w:vMerge/>
          </w:tcPr>
          <w:p w:rsidR="0093217E" w:rsidRPr="0093217E" w:rsidRDefault="0093217E" w:rsidP="0093217E">
            <w:pPr>
              <w:rPr>
                <w:sz w:val="16"/>
                <w:szCs w:val="16"/>
                <w:lang w:val="en-US"/>
              </w:rPr>
            </w:pPr>
          </w:p>
        </w:tc>
        <w:tc>
          <w:tcPr>
            <w:tcW w:w="1608" w:type="dxa"/>
            <w:vMerge/>
          </w:tcPr>
          <w:p w:rsidR="0093217E" w:rsidRPr="0093217E" w:rsidRDefault="0093217E" w:rsidP="0093217E">
            <w:pPr>
              <w:rPr>
                <w:sz w:val="16"/>
                <w:szCs w:val="16"/>
                <w:lang w:val="en-US"/>
              </w:rPr>
            </w:pPr>
          </w:p>
        </w:tc>
        <w:tc>
          <w:tcPr>
            <w:tcW w:w="1469" w:type="dxa"/>
            <w:vMerge/>
          </w:tcPr>
          <w:p w:rsidR="0093217E" w:rsidRPr="0093217E" w:rsidRDefault="0093217E" w:rsidP="0093217E">
            <w:pPr>
              <w:rPr>
                <w:sz w:val="16"/>
                <w:szCs w:val="16"/>
                <w:lang w:val="en-US"/>
              </w:rPr>
            </w:pPr>
          </w:p>
        </w:tc>
        <w:tc>
          <w:tcPr>
            <w:tcW w:w="747" w:type="dxa"/>
            <w:vMerge/>
          </w:tcPr>
          <w:p w:rsidR="0093217E" w:rsidRPr="0093217E" w:rsidRDefault="0093217E" w:rsidP="0093217E">
            <w:pPr>
              <w:rPr>
                <w:sz w:val="16"/>
                <w:szCs w:val="16"/>
                <w:lang w:val="en-US"/>
              </w:rPr>
            </w:pPr>
          </w:p>
        </w:tc>
        <w:tc>
          <w:tcPr>
            <w:tcW w:w="1170" w:type="dxa"/>
          </w:tcPr>
          <w:p w:rsidR="0093217E" w:rsidRPr="0093217E" w:rsidRDefault="0093217E" w:rsidP="0093217E">
            <w:pPr>
              <w:autoSpaceDE w:val="0"/>
              <w:autoSpaceDN w:val="0"/>
              <w:adjustRightInd w:val="0"/>
              <w:rPr>
                <w:bCs/>
                <w:sz w:val="16"/>
                <w:szCs w:val="16"/>
                <w:lang w:val="en-US"/>
              </w:rPr>
            </w:pPr>
            <w:r w:rsidRPr="0093217E">
              <w:rPr>
                <w:bCs/>
                <w:sz w:val="16"/>
                <w:szCs w:val="16"/>
                <w:lang w:val="en-US"/>
              </w:rPr>
              <w:t>For PHYs defined</w:t>
            </w:r>
          </w:p>
          <w:p w:rsidR="0093217E" w:rsidRPr="0093217E" w:rsidRDefault="0093217E" w:rsidP="0093217E">
            <w:pPr>
              <w:autoSpaceDE w:val="0"/>
              <w:autoSpaceDN w:val="0"/>
              <w:adjustRightInd w:val="0"/>
              <w:rPr>
                <w:bCs/>
                <w:sz w:val="16"/>
                <w:szCs w:val="16"/>
                <w:lang w:val="en-US"/>
              </w:rPr>
            </w:pPr>
            <w:r w:rsidRPr="0093217E">
              <w:rPr>
                <w:bCs/>
                <w:sz w:val="16"/>
                <w:szCs w:val="16"/>
                <w:lang w:val="en-US"/>
              </w:rPr>
              <w:t>in Clause 16 and</w:t>
            </w:r>
          </w:p>
          <w:p w:rsidR="0093217E" w:rsidRPr="0093217E" w:rsidRDefault="0093217E" w:rsidP="0093217E">
            <w:pPr>
              <w:rPr>
                <w:sz w:val="16"/>
                <w:szCs w:val="16"/>
                <w:lang w:val="en-US"/>
              </w:rPr>
            </w:pPr>
            <w:r w:rsidRPr="0093217E">
              <w:rPr>
                <w:bCs/>
                <w:sz w:val="16"/>
                <w:szCs w:val="16"/>
                <w:lang w:val="en-US"/>
              </w:rPr>
              <w:t>Clause 17</w:t>
            </w:r>
          </w:p>
        </w:tc>
        <w:tc>
          <w:tcPr>
            <w:tcW w:w="1350" w:type="dxa"/>
          </w:tcPr>
          <w:p w:rsidR="0093217E" w:rsidRPr="0093217E" w:rsidRDefault="0093217E" w:rsidP="0093217E">
            <w:pPr>
              <w:autoSpaceDE w:val="0"/>
              <w:autoSpaceDN w:val="0"/>
              <w:adjustRightInd w:val="0"/>
              <w:rPr>
                <w:bCs/>
                <w:sz w:val="16"/>
                <w:szCs w:val="16"/>
                <w:lang w:val="en-US"/>
              </w:rPr>
            </w:pPr>
            <w:r w:rsidRPr="0093217E">
              <w:rPr>
                <w:bCs/>
                <w:sz w:val="16"/>
                <w:szCs w:val="16"/>
                <w:lang w:val="en-US"/>
              </w:rPr>
              <w:t>For PHYs defined</w:t>
            </w:r>
          </w:p>
          <w:p w:rsidR="0093217E" w:rsidRPr="0093217E" w:rsidRDefault="0093217E" w:rsidP="0093217E">
            <w:pPr>
              <w:autoSpaceDE w:val="0"/>
              <w:autoSpaceDN w:val="0"/>
              <w:adjustRightInd w:val="0"/>
              <w:rPr>
                <w:bCs/>
                <w:sz w:val="16"/>
                <w:szCs w:val="16"/>
                <w:lang w:val="en-US"/>
              </w:rPr>
            </w:pPr>
            <w:r w:rsidRPr="0093217E">
              <w:rPr>
                <w:bCs/>
                <w:sz w:val="16"/>
                <w:szCs w:val="16"/>
                <w:lang w:val="en-US"/>
              </w:rPr>
              <w:t>in Clause 18,</w:t>
            </w:r>
          </w:p>
          <w:p w:rsidR="0093217E" w:rsidRPr="0093217E" w:rsidRDefault="0093217E" w:rsidP="0093217E">
            <w:pPr>
              <w:autoSpaceDE w:val="0"/>
              <w:autoSpaceDN w:val="0"/>
              <w:adjustRightInd w:val="0"/>
              <w:rPr>
                <w:bCs/>
                <w:sz w:val="16"/>
                <w:szCs w:val="16"/>
                <w:lang w:val="en-US"/>
              </w:rPr>
            </w:pPr>
            <w:r w:rsidRPr="0093217E">
              <w:rPr>
                <w:bCs/>
                <w:sz w:val="16"/>
                <w:szCs w:val="16"/>
                <w:lang w:val="en-US"/>
              </w:rPr>
              <w:t>Clause 19, and</w:t>
            </w:r>
          </w:p>
          <w:p w:rsidR="0093217E" w:rsidRPr="0093217E" w:rsidRDefault="0093217E" w:rsidP="0093217E">
            <w:pPr>
              <w:rPr>
                <w:sz w:val="16"/>
                <w:szCs w:val="16"/>
                <w:lang w:val="en-US"/>
              </w:rPr>
            </w:pPr>
            <w:r w:rsidRPr="0093217E">
              <w:rPr>
                <w:bCs/>
                <w:sz w:val="16"/>
                <w:szCs w:val="16"/>
                <w:lang w:val="en-US"/>
              </w:rPr>
              <w:t>Clause 20</w:t>
            </w:r>
          </w:p>
        </w:tc>
        <w:tc>
          <w:tcPr>
            <w:tcW w:w="1800" w:type="dxa"/>
          </w:tcPr>
          <w:p w:rsidR="0093217E" w:rsidRPr="0093217E" w:rsidRDefault="0093217E" w:rsidP="0093217E">
            <w:pPr>
              <w:rPr>
                <w:sz w:val="16"/>
                <w:szCs w:val="16"/>
                <w:u w:val="single"/>
                <w:lang w:val="en-US"/>
              </w:rPr>
            </w:pPr>
            <w:r w:rsidRPr="0093217E">
              <w:rPr>
                <w:sz w:val="16"/>
                <w:szCs w:val="16"/>
                <w:u w:val="single"/>
                <w:lang w:val="en-US"/>
              </w:rPr>
              <w:t>For PHY defined in Clause 23</w:t>
            </w:r>
          </w:p>
        </w:tc>
        <w:tc>
          <w:tcPr>
            <w:tcW w:w="918" w:type="dxa"/>
          </w:tcPr>
          <w:p w:rsidR="0093217E" w:rsidRPr="0093217E" w:rsidRDefault="0093217E" w:rsidP="0093217E">
            <w:pPr>
              <w:autoSpaceDE w:val="0"/>
              <w:autoSpaceDN w:val="0"/>
              <w:adjustRightInd w:val="0"/>
              <w:rPr>
                <w:bCs/>
                <w:sz w:val="16"/>
                <w:szCs w:val="16"/>
                <w:lang w:val="en-US"/>
              </w:rPr>
            </w:pPr>
            <w:r w:rsidRPr="0093217E">
              <w:rPr>
                <w:bCs/>
                <w:sz w:val="16"/>
                <w:szCs w:val="16"/>
                <w:lang w:val="en-US"/>
              </w:rPr>
              <w:t>Other</w:t>
            </w:r>
          </w:p>
          <w:p w:rsidR="0093217E" w:rsidRPr="0093217E" w:rsidRDefault="0093217E" w:rsidP="0093217E">
            <w:pPr>
              <w:rPr>
                <w:sz w:val="16"/>
                <w:szCs w:val="16"/>
                <w:lang w:val="en-US"/>
              </w:rPr>
            </w:pPr>
            <w:r w:rsidRPr="0093217E">
              <w:rPr>
                <w:bCs/>
                <w:sz w:val="16"/>
                <w:szCs w:val="16"/>
                <w:lang w:val="en-US"/>
              </w:rPr>
              <w:t>PHYs</w:t>
            </w:r>
          </w:p>
        </w:tc>
      </w:tr>
      <w:tr w:rsidR="0093217E" w:rsidTr="006A7338">
        <w:tc>
          <w:tcPr>
            <w:tcW w:w="750" w:type="dxa"/>
          </w:tcPr>
          <w:p w:rsidR="0093217E" w:rsidRPr="0093217E" w:rsidRDefault="0093217E" w:rsidP="0093217E">
            <w:pPr>
              <w:rPr>
                <w:sz w:val="16"/>
                <w:szCs w:val="16"/>
                <w:lang w:val="en-US"/>
              </w:rPr>
            </w:pPr>
            <w:r w:rsidRPr="0093217E">
              <w:rPr>
                <w:sz w:val="16"/>
                <w:szCs w:val="16"/>
                <w:lang w:val="en-US"/>
              </w:rPr>
              <w:t>AC_BK</w:t>
            </w:r>
          </w:p>
        </w:tc>
        <w:tc>
          <w:tcPr>
            <w:tcW w:w="1608" w:type="dxa"/>
          </w:tcPr>
          <w:p w:rsidR="0093217E" w:rsidRPr="0093217E" w:rsidRDefault="0093217E" w:rsidP="0093217E">
            <w:pPr>
              <w:rPr>
                <w:sz w:val="16"/>
                <w:szCs w:val="16"/>
                <w:lang w:val="en-US"/>
              </w:rPr>
            </w:pPr>
            <w:r w:rsidRPr="0093217E">
              <w:rPr>
                <w:sz w:val="16"/>
                <w:szCs w:val="16"/>
                <w:lang w:val="en-US"/>
              </w:rPr>
              <w:t>aCWmin</w:t>
            </w:r>
          </w:p>
        </w:tc>
        <w:tc>
          <w:tcPr>
            <w:tcW w:w="1469" w:type="dxa"/>
          </w:tcPr>
          <w:p w:rsidR="0093217E" w:rsidRPr="0093217E" w:rsidRDefault="0093217E" w:rsidP="0093217E">
            <w:pPr>
              <w:rPr>
                <w:sz w:val="16"/>
                <w:szCs w:val="16"/>
                <w:lang w:val="en-US"/>
              </w:rPr>
            </w:pPr>
            <w:r w:rsidRPr="0093217E">
              <w:rPr>
                <w:sz w:val="16"/>
                <w:szCs w:val="16"/>
                <w:lang w:val="en-US"/>
              </w:rPr>
              <w:t>aCWmax</w:t>
            </w:r>
          </w:p>
        </w:tc>
        <w:tc>
          <w:tcPr>
            <w:tcW w:w="747" w:type="dxa"/>
          </w:tcPr>
          <w:p w:rsidR="0093217E" w:rsidRPr="0093217E" w:rsidRDefault="0093217E" w:rsidP="0093217E">
            <w:pPr>
              <w:rPr>
                <w:sz w:val="16"/>
                <w:szCs w:val="16"/>
                <w:lang w:val="en-US"/>
              </w:rPr>
            </w:pPr>
            <w:r w:rsidRPr="0093217E">
              <w:rPr>
                <w:sz w:val="16"/>
                <w:szCs w:val="16"/>
                <w:lang w:val="en-US"/>
              </w:rPr>
              <w:t>7</w:t>
            </w:r>
          </w:p>
        </w:tc>
        <w:tc>
          <w:tcPr>
            <w:tcW w:w="1170" w:type="dxa"/>
          </w:tcPr>
          <w:p w:rsidR="0093217E" w:rsidRPr="0093217E" w:rsidRDefault="0093217E" w:rsidP="0093217E">
            <w:pPr>
              <w:rPr>
                <w:sz w:val="16"/>
                <w:szCs w:val="16"/>
                <w:lang w:val="en-US"/>
              </w:rPr>
            </w:pPr>
            <w:r w:rsidRPr="0093217E">
              <w:rPr>
                <w:sz w:val="16"/>
                <w:szCs w:val="16"/>
                <w:lang w:val="en-US"/>
              </w:rPr>
              <w:t>0</w:t>
            </w:r>
          </w:p>
        </w:tc>
        <w:tc>
          <w:tcPr>
            <w:tcW w:w="1350" w:type="dxa"/>
          </w:tcPr>
          <w:p w:rsidR="0093217E" w:rsidRPr="0093217E" w:rsidRDefault="0093217E" w:rsidP="0093217E">
            <w:pPr>
              <w:rPr>
                <w:sz w:val="16"/>
                <w:szCs w:val="16"/>
                <w:lang w:val="en-US"/>
              </w:rPr>
            </w:pPr>
            <w:r w:rsidRPr="0093217E">
              <w:rPr>
                <w:sz w:val="16"/>
                <w:szCs w:val="16"/>
                <w:lang w:val="en-US"/>
              </w:rPr>
              <w:t>0</w:t>
            </w:r>
          </w:p>
        </w:tc>
        <w:tc>
          <w:tcPr>
            <w:tcW w:w="1800" w:type="dxa"/>
          </w:tcPr>
          <w:p w:rsidR="0093217E" w:rsidRPr="0093217E" w:rsidRDefault="0093217E" w:rsidP="0093217E">
            <w:pPr>
              <w:rPr>
                <w:sz w:val="16"/>
                <w:szCs w:val="16"/>
                <w:u w:val="single"/>
                <w:lang w:val="en-US"/>
              </w:rPr>
            </w:pPr>
            <w:r w:rsidRPr="0093217E">
              <w:rPr>
                <w:sz w:val="16"/>
                <w:szCs w:val="16"/>
                <w:u w:val="single"/>
                <w:lang w:val="en-US"/>
              </w:rPr>
              <w:t>0</w:t>
            </w:r>
          </w:p>
        </w:tc>
        <w:tc>
          <w:tcPr>
            <w:tcW w:w="918" w:type="dxa"/>
          </w:tcPr>
          <w:p w:rsidR="0093217E" w:rsidRPr="0093217E" w:rsidRDefault="0093217E" w:rsidP="0093217E">
            <w:pPr>
              <w:rPr>
                <w:sz w:val="16"/>
                <w:szCs w:val="16"/>
                <w:lang w:val="en-US"/>
              </w:rPr>
            </w:pPr>
            <w:r w:rsidRPr="0093217E">
              <w:rPr>
                <w:sz w:val="16"/>
                <w:szCs w:val="16"/>
                <w:lang w:val="en-US"/>
              </w:rPr>
              <w:t>0</w:t>
            </w:r>
          </w:p>
        </w:tc>
      </w:tr>
      <w:tr w:rsidR="0093217E" w:rsidTr="006A7338">
        <w:tc>
          <w:tcPr>
            <w:tcW w:w="750" w:type="dxa"/>
          </w:tcPr>
          <w:p w:rsidR="0093217E" w:rsidRPr="0093217E" w:rsidRDefault="0093217E" w:rsidP="0093217E">
            <w:pPr>
              <w:rPr>
                <w:sz w:val="16"/>
                <w:szCs w:val="16"/>
                <w:lang w:val="en-US"/>
              </w:rPr>
            </w:pPr>
            <w:r w:rsidRPr="0093217E">
              <w:rPr>
                <w:sz w:val="16"/>
                <w:szCs w:val="16"/>
                <w:lang w:val="en-US"/>
              </w:rPr>
              <w:t>AC_BE</w:t>
            </w:r>
          </w:p>
        </w:tc>
        <w:tc>
          <w:tcPr>
            <w:tcW w:w="1608" w:type="dxa"/>
          </w:tcPr>
          <w:p w:rsidR="0093217E" w:rsidRPr="0093217E" w:rsidRDefault="0093217E" w:rsidP="0093217E">
            <w:pPr>
              <w:rPr>
                <w:sz w:val="16"/>
                <w:szCs w:val="16"/>
                <w:lang w:val="en-US"/>
              </w:rPr>
            </w:pPr>
            <w:r w:rsidRPr="0093217E">
              <w:rPr>
                <w:sz w:val="16"/>
                <w:szCs w:val="16"/>
                <w:lang w:val="en-US"/>
              </w:rPr>
              <w:t>aCWmin</w:t>
            </w:r>
          </w:p>
        </w:tc>
        <w:tc>
          <w:tcPr>
            <w:tcW w:w="1469" w:type="dxa"/>
          </w:tcPr>
          <w:p w:rsidR="0093217E" w:rsidRPr="0093217E" w:rsidRDefault="0093217E" w:rsidP="0093217E">
            <w:pPr>
              <w:rPr>
                <w:sz w:val="16"/>
                <w:szCs w:val="16"/>
                <w:lang w:val="en-US"/>
              </w:rPr>
            </w:pPr>
            <w:r w:rsidRPr="0093217E">
              <w:rPr>
                <w:sz w:val="16"/>
                <w:szCs w:val="16"/>
                <w:lang w:val="en-US"/>
              </w:rPr>
              <w:t>aCWmax</w:t>
            </w:r>
          </w:p>
        </w:tc>
        <w:tc>
          <w:tcPr>
            <w:tcW w:w="747" w:type="dxa"/>
          </w:tcPr>
          <w:p w:rsidR="0093217E" w:rsidRPr="0093217E" w:rsidRDefault="0093217E" w:rsidP="0093217E">
            <w:pPr>
              <w:rPr>
                <w:sz w:val="16"/>
                <w:szCs w:val="16"/>
                <w:lang w:val="en-US"/>
              </w:rPr>
            </w:pPr>
            <w:r w:rsidRPr="0093217E">
              <w:rPr>
                <w:sz w:val="16"/>
                <w:szCs w:val="16"/>
                <w:lang w:val="en-US"/>
              </w:rPr>
              <w:t>3</w:t>
            </w:r>
          </w:p>
        </w:tc>
        <w:tc>
          <w:tcPr>
            <w:tcW w:w="1170" w:type="dxa"/>
          </w:tcPr>
          <w:p w:rsidR="0093217E" w:rsidRPr="0093217E" w:rsidRDefault="0093217E" w:rsidP="0093217E">
            <w:pPr>
              <w:rPr>
                <w:sz w:val="16"/>
                <w:szCs w:val="16"/>
                <w:lang w:val="en-US"/>
              </w:rPr>
            </w:pPr>
            <w:r w:rsidRPr="0093217E">
              <w:rPr>
                <w:sz w:val="16"/>
                <w:szCs w:val="16"/>
                <w:lang w:val="en-US"/>
              </w:rPr>
              <w:t>0</w:t>
            </w:r>
          </w:p>
        </w:tc>
        <w:tc>
          <w:tcPr>
            <w:tcW w:w="1350" w:type="dxa"/>
          </w:tcPr>
          <w:p w:rsidR="0093217E" w:rsidRPr="0093217E" w:rsidRDefault="0093217E" w:rsidP="0093217E">
            <w:pPr>
              <w:rPr>
                <w:sz w:val="16"/>
                <w:szCs w:val="16"/>
                <w:lang w:val="en-US"/>
              </w:rPr>
            </w:pPr>
            <w:r w:rsidRPr="0093217E">
              <w:rPr>
                <w:sz w:val="16"/>
                <w:szCs w:val="16"/>
                <w:lang w:val="en-US"/>
              </w:rPr>
              <w:t>0</w:t>
            </w:r>
          </w:p>
        </w:tc>
        <w:tc>
          <w:tcPr>
            <w:tcW w:w="1800" w:type="dxa"/>
          </w:tcPr>
          <w:p w:rsidR="0093217E" w:rsidRPr="0093217E" w:rsidRDefault="0093217E" w:rsidP="0093217E">
            <w:pPr>
              <w:rPr>
                <w:sz w:val="16"/>
                <w:szCs w:val="16"/>
                <w:u w:val="single"/>
                <w:lang w:val="en-US"/>
              </w:rPr>
            </w:pPr>
            <w:r w:rsidRPr="0093217E">
              <w:rPr>
                <w:sz w:val="16"/>
                <w:szCs w:val="16"/>
                <w:u w:val="single"/>
                <w:lang w:val="en-US"/>
              </w:rPr>
              <w:t>0</w:t>
            </w:r>
          </w:p>
        </w:tc>
        <w:tc>
          <w:tcPr>
            <w:tcW w:w="918" w:type="dxa"/>
          </w:tcPr>
          <w:p w:rsidR="0093217E" w:rsidRPr="0093217E" w:rsidRDefault="0093217E" w:rsidP="0093217E">
            <w:pPr>
              <w:rPr>
                <w:sz w:val="16"/>
                <w:szCs w:val="16"/>
                <w:lang w:val="en-US"/>
              </w:rPr>
            </w:pPr>
            <w:r w:rsidRPr="0093217E">
              <w:rPr>
                <w:sz w:val="16"/>
                <w:szCs w:val="16"/>
                <w:lang w:val="en-US"/>
              </w:rPr>
              <w:t>0</w:t>
            </w:r>
          </w:p>
        </w:tc>
      </w:tr>
      <w:tr w:rsidR="0093217E" w:rsidTr="006A7338">
        <w:tc>
          <w:tcPr>
            <w:tcW w:w="750" w:type="dxa"/>
          </w:tcPr>
          <w:p w:rsidR="0093217E" w:rsidRPr="0093217E" w:rsidRDefault="0093217E" w:rsidP="0093217E">
            <w:pPr>
              <w:rPr>
                <w:sz w:val="16"/>
                <w:szCs w:val="16"/>
                <w:lang w:val="en-US"/>
              </w:rPr>
            </w:pPr>
            <w:r w:rsidRPr="0093217E">
              <w:rPr>
                <w:sz w:val="16"/>
                <w:szCs w:val="16"/>
                <w:lang w:val="en-US"/>
              </w:rPr>
              <w:t>AC_VI</w:t>
            </w:r>
          </w:p>
        </w:tc>
        <w:tc>
          <w:tcPr>
            <w:tcW w:w="1608" w:type="dxa"/>
          </w:tcPr>
          <w:p w:rsidR="0093217E" w:rsidRPr="0093217E" w:rsidRDefault="0093217E" w:rsidP="0093217E">
            <w:pPr>
              <w:rPr>
                <w:sz w:val="16"/>
                <w:szCs w:val="16"/>
                <w:lang w:val="en-US"/>
              </w:rPr>
            </w:pPr>
            <w:r w:rsidRPr="0093217E">
              <w:rPr>
                <w:sz w:val="16"/>
                <w:szCs w:val="16"/>
                <w:lang w:val="en-US"/>
              </w:rPr>
              <w:t>(aCWmin+1)/2 – 1</w:t>
            </w:r>
          </w:p>
        </w:tc>
        <w:tc>
          <w:tcPr>
            <w:tcW w:w="1469" w:type="dxa"/>
          </w:tcPr>
          <w:p w:rsidR="0093217E" w:rsidRPr="0093217E" w:rsidRDefault="0093217E" w:rsidP="0093217E">
            <w:pPr>
              <w:rPr>
                <w:sz w:val="16"/>
                <w:szCs w:val="16"/>
                <w:lang w:val="en-US"/>
              </w:rPr>
            </w:pPr>
            <w:r w:rsidRPr="0093217E">
              <w:rPr>
                <w:sz w:val="16"/>
                <w:szCs w:val="16"/>
                <w:lang w:val="en-US"/>
              </w:rPr>
              <w:t>aCWmin</w:t>
            </w:r>
          </w:p>
        </w:tc>
        <w:tc>
          <w:tcPr>
            <w:tcW w:w="747" w:type="dxa"/>
          </w:tcPr>
          <w:p w:rsidR="0093217E" w:rsidRPr="0093217E" w:rsidRDefault="0093217E" w:rsidP="0093217E">
            <w:pPr>
              <w:rPr>
                <w:sz w:val="16"/>
                <w:szCs w:val="16"/>
                <w:lang w:val="en-US"/>
              </w:rPr>
            </w:pPr>
            <w:r w:rsidRPr="0093217E">
              <w:rPr>
                <w:sz w:val="16"/>
                <w:szCs w:val="16"/>
                <w:lang w:val="en-US"/>
              </w:rPr>
              <w:t>2</w:t>
            </w:r>
          </w:p>
        </w:tc>
        <w:tc>
          <w:tcPr>
            <w:tcW w:w="1170" w:type="dxa"/>
          </w:tcPr>
          <w:p w:rsidR="0093217E" w:rsidRPr="0093217E" w:rsidRDefault="0093217E" w:rsidP="0093217E">
            <w:pPr>
              <w:rPr>
                <w:sz w:val="16"/>
                <w:szCs w:val="16"/>
                <w:lang w:val="en-US"/>
              </w:rPr>
            </w:pPr>
            <w:r w:rsidRPr="0093217E">
              <w:rPr>
                <w:sz w:val="16"/>
                <w:szCs w:val="16"/>
                <w:lang w:val="en-US"/>
              </w:rPr>
              <w:t>6.016 ms</w:t>
            </w:r>
          </w:p>
        </w:tc>
        <w:tc>
          <w:tcPr>
            <w:tcW w:w="1350" w:type="dxa"/>
          </w:tcPr>
          <w:p w:rsidR="0093217E" w:rsidRPr="0093217E" w:rsidRDefault="0093217E" w:rsidP="0093217E">
            <w:pPr>
              <w:rPr>
                <w:sz w:val="16"/>
                <w:szCs w:val="16"/>
                <w:lang w:val="en-US"/>
              </w:rPr>
            </w:pPr>
            <w:r w:rsidRPr="0093217E">
              <w:rPr>
                <w:sz w:val="16"/>
                <w:szCs w:val="16"/>
                <w:lang w:val="en-US"/>
              </w:rPr>
              <w:t>3.008 ms</w:t>
            </w:r>
          </w:p>
        </w:tc>
        <w:tc>
          <w:tcPr>
            <w:tcW w:w="1800" w:type="dxa"/>
          </w:tcPr>
          <w:p w:rsidR="0093217E" w:rsidRPr="0093217E" w:rsidRDefault="0093217E" w:rsidP="0093217E">
            <w:pPr>
              <w:rPr>
                <w:sz w:val="16"/>
                <w:szCs w:val="16"/>
                <w:u w:val="single"/>
                <w:lang w:val="en-US"/>
              </w:rPr>
            </w:pPr>
            <w:r w:rsidRPr="0093217E">
              <w:rPr>
                <w:sz w:val="16"/>
                <w:szCs w:val="16"/>
                <w:u w:val="single"/>
                <w:lang w:val="en-US"/>
              </w:rPr>
              <w:t xml:space="preserve">22.56ms </w:t>
            </w:r>
            <w:r w:rsidRPr="0093217E">
              <w:rPr>
                <w:rFonts w:hint="eastAsia"/>
                <w:sz w:val="16"/>
                <w:szCs w:val="16"/>
                <w:u w:val="single"/>
                <w:lang w:val="en-US"/>
              </w:rPr>
              <w:t>(</w:t>
            </w:r>
            <w:r w:rsidR="002106B4">
              <w:rPr>
                <w:sz w:val="16"/>
                <w:szCs w:val="16"/>
                <w:u w:val="single"/>
                <w:lang w:val="en-US"/>
              </w:rPr>
              <w:t xml:space="preserve">basic channel unit: </w:t>
            </w:r>
            <w:r w:rsidRPr="0093217E">
              <w:rPr>
                <w:rFonts w:hint="eastAsia"/>
                <w:sz w:val="16"/>
                <w:szCs w:val="16"/>
                <w:u w:val="single"/>
                <w:lang w:val="en-US"/>
              </w:rPr>
              <w:t>6 or 7 MHz)</w:t>
            </w:r>
            <w:r w:rsidRPr="0093217E">
              <w:rPr>
                <w:sz w:val="16"/>
                <w:szCs w:val="16"/>
                <w:u w:val="single"/>
                <w:lang w:val="en-US"/>
              </w:rPr>
              <w:t xml:space="preserve">, </w:t>
            </w:r>
          </w:p>
          <w:p w:rsidR="0093217E" w:rsidRPr="0093217E" w:rsidRDefault="0093217E" w:rsidP="0093217E">
            <w:pPr>
              <w:rPr>
                <w:sz w:val="16"/>
                <w:szCs w:val="16"/>
                <w:u w:val="single"/>
                <w:lang w:val="en-US"/>
              </w:rPr>
            </w:pPr>
            <w:r w:rsidRPr="0093217E">
              <w:rPr>
                <w:sz w:val="16"/>
                <w:szCs w:val="16"/>
                <w:u w:val="single"/>
                <w:lang w:val="en-US"/>
              </w:rPr>
              <w:t>16.92us (</w:t>
            </w:r>
            <w:r w:rsidR="002106B4">
              <w:rPr>
                <w:sz w:val="16"/>
                <w:szCs w:val="16"/>
                <w:u w:val="single"/>
                <w:lang w:val="en-US"/>
              </w:rPr>
              <w:t xml:space="preserve">basic channel unit: </w:t>
            </w:r>
            <w:r w:rsidRPr="0093217E">
              <w:rPr>
                <w:sz w:val="16"/>
                <w:szCs w:val="16"/>
                <w:u w:val="single"/>
                <w:lang w:val="en-US"/>
              </w:rPr>
              <w:t>8MHZ)</w:t>
            </w:r>
          </w:p>
        </w:tc>
        <w:tc>
          <w:tcPr>
            <w:tcW w:w="918" w:type="dxa"/>
          </w:tcPr>
          <w:p w:rsidR="0093217E" w:rsidRPr="0093217E" w:rsidRDefault="0093217E" w:rsidP="0093217E">
            <w:pPr>
              <w:rPr>
                <w:sz w:val="16"/>
                <w:szCs w:val="16"/>
                <w:lang w:val="en-US"/>
              </w:rPr>
            </w:pPr>
            <w:r w:rsidRPr="0093217E">
              <w:rPr>
                <w:sz w:val="16"/>
                <w:szCs w:val="16"/>
                <w:lang w:val="en-US"/>
              </w:rPr>
              <w:t>0</w:t>
            </w:r>
          </w:p>
        </w:tc>
      </w:tr>
      <w:tr w:rsidR="0093217E" w:rsidTr="006A7338">
        <w:tc>
          <w:tcPr>
            <w:tcW w:w="750" w:type="dxa"/>
          </w:tcPr>
          <w:p w:rsidR="0093217E" w:rsidRPr="0093217E" w:rsidRDefault="0093217E" w:rsidP="0093217E">
            <w:pPr>
              <w:rPr>
                <w:sz w:val="16"/>
                <w:szCs w:val="16"/>
                <w:lang w:val="en-US"/>
              </w:rPr>
            </w:pPr>
            <w:r w:rsidRPr="0093217E">
              <w:rPr>
                <w:sz w:val="16"/>
                <w:szCs w:val="16"/>
                <w:lang w:val="en-US"/>
              </w:rPr>
              <w:t>AC_VO</w:t>
            </w:r>
          </w:p>
        </w:tc>
        <w:tc>
          <w:tcPr>
            <w:tcW w:w="1608" w:type="dxa"/>
          </w:tcPr>
          <w:p w:rsidR="0093217E" w:rsidRPr="0093217E" w:rsidRDefault="0093217E" w:rsidP="0093217E">
            <w:pPr>
              <w:rPr>
                <w:sz w:val="16"/>
                <w:szCs w:val="16"/>
                <w:lang w:val="en-US"/>
              </w:rPr>
            </w:pPr>
            <w:r w:rsidRPr="0093217E">
              <w:rPr>
                <w:sz w:val="16"/>
                <w:szCs w:val="16"/>
                <w:lang w:val="en-US"/>
              </w:rPr>
              <w:t>(aCWmin+1)/4 – 1</w:t>
            </w:r>
          </w:p>
        </w:tc>
        <w:tc>
          <w:tcPr>
            <w:tcW w:w="1469" w:type="dxa"/>
          </w:tcPr>
          <w:p w:rsidR="0093217E" w:rsidRPr="0093217E" w:rsidRDefault="0093217E" w:rsidP="0093217E">
            <w:pPr>
              <w:rPr>
                <w:sz w:val="16"/>
                <w:szCs w:val="16"/>
                <w:lang w:val="en-US"/>
              </w:rPr>
            </w:pPr>
            <w:r w:rsidRPr="0093217E">
              <w:rPr>
                <w:sz w:val="16"/>
                <w:szCs w:val="16"/>
                <w:lang w:val="en-US"/>
              </w:rPr>
              <w:t>(aCWmin+1)/2 – 1</w:t>
            </w:r>
          </w:p>
        </w:tc>
        <w:tc>
          <w:tcPr>
            <w:tcW w:w="747" w:type="dxa"/>
          </w:tcPr>
          <w:p w:rsidR="0093217E" w:rsidRPr="0093217E" w:rsidRDefault="0093217E" w:rsidP="0093217E">
            <w:pPr>
              <w:rPr>
                <w:sz w:val="16"/>
                <w:szCs w:val="16"/>
                <w:lang w:val="en-US"/>
              </w:rPr>
            </w:pPr>
            <w:r w:rsidRPr="0093217E">
              <w:rPr>
                <w:sz w:val="16"/>
                <w:szCs w:val="16"/>
                <w:lang w:val="en-US"/>
              </w:rPr>
              <w:t>2</w:t>
            </w:r>
          </w:p>
        </w:tc>
        <w:tc>
          <w:tcPr>
            <w:tcW w:w="1170" w:type="dxa"/>
          </w:tcPr>
          <w:p w:rsidR="0093217E" w:rsidRPr="0093217E" w:rsidRDefault="0093217E" w:rsidP="0093217E">
            <w:pPr>
              <w:rPr>
                <w:sz w:val="16"/>
                <w:szCs w:val="16"/>
                <w:lang w:val="en-US"/>
              </w:rPr>
            </w:pPr>
            <w:r w:rsidRPr="0093217E">
              <w:rPr>
                <w:sz w:val="16"/>
                <w:szCs w:val="16"/>
                <w:lang w:val="en-US"/>
              </w:rPr>
              <w:t>3.264 ms</w:t>
            </w:r>
          </w:p>
        </w:tc>
        <w:tc>
          <w:tcPr>
            <w:tcW w:w="1350" w:type="dxa"/>
          </w:tcPr>
          <w:p w:rsidR="0093217E" w:rsidRPr="0093217E" w:rsidRDefault="0093217E" w:rsidP="0093217E">
            <w:pPr>
              <w:rPr>
                <w:sz w:val="16"/>
                <w:szCs w:val="16"/>
                <w:lang w:val="en-US"/>
              </w:rPr>
            </w:pPr>
            <w:r w:rsidRPr="0093217E">
              <w:rPr>
                <w:sz w:val="16"/>
                <w:szCs w:val="16"/>
                <w:lang w:val="en-US"/>
              </w:rPr>
              <w:t>1.504 ms</w:t>
            </w:r>
          </w:p>
        </w:tc>
        <w:tc>
          <w:tcPr>
            <w:tcW w:w="1800" w:type="dxa"/>
          </w:tcPr>
          <w:p w:rsidR="0093217E" w:rsidRPr="0093217E" w:rsidRDefault="0093217E" w:rsidP="0093217E">
            <w:pPr>
              <w:rPr>
                <w:sz w:val="16"/>
                <w:szCs w:val="16"/>
                <w:u w:val="single"/>
                <w:lang w:val="en-US"/>
              </w:rPr>
            </w:pPr>
            <w:r w:rsidRPr="0093217E">
              <w:rPr>
                <w:sz w:val="16"/>
                <w:szCs w:val="16"/>
                <w:u w:val="single"/>
                <w:lang w:val="en-US"/>
              </w:rPr>
              <w:t>11.28us (</w:t>
            </w:r>
            <w:r w:rsidR="002106B4">
              <w:rPr>
                <w:sz w:val="16"/>
                <w:szCs w:val="16"/>
                <w:u w:val="single"/>
                <w:lang w:val="en-US"/>
              </w:rPr>
              <w:t xml:space="preserve">basic channel unit: </w:t>
            </w:r>
            <w:r w:rsidRPr="0093217E">
              <w:rPr>
                <w:sz w:val="16"/>
                <w:szCs w:val="16"/>
                <w:u w:val="single"/>
                <w:lang w:val="en-US"/>
              </w:rPr>
              <w:t>6 or 7MHz),</w:t>
            </w:r>
          </w:p>
          <w:p w:rsidR="0093217E" w:rsidRPr="0093217E" w:rsidRDefault="0093217E" w:rsidP="0093217E">
            <w:pPr>
              <w:rPr>
                <w:sz w:val="16"/>
                <w:szCs w:val="16"/>
                <w:u w:val="single"/>
                <w:lang w:val="en-US"/>
              </w:rPr>
            </w:pPr>
            <w:r w:rsidRPr="0093217E">
              <w:rPr>
                <w:sz w:val="16"/>
                <w:szCs w:val="16"/>
                <w:u w:val="single"/>
                <w:lang w:val="en-US"/>
              </w:rPr>
              <w:t>8.46us (</w:t>
            </w:r>
            <w:r w:rsidR="002106B4">
              <w:rPr>
                <w:sz w:val="16"/>
                <w:szCs w:val="16"/>
                <w:u w:val="single"/>
                <w:lang w:val="en-US"/>
              </w:rPr>
              <w:t xml:space="preserve">basic channel unit: </w:t>
            </w:r>
            <w:r w:rsidRPr="0093217E">
              <w:rPr>
                <w:sz w:val="16"/>
                <w:szCs w:val="16"/>
                <w:u w:val="single"/>
                <w:lang w:val="en-US"/>
              </w:rPr>
              <w:t>8MHz)</w:t>
            </w:r>
          </w:p>
        </w:tc>
        <w:tc>
          <w:tcPr>
            <w:tcW w:w="918" w:type="dxa"/>
          </w:tcPr>
          <w:p w:rsidR="0093217E" w:rsidRPr="0093217E" w:rsidRDefault="0093217E" w:rsidP="0093217E">
            <w:pPr>
              <w:rPr>
                <w:sz w:val="16"/>
                <w:szCs w:val="16"/>
                <w:lang w:val="en-US"/>
              </w:rPr>
            </w:pPr>
            <w:r w:rsidRPr="0093217E">
              <w:rPr>
                <w:sz w:val="16"/>
                <w:szCs w:val="16"/>
                <w:lang w:val="en-US"/>
              </w:rPr>
              <w:t>0</w:t>
            </w:r>
          </w:p>
        </w:tc>
      </w:tr>
    </w:tbl>
    <w:p w:rsidR="0093217E" w:rsidRDefault="0093217E" w:rsidP="0093217E">
      <w:pPr>
        <w:rPr>
          <w:lang w:val="en-US"/>
        </w:rPr>
      </w:pPr>
    </w:p>
    <w:p w:rsidR="0093217E" w:rsidRDefault="0093217E" w:rsidP="0093217E">
      <w:pPr>
        <w:rPr>
          <w:lang w:val="en-US"/>
        </w:rPr>
      </w:pPr>
    </w:p>
    <w:p w:rsidR="0093217E" w:rsidRPr="0093217E" w:rsidRDefault="0093217E" w:rsidP="0093217E">
      <w:pPr>
        <w:rPr>
          <w:lang w:val="en-US"/>
        </w:rPr>
      </w:pPr>
      <w:r>
        <w:rPr>
          <w:b/>
          <w:i/>
          <w:lang w:val="en-US"/>
        </w:rPr>
        <w:t xml:space="preserve">TGaf editor: </w:t>
      </w:r>
      <w:r>
        <w:rPr>
          <w:b/>
          <w:bCs/>
          <w:i/>
          <w:iCs/>
          <w:sz w:val="20"/>
          <w:lang w:val="en-US"/>
        </w:rPr>
        <w:t>Change footnote 23 as following:</w:t>
      </w:r>
    </w:p>
    <w:p w:rsidR="009338F7" w:rsidRDefault="009338F7" w:rsidP="009338F7">
      <w:pPr>
        <w:rPr>
          <w:lang w:val="en-US"/>
        </w:rPr>
      </w:pPr>
    </w:p>
    <w:p w:rsidR="00D7263E" w:rsidRDefault="0093217E" w:rsidP="0032512A">
      <w:pPr>
        <w:rPr>
          <w:rFonts w:ascii="TimesNewRoman" w:hAnsi="TimesNewRoman" w:cs="TimesNewRoman"/>
          <w:sz w:val="16"/>
          <w:szCs w:val="16"/>
          <w:lang w:val="en-US"/>
        </w:rPr>
      </w:pPr>
      <w:r>
        <w:rPr>
          <w:rFonts w:ascii="TimesNewRoman" w:hAnsi="TimesNewRoman" w:cs="TimesNewRoman"/>
          <w:sz w:val="13"/>
          <w:szCs w:val="13"/>
          <w:lang w:val="en-US"/>
        </w:rPr>
        <w:t>23</w:t>
      </w:r>
      <w:r>
        <w:rPr>
          <w:rFonts w:ascii="TimesNewRoman" w:hAnsi="TimesNewRoman" w:cs="TimesNewRoman"/>
          <w:sz w:val="16"/>
          <w:szCs w:val="16"/>
          <w:lang w:val="en-US"/>
        </w:rPr>
        <w:t xml:space="preserve">The default values for TXOP limit are expressed in milliseconds and are </w:t>
      </w:r>
      <w:r w:rsidRPr="0093217E">
        <w:rPr>
          <w:rFonts w:ascii="TimesNewRoman" w:hAnsi="TimesNewRoman" w:cs="TimesNewRoman"/>
          <w:sz w:val="16"/>
          <w:szCs w:val="16"/>
          <w:u w:val="single"/>
          <w:lang w:val="en-US"/>
        </w:rPr>
        <w:t>multiples of 240</w:t>
      </w:r>
      <w:r w:rsidR="00271F82">
        <w:rPr>
          <w:rFonts w:ascii="TimesNewRoman" w:hAnsi="TimesNewRoman" w:cs="TimesNewRoman"/>
          <w:sz w:val="16"/>
          <w:szCs w:val="16"/>
          <w:u w:val="single"/>
          <w:lang w:val="en-US"/>
        </w:rPr>
        <w:t>us</w:t>
      </w:r>
      <w:r w:rsidRPr="0093217E">
        <w:rPr>
          <w:rFonts w:ascii="TimesNewRoman" w:hAnsi="TimesNewRoman" w:cs="TimesNewRoman"/>
          <w:sz w:val="16"/>
          <w:szCs w:val="16"/>
          <w:u w:val="single"/>
          <w:lang w:val="en-US"/>
        </w:rPr>
        <w:t xml:space="preserve"> for Clause 23 (6 or 7MHz), multiples of 180us for Clause 23 (8MHz) and multiples of 32us for all other PHY modes</w:t>
      </w:r>
      <w:r>
        <w:rPr>
          <w:rFonts w:ascii="TimesNewRoman" w:hAnsi="TimesNewRoman" w:cs="TimesNewRoman"/>
          <w:sz w:val="16"/>
          <w:szCs w:val="16"/>
          <w:lang w:val="en-US"/>
        </w:rPr>
        <w:t>.</w:t>
      </w:r>
    </w:p>
    <w:p w:rsidR="0093217E" w:rsidRDefault="0093217E" w:rsidP="0032512A">
      <w:pPr>
        <w:rPr>
          <w:rFonts w:ascii="TimesNewRoman" w:hAnsi="TimesNewRoman" w:cs="TimesNewRoman"/>
          <w:sz w:val="16"/>
          <w:szCs w:val="16"/>
          <w:lang w:val="en-US"/>
        </w:rPr>
      </w:pPr>
    </w:p>
    <w:p w:rsidR="00D7263E" w:rsidRDefault="00D7263E" w:rsidP="0032512A">
      <w:pPr>
        <w:rPr>
          <w:b/>
          <w:i/>
          <w:lang w:val="en-US"/>
        </w:rPr>
      </w:pPr>
    </w:p>
    <w:sectPr w:rsidR="00D7263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74" w:rsidRDefault="00BE6D74">
      <w:r>
        <w:separator/>
      </w:r>
    </w:p>
  </w:endnote>
  <w:endnote w:type="continuationSeparator" w:id="0">
    <w:p w:rsidR="00BE6D74" w:rsidRDefault="00BE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F365F9" w:rsidRDefault="00BE6D74">
    <w:pPr>
      <w:pStyle w:val="Footer"/>
      <w:tabs>
        <w:tab w:val="clear" w:pos="6480"/>
        <w:tab w:val="center" w:pos="4680"/>
        <w:tab w:val="right" w:pos="9360"/>
      </w:tabs>
      <w:rPr>
        <w:rFonts w:eastAsia="MS Mincho"/>
        <w:lang w:eastAsia="ja-JP"/>
      </w:rPr>
    </w:pPr>
    <w:r>
      <w:fldChar w:fldCharType="begin"/>
    </w:r>
    <w:r>
      <w:instrText xml:space="preserve"> SUBJECT  \* MERGEFORMAT </w:instrText>
    </w:r>
    <w:r>
      <w:fldChar w:fldCharType="separate"/>
    </w:r>
    <w:r w:rsidR="009A6969">
      <w:t>Submission</w:t>
    </w:r>
    <w:r>
      <w:fldChar w:fldCharType="end"/>
    </w:r>
    <w:r w:rsidR="009A6969">
      <w:tab/>
      <w:t xml:space="preserve">page </w:t>
    </w:r>
    <w:r w:rsidR="009A6969">
      <w:fldChar w:fldCharType="begin"/>
    </w:r>
    <w:r w:rsidR="009A6969">
      <w:instrText xml:space="preserve">page </w:instrText>
    </w:r>
    <w:r w:rsidR="009A6969">
      <w:fldChar w:fldCharType="separate"/>
    </w:r>
    <w:r w:rsidR="004763A4">
      <w:rPr>
        <w:noProof/>
      </w:rPr>
      <w:t>2</w:t>
    </w:r>
    <w:r w:rsidR="009A6969">
      <w:fldChar w:fldCharType="end"/>
    </w:r>
    <w:r w:rsidR="009A6969">
      <w:tab/>
    </w:r>
    <w:r w:rsidR="005A0BF7">
      <w:rPr>
        <w:rFonts w:eastAsia="MS Mincho"/>
        <w:lang w:eastAsia="ja-JP"/>
      </w:rPr>
      <w:t>Tevfik Yucek</w:t>
    </w:r>
    <w:r w:rsidR="000C6E94">
      <w:rPr>
        <w:rFonts w:eastAsia="MS Mincho"/>
        <w:lang w:eastAsia="ja-JP"/>
      </w:rPr>
      <w:t xml:space="preserve">, </w:t>
    </w:r>
    <w:r w:rsidR="005A0BF7">
      <w:rPr>
        <w:rFonts w:eastAsia="MS Mincho"/>
        <w:lang w:eastAsia="ja-JP"/>
      </w:rPr>
      <w:t>Qualcomm</w:t>
    </w:r>
    <w:r w:rsidR="00031E7A">
      <w:rPr>
        <w:rFonts w:eastAsia="MS Mincho"/>
        <w:lang w:eastAsia="ja-JP"/>
      </w:rPr>
      <w:t xml:space="preserve"> Inc.</w:t>
    </w:r>
  </w:p>
  <w:p w:rsidR="009A6969" w:rsidRDefault="009A6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74" w:rsidRDefault="00BE6D74">
      <w:r>
        <w:separator/>
      </w:r>
    </w:p>
  </w:footnote>
  <w:footnote w:type="continuationSeparator" w:id="0">
    <w:p w:rsidR="00BE6D74" w:rsidRDefault="00BE6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4445C4" w:rsidRDefault="002F1C84">
    <w:pPr>
      <w:pStyle w:val="Header"/>
      <w:tabs>
        <w:tab w:val="clear" w:pos="6480"/>
        <w:tab w:val="center" w:pos="4680"/>
        <w:tab w:val="right" w:pos="9360"/>
      </w:tabs>
      <w:rPr>
        <w:lang w:eastAsia="ko-KR"/>
      </w:rPr>
    </w:pPr>
    <w:r>
      <w:rPr>
        <w:rFonts w:eastAsia="MS Mincho"/>
        <w:lang w:eastAsia="ja-JP"/>
      </w:rPr>
      <w:t>October</w:t>
    </w:r>
    <w:r w:rsidR="0032512A">
      <w:rPr>
        <w:rFonts w:eastAsia="MS Mincho" w:hint="eastAsia"/>
        <w:lang w:eastAsia="ja-JP"/>
      </w:rPr>
      <w:t xml:space="preserve"> 201</w:t>
    </w:r>
    <w:r w:rsidR="0032512A">
      <w:rPr>
        <w:rFonts w:eastAsia="MS Mincho"/>
        <w:lang w:eastAsia="ja-JP"/>
      </w:rPr>
      <w:t>2</w:t>
    </w:r>
    <w:r w:rsidR="009A6969">
      <w:tab/>
    </w:r>
    <w:r w:rsidR="009A6969">
      <w:tab/>
    </w:r>
    <w:r w:rsidR="00AD176C">
      <w:rPr>
        <w:rFonts w:eastAsia="MS Mincho" w:hint="eastAsia"/>
        <w:lang w:eastAsia="ja-JP"/>
      </w:rPr>
      <w:t>doc.: IEEE 802.11-</w:t>
    </w:r>
    <w:r w:rsidR="0032512A">
      <w:rPr>
        <w:rFonts w:eastAsia="MS Mincho" w:hint="eastAsia"/>
        <w:lang w:eastAsia="ja-JP"/>
      </w:rPr>
      <w:t>1</w:t>
    </w:r>
    <w:r w:rsidR="0032512A">
      <w:rPr>
        <w:rFonts w:eastAsia="MS Mincho"/>
        <w:lang w:eastAsia="ja-JP"/>
      </w:rPr>
      <w:t>2</w:t>
    </w:r>
    <w:r w:rsidR="000C6E94">
      <w:rPr>
        <w:rFonts w:eastAsia="MS Mincho" w:hint="eastAsia"/>
        <w:lang w:eastAsia="ja-JP"/>
      </w:rPr>
      <w:t>/</w:t>
    </w:r>
    <w:r w:rsidR="000A687D">
      <w:rPr>
        <w:rFonts w:eastAsia="MS Mincho"/>
        <w:lang w:eastAsia="ja-JP"/>
      </w:rPr>
      <w:t>1373</w:t>
    </w:r>
    <w:r w:rsidR="00BF43B3">
      <w:rPr>
        <w:rFonts w:eastAsia="MS Mincho" w:hint="eastAsia"/>
        <w:lang w:eastAsia="ja-JP"/>
      </w:rPr>
      <w:t>r</w:t>
    </w:r>
    <w:r w:rsidR="0086304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DC9"/>
    <w:rsid w:val="000817C1"/>
    <w:rsid w:val="00085A39"/>
    <w:rsid w:val="00087188"/>
    <w:rsid w:val="00091EC8"/>
    <w:rsid w:val="000A31AD"/>
    <w:rsid w:val="000A48FE"/>
    <w:rsid w:val="000A687D"/>
    <w:rsid w:val="000A7182"/>
    <w:rsid w:val="000B0027"/>
    <w:rsid w:val="000B3ECD"/>
    <w:rsid w:val="000B4629"/>
    <w:rsid w:val="000B7C23"/>
    <w:rsid w:val="000C51D7"/>
    <w:rsid w:val="000C6E94"/>
    <w:rsid w:val="000D076D"/>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B1533"/>
    <w:rsid w:val="001B5AA0"/>
    <w:rsid w:val="001D20C4"/>
    <w:rsid w:val="001D246E"/>
    <w:rsid w:val="001D2606"/>
    <w:rsid w:val="001D6669"/>
    <w:rsid w:val="001E191F"/>
    <w:rsid w:val="001E50B1"/>
    <w:rsid w:val="001E749A"/>
    <w:rsid w:val="001E79CF"/>
    <w:rsid w:val="001F11FF"/>
    <w:rsid w:val="00205B7C"/>
    <w:rsid w:val="00207DE0"/>
    <w:rsid w:val="002106B4"/>
    <w:rsid w:val="00212463"/>
    <w:rsid w:val="00214A95"/>
    <w:rsid w:val="0021608C"/>
    <w:rsid w:val="002163F6"/>
    <w:rsid w:val="00232FB0"/>
    <w:rsid w:val="00237C51"/>
    <w:rsid w:val="00250071"/>
    <w:rsid w:val="00260672"/>
    <w:rsid w:val="002628F0"/>
    <w:rsid w:val="00270DB3"/>
    <w:rsid w:val="00271F82"/>
    <w:rsid w:val="00275903"/>
    <w:rsid w:val="00281445"/>
    <w:rsid w:val="00297FC6"/>
    <w:rsid w:val="002A2B26"/>
    <w:rsid w:val="002A66E2"/>
    <w:rsid w:val="002B5334"/>
    <w:rsid w:val="002C1822"/>
    <w:rsid w:val="002C21B8"/>
    <w:rsid w:val="002D1106"/>
    <w:rsid w:val="002D4AE7"/>
    <w:rsid w:val="002D5C9A"/>
    <w:rsid w:val="002D5D1C"/>
    <w:rsid w:val="002E56F2"/>
    <w:rsid w:val="002E5FCC"/>
    <w:rsid w:val="002F1C84"/>
    <w:rsid w:val="002F7F2B"/>
    <w:rsid w:val="003002D7"/>
    <w:rsid w:val="00322C28"/>
    <w:rsid w:val="00322E5F"/>
    <w:rsid w:val="0032512A"/>
    <w:rsid w:val="003255C9"/>
    <w:rsid w:val="003257AB"/>
    <w:rsid w:val="0033094F"/>
    <w:rsid w:val="0034757A"/>
    <w:rsid w:val="0035142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763A4"/>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C7FAE"/>
    <w:rsid w:val="005D6FAE"/>
    <w:rsid w:val="005E7A81"/>
    <w:rsid w:val="00614B11"/>
    <w:rsid w:val="006301B0"/>
    <w:rsid w:val="006355B6"/>
    <w:rsid w:val="00640230"/>
    <w:rsid w:val="006414B7"/>
    <w:rsid w:val="00643A89"/>
    <w:rsid w:val="00657D35"/>
    <w:rsid w:val="006610EC"/>
    <w:rsid w:val="00674920"/>
    <w:rsid w:val="006752D7"/>
    <w:rsid w:val="00677A86"/>
    <w:rsid w:val="0068616C"/>
    <w:rsid w:val="00690454"/>
    <w:rsid w:val="00695A44"/>
    <w:rsid w:val="006975BA"/>
    <w:rsid w:val="00697C07"/>
    <w:rsid w:val="006A634D"/>
    <w:rsid w:val="006A7338"/>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64F31"/>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336"/>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3041"/>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3217E"/>
    <w:rsid w:val="009338F7"/>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B75FD"/>
    <w:rsid w:val="009C17BD"/>
    <w:rsid w:val="009C34C8"/>
    <w:rsid w:val="009D689D"/>
    <w:rsid w:val="009E3377"/>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463BA"/>
    <w:rsid w:val="00B615BC"/>
    <w:rsid w:val="00B62937"/>
    <w:rsid w:val="00B64DD7"/>
    <w:rsid w:val="00B804FF"/>
    <w:rsid w:val="00B845B9"/>
    <w:rsid w:val="00B848A1"/>
    <w:rsid w:val="00B8737A"/>
    <w:rsid w:val="00B91797"/>
    <w:rsid w:val="00B97A2D"/>
    <w:rsid w:val="00BB1A60"/>
    <w:rsid w:val="00BB549E"/>
    <w:rsid w:val="00BC607D"/>
    <w:rsid w:val="00BD142B"/>
    <w:rsid w:val="00BD4F35"/>
    <w:rsid w:val="00BE68C2"/>
    <w:rsid w:val="00BE6D74"/>
    <w:rsid w:val="00BF43B3"/>
    <w:rsid w:val="00BF6E0F"/>
    <w:rsid w:val="00C24872"/>
    <w:rsid w:val="00C26520"/>
    <w:rsid w:val="00C3389F"/>
    <w:rsid w:val="00C4125D"/>
    <w:rsid w:val="00C47FAE"/>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54674"/>
    <w:rsid w:val="00E601A3"/>
    <w:rsid w:val="00E6122D"/>
    <w:rsid w:val="00E63443"/>
    <w:rsid w:val="00E70742"/>
    <w:rsid w:val="00E8457B"/>
    <w:rsid w:val="00E900BB"/>
    <w:rsid w:val="00E90C5D"/>
    <w:rsid w:val="00E96795"/>
    <w:rsid w:val="00EA1EF6"/>
    <w:rsid w:val="00EB1290"/>
    <w:rsid w:val="00EB1FD7"/>
    <w:rsid w:val="00EB7C47"/>
    <w:rsid w:val="00EC1090"/>
    <w:rsid w:val="00EC1910"/>
    <w:rsid w:val="00EC400D"/>
    <w:rsid w:val="00ED1B02"/>
    <w:rsid w:val="00EE14BF"/>
    <w:rsid w:val="00EE6D31"/>
    <w:rsid w:val="00EE795E"/>
    <w:rsid w:val="00EE7E31"/>
    <w:rsid w:val="00F00803"/>
    <w:rsid w:val="00F107BB"/>
    <w:rsid w:val="00F14C46"/>
    <w:rsid w:val="00F17668"/>
    <w:rsid w:val="00F215C4"/>
    <w:rsid w:val="00F238C1"/>
    <w:rsid w:val="00F31C65"/>
    <w:rsid w:val="00F365F9"/>
    <w:rsid w:val="00F379A7"/>
    <w:rsid w:val="00F4587B"/>
    <w:rsid w:val="00F55859"/>
    <w:rsid w:val="00F7085F"/>
    <w:rsid w:val="00F7770C"/>
    <w:rsid w:val="00F808A8"/>
    <w:rsid w:val="00F83575"/>
    <w:rsid w:val="00F8492D"/>
    <w:rsid w:val="00F860F2"/>
    <w:rsid w:val="00F91FBF"/>
    <w:rsid w:val="00F9267A"/>
    <w:rsid w:val="00FA1F3E"/>
    <w:rsid w:val="00FA21A0"/>
    <w:rsid w:val="00FA37FB"/>
    <w:rsid w:val="00FA44B6"/>
    <w:rsid w:val="00FB373F"/>
    <w:rsid w:val="00FB4223"/>
    <w:rsid w:val="00FB662B"/>
    <w:rsid w:val="00FC2303"/>
    <w:rsid w:val="00FC26E1"/>
    <w:rsid w:val="00FC5DA3"/>
    <w:rsid w:val="00FC7F7C"/>
    <w:rsid w:val="00FD4915"/>
    <w:rsid w:val="00FE3A40"/>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57830708">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02530285">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19780272">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0793535">
      <w:bodyDiv w:val="1"/>
      <w:marLeft w:val="0"/>
      <w:marRight w:val="0"/>
      <w:marTop w:val="0"/>
      <w:marBottom w:val="0"/>
      <w:divBdr>
        <w:top w:val="none" w:sz="0" w:space="0" w:color="auto"/>
        <w:left w:val="none" w:sz="0" w:space="0" w:color="auto"/>
        <w:bottom w:val="none" w:sz="0" w:space="0" w:color="auto"/>
        <w:right w:val="none" w:sz="0" w:space="0" w:color="auto"/>
      </w:divBdr>
    </w:div>
    <w:div w:id="955866933">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86990315">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16480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745851">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88BB-38D9-4FA8-BFFD-2074E81D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Pages>
  <Words>340</Words>
  <Characters>1940</Characters>
  <Application>Microsoft Office Word</Application>
  <DocSecurity>0</DocSecurity>
  <Lines>16</Lines>
  <Paragraphs>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TXOP limit</vt:lpstr>
      <vt:lpstr>doc.: IEEE 802.11-10/0794r1</vt:lpstr>
      <vt:lpstr>doc.: IEEE 802.11-10/0794r1</vt:lpstr>
    </vt:vector>
  </TitlesOfParts>
  <Company>Qualcomm</Company>
  <LinksUpToDate>false</LinksUpToDate>
  <CharactersWithSpaces>2276</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11af TXOP limit</dc:title>
  <dc:subject>Submission</dc:subject>
  <dc:creator>tyucek@qca.qualcomm.com</dc:creator>
  <cp:keywords>July 2010</cp:keywords>
  <cp:lastModifiedBy>Tevfik Yucek</cp:lastModifiedBy>
  <cp:revision>3</cp:revision>
  <dcterms:created xsi:type="dcterms:W3CDTF">2012-11-14T22:13:00Z</dcterms:created>
  <dcterms:modified xsi:type="dcterms:W3CDTF">2012-11-14T22:14:00Z</dcterms:modified>
</cp:coreProperties>
</file>