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07212" w:rsidP="0006546C">
            <w:pPr>
              <w:pStyle w:val="T2"/>
            </w:pPr>
            <w:r>
              <w:t xml:space="preserve">Minutes of TG </w:t>
            </w:r>
            <w:proofErr w:type="spellStart"/>
            <w:r>
              <w:t>REVmc</w:t>
            </w:r>
            <w:proofErr w:type="spellEnd"/>
            <w:r>
              <w:t xml:space="preserve"> </w:t>
            </w:r>
            <w:proofErr w:type="spellStart"/>
            <w:r>
              <w:t>Telecons</w:t>
            </w:r>
            <w:proofErr w:type="spellEnd"/>
            <w:r>
              <w:t xml:space="preserve"> Sept-</w:t>
            </w:r>
            <w:r w:rsidR="0006546C">
              <w:t>Nov</w:t>
            </w:r>
            <w:r>
              <w:t xml:space="preserve"> 2012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6546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6546C">
              <w:rPr>
                <w:b w:val="0"/>
                <w:sz w:val="20"/>
              </w:rPr>
              <w:t xml:space="preserve">  2012-10-05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Jon </w:t>
            </w:r>
            <w:proofErr w:type="spellStart"/>
            <w:r>
              <w:rPr>
                <w:b w:val="0"/>
                <w:sz w:val="20"/>
              </w:rPr>
              <w:t>Rosdahl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814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06546C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801-492-4023</w:t>
            </w:r>
          </w:p>
        </w:tc>
        <w:tc>
          <w:tcPr>
            <w:tcW w:w="1647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FF2229" w:rsidRDefault="00FF222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F2229" w:rsidRDefault="00FF2229">
                  <w:pPr>
                    <w:jc w:val="both"/>
                  </w:pPr>
                  <w:r>
                    <w:t xml:space="preserve">Minutes for TG </w:t>
                  </w:r>
                  <w:proofErr w:type="spellStart"/>
                  <w:r>
                    <w:t>REVmc</w:t>
                  </w:r>
                  <w:proofErr w:type="spellEnd"/>
                  <w:r>
                    <w:t xml:space="preserve"> for Sept 28, </w:t>
                  </w:r>
                </w:p>
                <w:p w:rsidR="00FF2229" w:rsidRDefault="00FF2229">
                  <w:pPr>
                    <w:jc w:val="both"/>
                  </w:pPr>
                  <w:r>
                    <w:t xml:space="preserve">Next calls will be </w:t>
                  </w:r>
                  <w:r w:rsidR="00CB2A12">
                    <w:t xml:space="preserve">Oct 5, </w:t>
                  </w:r>
                  <w:r>
                    <w:t>Oct 12, Oct 26, and Nov 2</w:t>
                  </w:r>
                  <w:r w:rsidRPr="0006546C">
                    <w:rPr>
                      <w:vertAlign w:val="superscript"/>
                    </w:rPr>
                    <w:t>nd</w:t>
                  </w:r>
                  <w:r>
                    <w:t>.</w:t>
                  </w:r>
                </w:p>
                <w:p w:rsidR="00644041" w:rsidRDefault="00644041">
                  <w:pPr>
                    <w:jc w:val="both"/>
                  </w:pPr>
                </w:p>
                <w:p w:rsidR="00644041" w:rsidRDefault="00644041">
                  <w:pPr>
                    <w:jc w:val="both"/>
                  </w:pPr>
                </w:p>
                <w:p w:rsidR="00644041" w:rsidRDefault="00644041">
                  <w:pPr>
                    <w:jc w:val="both"/>
                  </w:pPr>
                  <w:r>
                    <w:t>Action item list for Sept 28</w:t>
                  </w:r>
                  <w:r w:rsidRPr="00644041">
                    <w:rPr>
                      <w:vertAlign w:val="superscript"/>
                    </w:rPr>
                    <w:t>th</w:t>
                  </w:r>
                  <w:r>
                    <w:t>:</w:t>
                  </w:r>
                </w:p>
                <w:p w:rsidR="00644041" w:rsidRDefault="00644041" w:rsidP="00644041">
                  <w:pPr>
                    <w:jc w:val="both"/>
                  </w:pPr>
                  <w:r>
                    <w:t>1.  ACTION ITEM: CID 301- Jon to talk to Donald Eastlake about his interest on this topic.</w:t>
                  </w:r>
                </w:p>
                <w:p w:rsidR="00644041" w:rsidRDefault="00644041" w:rsidP="00644041">
                  <w:pPr>
                    <w:jc w:val="both"/>
                  </w:pPr>
                  <w:r>
                    <w:t xml:space="preserve">2. ACTION ITEM: CID 74- </w:t>
                  </w:r>
                  <w:proofErr w:type="spellStart"/>
                  <w:r>
                    <w:t>Jouni</w:t>
                  </w:r>
                  <w:proofErr w:type="spellEnd"/>
                  <w:r>
                    <w:t xml:space="preserve"> to look at creating a table in a submission.</w:t>
                  </w:r>
                </w:p>
                <w:p w:rsidR="00644041" w:rsidRDefault="00644041" w:rsidP="00644041">
                  <w:pPr>
                    <w:jc w:val="both"/>
                  </w:pPr>
                  <w:r>
                    <w:t>3.  ACTION ITEM: CID 213-Mark Rison assigned to research this issue further.</w:t>
                  </w:r>
                </w:p>
                <w:p w:rsidR="00644041" w:rsidRDefault="00644041" w:rsidP="00644041">
                  <w:pPr>
                    <w:jc w:val="both"/>
                  </w:pPr>
                  <w:r>
                    <w:t xml:space="preserve">                                                 Other Comments that are related: CID 263, 314, 324, </w:t>
                  </w:r>
                </w:p>
                <w:p w:rsidR="00644041" w:rsidRDefault="00644041" w:rsidP="00644041">
                  <w:pPr>
                    <w:jc w:val="both"/>
                  </w:pPr>
                  <w:r>
                    <w:t>4. ACTION ITEM: CID 145-Mark RISON to submit a proposal</w:t>
                  </w:r>
                </w:p>
                <w:p w:rsidR="00644041" w:rsidRDefault="00644041" w:rsidP="00644041">
                  <w:pPr>
                    <w:jc w:val="both"/>
                  </w:pPr>
                  <w:r>
                    <w:t>5. ACTION ITEM:  Dorothy/Mark H. – To Send A list of about 8 comments that need the PHY group to review and provide input for resolutions.</w:t>
                  </w:r>
                </w:p>
                <w:p w:rsidR="00644041" w:rsidRDefault="00644041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FF2229">
      <w:r>
        <w:br w:type="page"/>
      </w:r>
    </w:p>
    <w:p w:rsidR="00CA09B2" w:rsidRDefault="00CA09B2"/>
    <w:p w:rsidR="00FF2229" w:rsidRDefault="00FF2229" w:rsidP="00FF2229">
      <w:pPr>
        <w:numPr>
          <w:ilvl w:val="0"/>
          <w:numId w:val="3"/>
        </w:numPr>
      </w:pPr>
      <w:r>
        <w:t>Minutes  for Sept 28</w:t>
      </w:r>
      <w:r w:rsidRPr="00AA7286">
        <w:rPr>
          <w:vertAlign w:val="superscript"/>
        </w:rPr>
        <w:t>th</w:t>
      </w:r>
      <w:r w:rsidR="00AA7286">
        <w:t>, 2012 teleconference:</w:t>
      </w:r>
    </w:p>
    <w:p w:rsidR="00AA7286" w:rsidRDefault="00FF2229" w:rsidP="00FF2229">
      <w:pPr>
        <w:numPr>
          <w:ilvl w:val="1"/>
          <w:numId w:val="3"/>
        </w:numPr>
      </w:pPr>
      <w:r>
        <w:t>Called to order at 10:04 ET</w:t>
      </w:r>
      <w:r w:rsidR="00AA7286">
        <w:t xml:space="preserve"> by Dorothy Stanley</w:t>
      </w:r>
    </w:p>
    <w:p w:rsidR="00FF2229" w:rsidRDefault="00FF2229" w:rsidP="00AA7286">
      <w:pPr>
        <w:numPr>
          <w:ilvl w:val="2"/>
          <w:numId w:val="3"/>
        </w:numPr>
      </w:pPr>
      <w:r>
        <w:t xml:space="preserve">Reviewed Patent policy, </w:t>
      </w:r>
    </w:p>
    <w:p w:rsidR="00CB2A12" w:rsidRDefault="00CB2A12" w:rsidP="00644041">
      <w:pPr>
        <w:numPr>
          <w:ilvl w:val="2"/>
          <w:numId w:val="3"/>
        </w:numPr>
      </w:pPr>
      <w:r>
        <w:t>Email was sent with the following list:</w:t>
      </w:r>
    </w:p>
    <w:p w:rsidR="00CB2A12" w:rsidRDefault="00CB2A12" w:rsidP="00644041">
      <w:pPr>
        <w:numPr>
          <w:ilvl w:val="3"/>
          <w:numId w:val="3"/>
        </w:numPr>
      </w:pPr>
      <w:r>
        <w:t>Note that teleconferences are subject to IEEE policies and procedures, see:</w:t>
      </w:r>
    </w:p>
    <w:p w:rsidR="00CB2A12" w:rsidRDefault="00CB2A12" w:rsidP="00644041">
      <w:pPr>
        <w:numPr>
          <w:ilvl w:val="3"/>
          <w:numId w:val="3"/>
        </w:numPr>
      </w:pPr>
      <w:r>
        <w:t>IEEE-SA PATENT POLICY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 CODE OF ETHICS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IEEE-STANDARDS ASSOCIATION (IEEE-SA) AFFILATION FAQ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IEEE-SA ANTITRUST AND COMPETITION POLICY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IEEE-SA LETTER OF ASSURANCE (LOA) FORM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IEEE-SA STANDARDS BOARD PATENT COMMITTEE (PATCOM) INFORMATION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IEEE-SA PATENT FAQ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 802 LAN/MAN STANDARDS COMMITTEE POLICIES &amp; PROCEDURES </w:t>
      </w:r>
    </w:p>
    <w:p w:rsidR="00CB2A12" w:rsidRDefault="00CB2A12" w:rsidP="00644041">
      <w:pPr>
        <w:numPr>
          <w:ilvl w:val="3"/>
          <w:numId w:val="3"/>
        </w:numPr>
      </w:pPr>
      <w:r>
        <w:t>IEEE 802.11 Working Group Policies and procedures</w:t>
      </w:r>
    </w:p>
    <w:p w:rsidR="00CB2A12" w:rsidRDefault="00CB2A12" w:rsidP="00644041">
      <w:pPr>
        <w:ind w:left="1224"/>
      </w:pPr>
    </w:p>
    <w:p w:rsidR="00AA7286" w:rsidRDefault="00AA7286" w:rsidP="00644041">
      <w:pPr>
        <w:numPr>
          <w:ilvl w:val="2"/>
          <w:numId w:val="5"/>
        </w:numPr>
      </w:pPr>
      <w:r>
        <w:t xml:space="preserve"> </w:t>
      </w:r>
      <w:r w:rsidR="00FF2229">
        <w:t>No IP request</w:t>
      </w:r>
      <w:r w:rsidR="00644041">
        <w:t xml:space="preserve"> or notification.</w:t>
      </w:r>
    </w:p>
    <w:p w:rsidR="00AA7286" w:rsidRDefault="00FF2229" w:rsidP="00644041">
      <w:pPr>
        <w:numPr>
          <w:ilvl w:val="2"/>
          <w:numId w:val="5"/>
        </w:numPr>
      </w:pPr>
      <w:r>
        <w:t>Attendance:</w:t>
      </w:r>
    </w:p>
    <w:p w:rsidR="00AA7286" w:rsidRDefault="00FF2229" w:rsidP="00644041">
      <w:pPr>
        <w:numPr>
          <w:ilvl w:val="3"/>
          <w:numId w:val="5"/>
        </w:numPr>
      </w:pPr>
      <w:r>
        <w:t xml:space="preserve"> Dorothy Stephen, Adrian Stephens, </w:t>
      </w:r>
      <w:proofErr w:type="spellStart"/>
      <w:r>
        <w:t>Jounie</w:t>
      </w:r>
      <w:proofErr w:type="spellEnd"/>
      <w:r>
        <w:t xml:space="preserve"> </w:t>
      </w:r>
      <w:proofErr w:type="spellStart"/>
      <w:r>
        <w:t>Malinen</w:t>
      </w:r>
      <w:proofErr w:type="spellEnd"/>
      <w:r>
        <w:t xml:space="preserve">, Mark Hamilton, Mark Rison, Peter </w:t>
      </w:r>
      <w:proofErr w:type="spellStart"/>
      <w:r>
        <w:t>Ecclesine</w:t>
      </w:r>
      <w:proofErr w:type="spellEnd"/>
      <w:r>
        <w:t xml:space="preserve">, Jon </w:t>
      </w:r>
      <w:proofErr w:type="spellStart"/>
      <w:r>
        <w:t>Rosdahl</w:t>
      </w:r>
      <w:proofErr w:type="spellEnd"/>
    </w:p>
    <w:p w:rsidR="00AA7286" w:rsidRDefault="00AA7286" w:rsidP="00644041">
      <w:pPr>
        <w:numPr>
          <w:ilvl w:val="1"/>
          <w:numId w:val="5"/>
        </w:numPr>
      </w:pPr>
      <w:r>
        <w:t>Review Ag</w:t>
      </w:r>
      <w:r w:rsidR="00FF2229">
        <w:t>enda</w:t>
      </w:r>
    </w:p>
    <w:p w:rsidR="00FF2229" w:rsidRDefault="00FF2229" w:rsidP="00644041">
      <w:pPr>
        <w:numPr>
          <w:ilvl w:val="2"/>
          <w:numId w:val="5"/>
        </w:numPr>
      </w:pPr>
      <w:r>
        <w:t>Agenda:</w:t>
      </w:r>
    </w:p>
    <w:p w:rsidR="00FF2229" w:rsidRDefault="00FF2229" w:rsidP="00644041">
      <w:pPr>
        <w:numPr>
          <w:ilvl w:val="0"/>
          <w:numId w:val="15"/>
        </w:numPr>
      </w:pPr>
      <w:r>
        <w:t xml:space="preserve">Call to order, patent policy, </w:t>
      </w:r>
      <w:r w:rsidR="00644041">
        <w:t>WG policies and attendance</w:t>
      </w:r>
    </w:p>
    <w:p w:rsidR="00FF2229" w:rsidRDefault="00FF2229" w:rsidP="00644041">
      <w:pPr>
        <w:numPr>
          <w:ilvl w:val="0"/>
          <w:numId w:val="15"/>
        </w:numPr>
      </w:pPr>
      <w:r>
        <w:t>Comment resolution: Propose focusing on comments in clauses 1,3,4, and 10, plus any text resolutions from Indian Wells action items</w:t>
      </w:r>
    </w:p>
    <w:p w:rsidR="00FF2229" w:rsidRDefault="00FF2229" w:rsidP="00644041">
      <w:pPr>
        <w:numPr>
          <w:ilvl w:val="0"/>
          <w:numId w:val="15"/>
        </w:numPr>
      </w:pPr>
      <w:r>
        <w:t>Plan for next call(s) Oct 5, 12, 26, Nov 5</w:t>
      </w:r>
    </w:p>
    <w:p w:rsidR="00FF2229" w:rsidRDefault="00FF2229" w:rsidP="00644041">
      <w:pPr>
        <w:numPr>
          <w:ilvl w:val="0"/>
          <w:numId w:val="15"/>
        </w:numPr>
      </w:pPr>
      <w:r>
        <w:t>AOB</w:t>
      </w:r>
    </w:p>
    <w:p w:rsidR="00FF2229" w:rsidRDefault="00FF2229" w:rsidP="00644041">
      <w:pPr>
        <w:numPr>
          <w:ilvl w:val="0"/>
          <w:numId w:val="15"/>
        </w:numPr>
      </w:pPr>
      <w:r>
        <w:t>Adjourn</w:t>
      </w:r>
    </w:p>
    <w:p w:rsidR="00603D08" w:rsidRDefault="00FF2229" w:rsidP="00644041">
      <w:pPr>
        <w:ind w:left="1440"/>
      </w:pPr>
      <w:r>
        <w:t xml:space="preserve">Reference: </w:t>
      </w:r>
      <w:hyperlink r:id="rId8" w:history="1">
        <w:r w:rsidR="00603D08" w:rsidRPr="00E065D9">
          <w:rPr>
            <w:rStyle w:val="Hyperlink"/>
          </w:rPr>
          <w:t>https://mentor.ieee.org/802.11/dcn/12/11-12-1082-02-0000-revmc-pre-ballot-comments.xls</w:t>
        </w:r>
      </w:hyperlink>
      <w:r>
        <w:t xml:space="preserve"> </w:t>
      </w:r>
    </w:p>
    <w:p w:rsidR="00AA7286" w:rsidRDefault="00AA7286" w:rsidP="00644041">
      <w:pPr>
        <w:ind w:left="1224" w:firstLine="45"/>
      </w:pPr>
    </w:p>
    <w:p w:rsidR="00AA7286" w:rsidRDefault="00AA7286" w:rsidP="00644041">
      <w:pPr>
        <w:numPr>
          <w:ilvl w:val="1"/>
          <w:numId w:val="5"/>
        </w:numPr>
      </w:pPr>
      <w:r>
        <w:t xml:space="preserve"> Comment Resolution: </w:t>
      </w:r>
    </w:p>
    <w:p w:rsidR="00FF2229" w:rsidRDefault="00FF2229" w:rsidP="00644041">
      <w:pPr>
        <w:numPr>
          <w:ilvl w:val="2"/>
          <w:numId w:val="5"/>
        </w:numPr>
      </w:pPr>
      <w:r>
        <w:t>Adrian has an updated file for use to use 11-12/1082r3 as needed</w:t>
      </w:r>
    </w:p>
    <w:p w:rsidR="00FF2229" w:rsidRDefault="00FF2229" w:rsidP="00644041">
      <w:pPr>
        <w:numPr>
          <w:ilvl w:val="3"/>
          <w:numId w:val="5"/>
        </w:numPr>
      </w:pPr>
      <w:r>
        <w:t>There is a new D0.4 that is on the server in the members area</w:t>
      </w:r>
    </w:p>
    <w:p w:rsidR="00FF2229" w:rsidRDefault="00FF2229" w:rsidP="00644041">
      <w:pPr>
        <w:numPr>
          <w:ilvl w:val="3"/>
          <w:numId w:val="5"/>
        </w:numPr>
      </w:pPr>
      <w:r>
        <w:t>A new planning set of details available.</w:t>
      </w:r>
    </w:p>
    <w:p w:rsidR="00FF2229" w:rsidRDefault="00FF2229" w:rsidP="00644041">
      <w:pPr>
        <w:numPr>
          <w:ilvl w:val="2"/>
          <w:numId w:val="5"/>
        </w:numPr>
      </w:pPr>
      <w:r>
        <w:t>Dorothy requested everyone to download the updated spreadsheet and noted that we should look at D0.4 and we will discuss it next week along with the timeline plan as well.</w:t>
      </w:r>
    </w:p>
    <w:p w:rsidR="00FF2229" w:rsidRDefault="00FF2229" w:rsidP="00644041">
      <w:pPr>
        <w:numPr>
          <w:ilvl w:val="2"/>
          <w:numId w:val="5"/>
        </w:numPr>
      </w:pPr>
      <w:r>
        <w:t>Give presentation control to Mark H. and he brought up the MAC comment database for discussion:</w:t>
      </w:r>
    </w:p>
    <w:p w:rsidR="00FF2229" w:rsidRDefault="00FF2229" w:rsidP="00644041">
      <w:pPr>
        <w:numPr>
          <w:ilvl w:val="2"/>
          <w:numId w:val="5"/>
        </w:numPr>
      </w:pPr>
      <w:r>
        <w:t>CID 39</w:t>
      </w:r>
    </w:p>
    <w:p w:rsidR="00FF2229" w:rsidRDefault="00FF2229" w:rsidP="00644041">
      <w:pPr>
        <w:numPr>
          <w:ilvl w:val="3"/>
          <w:numId w:val="5"/>
        </w:numPr>
      </w:pPr>
      <w:r>
        <w:t>Review comment</w:t>
      </w:r>
    </w:p>
    <w:p w:rsidR="00FF2229" w:rsidRDefault="00FF2229" w:rsidP="00644041">
      <w:pPr>
        <w:numPr>
          <w:ilvl w:val="3"/>
          <w:numId w:val="5"/>
        </w:numPr>
      </w:pPr>
      <w:r>
        <w:t>IEEE Style guideline shows only one page number on a page</w:t>
      </w:r>
    </w:p>
    <w:p w:rsidR="00FF2229" w:rsidRDefault="00FF2229" w:rsidP="00644041">
      <w:pPr>
        <w:numPr>
          <w:ilvl w:val="3"/>
          <w:numId w:val="5"/>
        </w:numPr>
      </w:pPr>
      <w:r>
        <w:t>Editor to work to ensure that the page numbers are aligned</w:t>
      </w:r>
    </w:p>
    <w:p w:rsidR="00FF2229" w:rsidRDefault="00FF2229" w:rsidP="00644041">
      <w:pPr>
        <w:numPr>
          <w:ilvl w:val="3"/>
          <w:numId w:val="5"/>
        </w:numPr>
      </w:pPr>
      <w:r>
        <w:t xml:space="preserve">Proposed resolution: </w:t>
      </w:r>
      <w:proofErr w:type="spellStart"/>
      <w:r>
        <w:t>Revisied</w:t>
      </w:r>
      <w:proofErr w:type="spellEnd"/>
      <w:r>
        <w:t xml:space="preserve"> – Editor is requested to ensure the </w:t>
      </w:r>
      <w:proofErr w:type="spellStart"/>
      <w:r>
        <w:t>pdf</w:t>
      </w:r>
      <w:proofErr w:type="spellEnd"/>
      <w:r>
        <w:t xml:space="preserve"> page numbers are aligned. – The IEEE Style guide prescribes only one page number per page.</w:t>
      </w:r>
    </w:p>
    <w:p w:rsidR="00FF2229" w:rsidRDefault="00FF2229" w:rsidP="00644041">
      <w:pPr>
        <w:numPr>
          <w:ilvl w:val="2"/>
          <w:numId w:val="5"/>
        </w:numPr>
      </w:pPr>
      <w:r>
        <w:t>CID 341</w:t>
      </w:r>
    </w:p>
    <w:p w:rsidR="00FF2229" w:rsidRDefault="00FF2229" w:rsidP="00644041">
      <w:pPr>
        <w:numPr>
          <w:ilvl w:val="3"/>
          <w:numId w:val="5"/>
        </w:numPr>
      </w:pPr>
      <w:r>
        <w:t xml:space="preserve">Review Comment -- IANA </w:t>
      </w:r>
      <w:r w:rsidR="00CB2A12">
        <w:t>IKE</w:t>
      </w:r>
      <w:r w:rsidR="00E2327E">
        <w:t>v1 reference</w:t>
      </w:r>
      <w:r>
        <w:t>.</w:t>
      </w:r>
    </w:p>
    <w:p w:rsidR="00FF2229" w:rsidRDefault="00FF2229" w:rsidP="00644041">
      <w:pPr>
        <w:numPr>
          <w:ilvl w:val="3"/>
          <w:numId w:val="5"/>
        </w:numPr>
      </w:pPr>
      <w:r>
        <w:t xml:space="preserve">Suggest that we decline this as our </w:t>
      </w:r>
      <w:proofErr w:type="spellStart"/>
      <w:r>
        <w:t>liason</w:t>
      </w:r>
      <w:proofErr w:type="spellEnd"/>
      <w:r>
        <w:t xml:space="preserve"> with IETF has added the missing info to the new RFC.  </w:t>
      </w:r>
    </w:p>
    <w:p w:rsidR="00FF2229" w:rsidRDefault="00FF2229" w:rsidP="00644041">
      <w:pPr>
        <w:numPr>
          <w:ilvl w:val="3"/>
          <w:numId w:val="5"/>
        </w:numPr>
      </w:pPr>
      <w:r>
        <w:t xml:space="preserve">Proposed Resolution: Reject: </w:t>
      </w:r>
      <w:r w:rsidRPr="00735EB2">
        <w:t>Rejected.  Per liaison 11-12/0977r0</w:t>
      </w:r>
      <w:proofErr w:type="gramStart"/>
      <w:r w:rsidRPr="00735EB2">
        <w:t>,  the</w:t>
      </w:r>
      <w:proofErr w:type="gramEnd"/>
      <w:r w:rsidRPr="00735EB2">
        <w:t xml:space="preserve"> additional parameters will be added to the IKE v1 registry.</w:t>
      </w:r>
      <w:r>
        <w:t xml:space="preserve"> </w:t>
      </w:r>
      <w:r w:rsidRPr="00735EB2">
        <w:t>So the reference to RFC 2409 is still valid.</w:t>
      </w:r>
    </w:p>
    <w:p w:rsidR="00FF2229" w:rsidRDefault="00FF2229" w:rsidP="00644041">
      <w:pPr>
        <w:numPr>
          <w:ilvl w:val="2"/>
          <w:numId w:val="5"/>
        </w:numPr>
      </w:pPr>
      <w:r>
        <w:lastRenderedPageBreak/>
        <w:t>CID 212</w:t>
      </w:r>
    </w:p>
    <w:p w:rsidR="00FF2229" w:rsidRDefault="00FF2229" w:rsidP="00644041">
      <w:pPr>
        <w:numPr>
          <w:ilvl w:val="3"/>
          <w:numId w:val="5"/>
        </w:numPr>
      </w:pPr>
      <w:r>
        <w:t>Review comment: What is “MFP”</w:t>
      </w:r>
    </w:p>
    <w:p w:rsidR="00FF2229" w:rsidRDefault="00FF2229" w:rsidP="00644041">
      <w:pPr>
        <w:numPr>
          <w:ilvl w:val="3"/>
          <w:numId w:val="5"/>
        </w:numPr>
      </w:pPr>
      <w:r>
        <w:t>Editorial comments should be handled initially by the Editor,</w:t>
      </w:r>
    </w:p>
    <w:p w:rsidR="00FF2229" w:rsidRDefault="00FF2229" w:rsidP="00644041">
      <w:pPr>
        <w:numPr>
          <w:ilvl w:val="2"/>
          <w:numId w:val="5"/>
        </w:numPr>
      </w:pPr>
      <w:r>
        <w:t>CID 38</w:t>
      </w:r>
    </w:p>
    <w:p w:rsidR="00FF2229" w:rsidRDefault="00FF2229" w:rsidP="00644041">
      <w:pPr>
        <w:numPr>
          <w:ilvl w:val="3"/>
          <w:numId w:val="5"/>
        </w:numPr>
      </w:pPr>
      <w:r>
        <w:t xml:space="preserve">Review comment: </w:t>
      </w:r>
    </w:p>
    <w:p w:rsidR="00FF2229" w:rsidRDefault="00FF2229" w:rsidP="00644041">
      <w:pPr>
        <w:numPr>
          <w:ilvl w:val="3"/>
          <w:numId w:val="5"/>
        </w:numPr>
      </w:pPr>
      <w:r>
        <w:t>This has been there for a long time</w:t>
      </w:r>
    </w:p>
    <w:p w:rsidR="00FF2229" w:rsidRDefault="00FF2229" w:rsidP="00644041">
      <w:pPr>
        <w:numPr>
          <w:ilvl w:val="3"/>
          <w:numId w:val="5"/>
        </w:numPr>
      </w:pPr>
      <w:r>
        <w:t>The term Area can be a general term, i.e. the area west of the Mississippi.</w:t>
      </w:r>
    </w:p>
    <w:p w:rsidR="00FF2229" w:rsidRDefault="00FF2229" w:rsidP="00644041">
      <w:pPr>
        <w:numPr>
          <w:ilvl w:val="3"/>
          <w:numId w:val="5"/>
        </w:numPr>
      </w:pPr>
      <w:r>
        <w:t>Many examples of the use of “Area”.</w:t>
      </w:r>
    </w:p>
    <w:p w:rsidR="00FF2229" w:rsidRDefault="00FF2229" w:rsidP="00644041">
      <w:pPr>
        <w:numPr>
          <w:ilvl w:val="3"/>
          <w:numId w:val="5"/>
        </w:numPr>
      </w:pPr>
      <w:r>
        <w:t>Regulators use “Area</w:t>
      </w:r>
      <w:proofErr w:type="gramStart"/>
      <w:r>
        <w:t>”  -</w:t>
      </w:r>
      <w:proofErr w:type="gramEnd"/>
      <w:r>
        <w:t xml:space="preserve"> Range or Scope, not as a geometric term.</w:t>
      </w:r>
    </w:p>
    <w:p w:rsidR="00FF2229" w:rsidRDefault="00FF2229" w:rsidP="00644041">
      <w:pPr>
        <w:numPr>
          <w:ilvl w:val="3"/>
          <w:numId w:val="5"/>
        </w:numPr>
      </w:pPr>
      <w:r>
        <w:t>Basic Service Area is defined by 802.11.</w:t>
      </w:r>
    </w:p>
    <w:p w:rsidR="00FF2229" w:rsidRDefault="00FF2229" w:rsidP="00644041">
      <w:pPr>
        <w:numPr>
          <w:ilvl w:val="3"/>
          <w:numId w:val="5"/>
        </w:numPr>
      </w:pPr>
      <w:r>
        <w:t>Proposed Resolution: Reject: We call out networks as Local Area Networks or Metropolitan Area Networks.  The dictionary says that the word “Area” can mean a range or scope. Regulators use Area, and not other terms for boundaries.</w:t>
      </w:r>
    </w:p>
    <w:p w:rsidR="00FF2229" w:rsidRDefault="00FF2229" w:rsidP="00644041">
      <w:pPr>
        <w:numPr>
          <w:ilvl w:val="2"/>
          <w:numId w:val="5"/>
        </w:numPr>
      </w:pPr>
      <w:r>
        <w:t>CID 301</w:t>
      </w:r>
    </w:p>
    <w:p w:rsidR="00FF2229" w:rsidRDefault="00FF2229" w:rsidP="00644041">
      <w:pPr>
        <w:numPr>
          <w:ilvl w:val="3"/>
          <w:numId w:val="5"/>
        </w:numPr>
      </w:pPr>
      <w:r>
        <w:t>Review Comment:</w:t>
      </w:r>
    </w:p>
    <w:p w:rsidR="00FF2229" w:rsidRDefault="00FF2229" w:rsidP="00644041">
      <w:pPr>
        <w:numPr>
          <w:ilvl w:val="3"/>
          <w:numId w:val="5"/>
        </w:numPr>
      </w:pPr>
      <w:r>
        <w:t>There is only a small note on page 25, and in the SDL, but no other mention in the spec.</w:t>
      </w:r>
    </w:p>
    <w:p w:rsidR="00FF2229" w:rsidRDefault="00FF2229" w:rsidP="00644041">
      <w:pPr>
        <w:numPr>
          <w:ilvl w:val="3"/>
          <w:numId w:val="5"/>
        </w:numPr>
      </w:pPr>
      <w:r>
        <w:t>No other objection.</w:t>
      </w:r>
    </w:p>
    <w:p w:rsidR="00FF2229" w:rsidRDefault="00FF2229" w:rsidP="00644041">
      <w:pPr>
        <w:numPr>
          <w:ilvl w:val="3"/>
          <w:numId w:val="5"/>
        </w:numPr>
      </w:pPr>
      <w:r>
        <w:t>As an industry term, we do see it in use.</w:t>
      </w:r>
    </w:p>
    <w:p w:rsidR="00FF2229" w:rsidRDefault="00FF2229" w:rsidP="00644041">
      <w:pPr>
        <w:numPr>
          <w:ilvl w:val="3"/>
          <w:numId w:val="5"/>
        </w:numPr>
      </w:pPr>
      <w:r>
        <w:t>There is a claim that a frame format for WDS is defined.</w:t>
      </w:r>
    </w:p>
    <w:p w:rsidR="00FF2229" w:rsidRDefault="00FF2229" w:rsidP="00644041">
      <w:pPr>
        <w:numPr>
          <w:ilvl w:val="3"/>
          <w:numId w:val="5"/>
        </w:numPr>
      </w:pPr>
      <w:r>
        <w:t>The use of the 4-address format for WDS uses.</w:t>
      </w:r>
    </w:p>
    <w:p w:rsidR="00FF2229" w:rsidRDefault="00FF2229" w:rsidP="00644041">
      <w:pPr>
        <w:numPr>
          <w:ilvl w:val="3"/>
          <w:numId w:val="5"/>
        </w:numPr>
      </w:pPr>
      <w:r>
        <w:t>Note that the new GLK group would have an opinion on this topic also.</w:t>
      </w:r>
    </w:p>
    <w:p w:rsidR="00FF2229" w:rsidRDefault="00FF2229" w:rsidP="00644041">
      <w:pPr>
        <w:numPr>
          <w:ilvl w:val="3"/>
          <w:numId w:val="5"/>
        </w:numPr>
      </w:pPr>
      <w:r>
        <w:t>Straw Poll:</w:t>
      </w:r>
    </w:p>
    <w:p w:rsidR="00FF2229" w:rsidRDefault="00FF2229" w:rsidP="00644041">
      <w:pPr>
        <w:numPr>
          <w:ilvl w:val="4"/>
          <w:numId w:val="5"/>
        </w:numPr>
      </w:pPr>
      <w:r>
        <w:t>Should we remove the term WDS?</w:t>
      </w:r>
    </w:p>
    <w:p w:rsidR="00FF2229" w:rsidRDefault="00FF2229" w:rsidP="00644041">
      <w:pPr>
        <w:numPr>
          <w:ilvl w:val="5"/>
          <w:numId w:val="5"/>
        </w:numPr>
      </w:pPr>
      <w:r>
        <w:t xml:space="preserve">Results: Yes – 3 No – 3 abstain - 1 </w:t>
      </w:r>
    </w:p>
    <w:p w:rsidR="00FF2229" w:rsidRDefault="00FF2229" w:rsidP="00644041">
      <w:pPr>
        <w:numPr>
          <w:ilvl w:val="3"/>
          <w:numId w:val="5"/>
        </w:numPr>
      </w:pPr>
      <w:r>
        <w:t>There is only a definition of “Wireless Distribution” in one place in the spec.</w:t>
      </w:r>
    </w:p>
    <w:p w:rsidR="00FF2229" w:rsidRDefault="00FF2229" w:rsidP="00644041">
      <w:pPr>
        <w:numPr>
          <w:ilvl w:val="3"/>
          <w:numId w:val="5"/>
        </w:numPr>
      </w:pPr>
      <w:r>
        <w:t>If we remove all the obsolete and the SDL, then it would go away anyway.</w:t>
      </w:r>
    </w:p>
    <w:p w:rsidR="00FF2229" w:rsidRDefault="00FF2229" w:rsidP="00644041">
      <w:pPr>
        <w:numPr>
          <w:ilvl w:val="3"/>
          <w:numId w:val="5"/>
        </w:numPr>
      </w:pPr>
      <w:r>
        <w:t xml:space="preserve">We should leave the definition for now, and allow the new </w:t>
      </w:r>
      <w:proofErr w:type="spellStart"/>
      <w:r>
        <w:t>TGak</w:t>
      </w:r>
      <w:proofErr w:type="spellEnd"/>
      <w:r>
        <w:t xml:space="preserve"> to look into it.</w:t>
      </w:r>
    </w:p>
    <w:p w:rsidR="00FF2229" w:rsidRDefault="00FF2229" w:rsidP="00644041">
      <w:pPr>
        <w:numPr>
          <w:ilvl w:val="3"/>
          <w:numId w:val="5"/>
        </w:numPr>
      </w:pPr>
      <w:r w:rsidRPr="00603D08">
        <w:rPr>
          <w:b/>
          <w:color w:val="FF0000"/>
        </w:rPr>
        <w:t>ACTION ITEM</w:t>
      </w:r>
      <w:r>
        <w:t xml:space="preserve">: </w:t>
      </w:r>
      <w:r w:rsidR="00B332C6">
        <w:t xml:space="preserve">CID 301- </w:t>
      </w:r>
      <w:r>
        <w:t>Jon to talk to Donald Eastlake about his interest on this topic.</w:t>
      </w:r>
    </w:p>
    <w:p w:rsidR="00FF2229" w:rsidRDefault="00FF2229" w:rsidP="00644041">
      <w:pPr>
        <w:numPr>
          <w:ilvl w:val="3"/>
          <w:numId w:val="5"/>
        </w:numPr>
      </w:pPr>
      <w:r>
        <w:t xml:space="preserve">Look at page 122 – another Definition example of term defined but not </w:t>
      </w:r>
      <w:proofErr w:type="gramStart"/>
      <w:r>
        <w:t>used  “</w:t>
      </w:r>
      <w:proofErr w:type="gramEnd"/>
      <w:r>
        <w:t>Unreachable star”.</w:t>
      </w:r>
    </w:p>
    <w:p w:rsidR="00FF2229" w:rsidRDefault="00FF2229" w:rsidP="00644041">
      <w:pPr>
        <w:numPr>
          <w:ilvl w:val="2"/>
          <w:numId w:val="5"/>
        </w:numPr>
      </w:pPr>
      <w:r>
        <w:t>CID 74</w:t>
      </w:r>
    </w:p>
    <w:p w:rsidR="00FF2229" w:rsidRDefault="00FF2229" w:rsidP="00644041">
      <w:pPr>
        <w:numPr>
          <w:ilvl w:val="3"/>
          <w:numId w:val="5"/>
        </w:numPr>
      </w:pPr>
      <w:r>
        <w:t>Review comment.</w:t>
      </w:r>
    </w:p>
    <w:p w:rsidR="00FF2229" w:rsidRDefault="00FF2229" w:rsidP="00644041">
      <w:pPr>
        <w:numPr>
          <w:ilvl w:val="3"/>
          <w:numId w:val="5"/>
        </w:numPr>
      </w:pPr>
      <w:r>
        <w:t xml:space="preserve"> Do we agree in general to add a table somewhere?</w:t>
      </w:r>
    </w:p>
    <w:p w:rsidR="00FF2229" w:rsidRDefault="00FF2229" w:rsidP="00644041">
      <w:pPr>
        <w:numPr>
          <w:ilvl w:val="4"/>
          <w:numId w:val="5"/>
        </w:numPr>
      </w:pPr>
      <w:r>
        <w:t>No objection</w:t>
      </w:r>
    </w:p>
    <w:p w:rsidR="00FF2229" w:rsidRDefault="00FF2229" w:rsidP="00644041">
      <w:pPr>
        <w:numPr>
          <w:ilvl w:val="3"/>
          <w:numId w:val="5"/>
        </w:numPr>
      </w:pPr>
      <w:r w:rsidRPr="00603D08">
        <w:rPr>
          <w:b/>
          <w:color w:val="FF0000"/>
        </w:rPr>
        <w:t>ACTION ITEM:</w:t>
      </w:r>
      <w:r>
        <w:t xml:space="preserve"> </w:t>
      </w:r>
      <w:r w:rsidR="00B332C6">
        <w:t xml:space="preserve">CID 74- </w:t>
      </w:r>
      <w:proofErr w:type="spellStart"/>
      <w:r>
        <w:t>Jouni</w:t>
      </w:r>
      <w:proofErr w:type="spellEnd"/>
      <w:r>
        <w:t xml:space="preserve"> to look at creating a table in a submission.</w:t>
      </w:r>
    </w:p>
    <w:p w:rsidR="00FF2229" w:rsidRDefault="00FF2229" w:rsidP="00644041">
      <w:pPr>
        <w:numPr>
          <w:ilvl w:val="3"/>
          <w:numId w:val="5"/>
        </w:numPr>
      </w:pPr>
      <w:r>
        <w:t xml:space="preserve">Assign Comment to </w:t>
      </w:r>
      <w:proofErr w:type="spellStart"/>
      <w:r>
        <w:t>Jouni</w:t>
      </w:r>
      <w:proofErr w:type="spellEnd"/>
      <w:r>
        <w:t xml:space="preserve"> for submission.</w:t>
      </w:r>
    </w:p>
    <w:p w:rsidR="00FF2229" w:rsidRDefault="00FF2229" w:rsidP="00644041">
      <w:pPr>
        <w:numPr>
          <w:ilvl w:val="2"/>
          <w:numId w:val="5"/>
        </w:numPr>
      </w:pPr>
      <w:r>
        <w:t>CID 323</w:t>
      </w:r>
    </w:p>
    <w:p w:rsidR="00FF2229" w:rsidRDefault="00FF2229" w:rsidP="00644041">
      <w:pPr>
        <w:numPr>
          <w:ilvl w:val="3"/>
          <w:numId w:val="5"/>
        </w:numPr>
      </w:pPr>
      <w:r>
        <w:t>Review Comment</w:t>
      </w:r>
    </w:p>
    <w:p w:rsidR="00FF2229" w:rsidRDefault="00FF2229" w:rsidP="00644041">
      <w:pPr>
        <w:numPr>
          <w:ilvl w:val="3"/>
          <w:numId w:val="5"/>
        </w:numPr>
      </w:pPr>
      <w:r>
        <w:t>Relates to CID 218</w:t>
      </w:r>
    </w:p>
    <w:p w:rsidR="00FF2229" w:rsidRDefault="00FF2229" w:rsidP="00644041">
      <w:pPr>
        <w:numPr>
          <w:ilvl w:val="3"/>
          <w:numId w:val="5"/>
        </w:numPr>
      </w:pPr>
      <w:r>
        <w:t xml:space="preserve">The use of Sleep is in TDLS. – </w:t>
      </w:r>
      <w:proofErr w:type="gramStart"/>
      <w:r>
        <w:t>how</w:t>
      </w:r>
      <w:proofErr w:type="gramEnd"/>
      <w:r>
        <w:t xml:space="preserve"> STAs use AP to get info when asleep.</w:t>
      </w:r>
    </w:p>
    <w:p w:rsidR="00FF2229" w:rsidRDefault="00FF2229" w:rsidP="00644041">
      <w:pPr>
        <w:numPr>
          <w:ilvl w:val="3"/>
          <w:numId w:val="5"/>
        </w:numPr>
      </w:pPr>
      <w:r>
        <w:t>The use of Sleeping may not be incorrect.</w:t>
      </w:r>
    </w:p>
    <w:p w:rsidR="00FF2229" w:rsidRDefault="00FF2229" w:rsidP="00644041">
      <w:pPr>
        <w:numPr>
          <w:ilvl w:val="3"/>
          <w:numId w:val="5"/>
        </w:numPr>
      </w:pPr>
      <w:r>
        <w:t>We use doze and sleep with lots of ease.</w:t>
      </w:r>
    </w:p>
    <w:p w:rsidR="00FF2229" w:rsidRDefault="00FF2229" w:rsidP="00644041">
      <w:pPr>
        <w:numPr>
          <w:ilvl w:val="3"/>
          <w:numId w:val="5"/>
        </w:numPr>
      </w:pPr>
      <w:r>
        <w:t>10.2.1.18.1 – sleep is part of the WNM</w:t>
      </w:r>
    </w:p>
    <w:p w:rsidR="00FF2229" w:rsidRDefault="00FF2229" w:rsidP="00644041">
      <w:pPr>
        <w:numPr>
          <w:ilvl w:val="3"/>
          <w:numId w:val="5"/>
        </w:numPr>
      </w:pPr>
      <w:r>
        <w:t>4.3.13.1 lists the features that were added by WNM, and so it is here.</w:t>
      </w:r>
    </w:p>
    <w:p w:rsidR="00FF2229" w:rsidRDefault="00FF2229" w:rsidP="00644041">
      <w:pPr>
        <w:numPr>
          <w:ilvl w:val="3"/>
          <w:numId w:val="5"/>
        </w:numPr>
      </w:pPr>
      <w:r>
        <w:t>What is being managed? Is the real questions.</w:t>
      </w:r>
    </w:p>
    <w:p w:rsidR="00FF2229" w:rsidRDefault="00FF2229" w:rsidP="00644041">
      <w:pPr>
        <w:numPr>
          <w:ilvl w:val="3"/>
          <w:numId w:val="5"/>
        </w:numPr>
      </w:pPr>
      <w:r>
        <w:t>Many of the WMN management functions only manage point to point communication.</w:t>
      </w:r>
    </w:p>
    <w:p w:rsidR="00FF2229" w:rsidRDefault="00FF2229" w:rsidP="00644041">
      <w:pPr>
        <w:numPr>
          <w:ilvl w:val="4"/>
          <w:numId w:val="5"/>
        </w:numPr>
      </w:pPr>
      <w:r>
        <w:t>They only manage STA to AP or some other Point to Point functionality</w:t>
      </w:r>
    </w:p>
    <w:p w:rsidR="00FF2229" w:rsidRDefault="00FF2229" w:rsidP="00644041">
      <w:pPr>
        <w:numPr>
          <w:ilvl w:val="3"/>
          <w:numId w:val="5"/>
        </w:numPr>
      </w:pPr>
      <w:r>
        <w:t>The AP is managing and doing work for the STA which allows the STA to Sleep.</w:t>
      </w:r>
    </w:p>
    <w:p w:rsidR="00FF2229" w:rsidRDefault="00FF2229" w:rsidP="00644041">
      <w:pPr>
        <w:numPr>
          <w:ilvl w:val="3"/>
          <w:numId w:val="5"/>
        </w:numPr>
      </w:pPr>
      <w:r>
        <w:t xml:space="preserve">The number of actual things that WNM-Sleep does is numerous, and so after we resolve some of </w:t>
      </w:r>
      <w:r w:rsidR="00CB2A12">
        <w:t>those issues</w:t>
      </w:r>
      <w:r>
        <w:t>, then maybe a new name may be an outcome.</w:t>
      </w:r>
    </w:p>
    <w:p w:rsidR="00FF2229" w:rsidRDefault="00FF2229" w:rsidP="00644041">
      <w:pPr>
        <w:numPr>
          <w:ilvl w:val="4"/>
          <w:numId w:val="5"/>
        </w:numPr>
      </w:pPr>
      <w:r>
        <w:t>Filtering, and buffering etc is still only point to point management.</w:t>
      </w:r>
    </w:p>
    <w:p w:rsidR="00FF2229" w:rsidRDefault="00FF2229" w:rsidP="00644041">
      <w:pPr>
        <w:numPr>
          <w:ilvl w:val="3"/>
          <w:numId w:val="5"/>
        </w:numPr>
      </w:pPr>
      <w:r>
        <w:lastRenderedPageBreak/>
        <w:t>Radio Management implemented is required to get many of the WNM features.</w:t>
      </w:r>
    </w:p>
    <w:p w:rsidR="00FF2229" w:rsidRDefault="00FF2229" w:rsidP="00644041">
      <w:pPr>
        <w:numPr>
          <w:ilvl w:val="3"/>
          <w:numId w:val="5"/>
        </w:numPr>
      </w:pPr>
      <w:r>
        <w:t>Changing the name was thought to loosing meaning.</w:t>
      </w:r>
    </w:p>
    <w:p w:rsidR="00FF2229" w:rsidRDefault="00FF2229" w:rsidP="00644041">
      <w:pPr>
        <w:numPr>
          <w:ilvl w:val="3"/>
          <w:numId w:val="5"/>
        </w:numPr>
      </w:pPr>
      <w:r>
        <w:t xml:space="preserve">Proposed Resolution: </w:t>
      </w:r>
      <w:r w:rsidRPr="00043295">
        <w:t>Rejected.  WNM-sleep mode is dependent on a device's support of the mandatory WNM features.   And it enables a STA to sleep for extended periods of time</w:t>
      </w:r>
      <w:proofErr w:type="gramStart"/>
      <w:r w:rsidRPr="00043295">
        <w:t>,  and</w:t>
      </w:r>
      <w:proofErr w:type="gramEnd"/>
      <w:r w:rsidRPr="00043295">
        <w:t xml:space="preserve"> this is clearly related to "sleep".</w:t>
      </w:r>
    </w:p>
    <w:p w:rsidR="00FF2229" w:rsidRDefault="00FF2229" w:rsidP="00644041">
      <w:pPr>
        <w:numPr>
          <w:ilvl w:val="3"/>
          <w:numId w:val="5"/>
        </w:numPr>
      </w:pPr>
      <w:r>
        <w:t>There was an objection to the rejection.</w:t>
      </w:r>
    </w:p>
    <w:p w:rsidR="00FF2229" w:rsidRDefault="00FF2229" w:rsidP="00644041">
      <w:pPr>
        <w:numPr>
          <w:ilvl w:val="3"/>
          <w:numId w:val="5"/>
        </w:numPr>
      </w:pPr>
      <w:r>
        <w:t>There are many features in the WNM-Sleep that don’t seem to address sleeping.</w:t>
      </w:r>
    </w:p>
    <w:p w:rsidR="00FF2229" w:rsidRDefault="00FF2229" w:rsidP="00644041">
      <w:pPr>
        <w:numPr>
          <w:ilvl w:val="3"/>
          <w:numId w:val="5"/>
        </w:numPr>
      </w:pPr>
      <w:r>
        <w:t>Request for CID 96</w:t>
      </w:r>
      <w:r w:rsidR="00B332C6">
        <w:t xml:space="preserve"> to be </w:t>
      </w:r>
      <w:r w:rsidR="00CB2A12">
        <w:t>included –</w:t>
      </w:r>
      <w:r>
        <w:t xml:space="preserve"> no this will be part of the request to PHY panel of experts (open invitation to be sent to the reflector) to discuss before we discus it on a conference call.</w:t>
      </w:r>
    </w:p>
    <w:p w:rsidR="00FF2229" w:rsidRDefault="00FF2229" w:rsidP="00644041">
      <w:pPr>
        <w:numPr>
          <w:ilvl w:val="2"/>
          <w:numId w:val="5"/>
        </w:numPr>
      </w:pPr>
      <w:r>
        <w:t>CID 213</w:t>
      </w:r>
    </w:p>
    <w:p w:rsidR="00FF2229" w:rsidRDefault="00FF2229" w:rsidP="00644041">
      <w:pPr>
        <w:numPr>
          <w:ilvl w:val="3"/>
          <w:numId w:val="5"/>
        </w:numPr>
      </w:pPr>
      <w:r>
        <w:t xml:space="preserve"> Review comment</w:t>
      </w:r>
    </w:p>
    <w:p w:rsidR="00FF2229" w:rsidRDefault="00FF2229" w:rsidP="00644041">
      <w:pPr>
        <w:numPr>
          <w:ilvl w:val="3"/>
          <w:numId w:val="5"/>
        </w:numPr>
      </w:pPr>
      <w:r>
        <w:t>(see note from Mark Hamilton)</w:t>
      </w:r>
    </w:p>
    <w:p w:rsidR="00FF2229" w:rsidRDefault="00FF2229" w:rsidP="00644041">
      <w:pPr>
        <w:numPr>
          <w:ilvl w:val="3"/>
          <w:numId w:val="5"/>
        </w:numPr>
      </w:pPr>
      <w:r>
        <w:t xml:space="preserve">Should we allow </w:t>
      </w:r>
      <w:proofErr w:type="gramStart"/>
      <w:r>
        <w:t>this.</w:t>
      </w:r>
      <w:proofErr w:type="gramEnd"/>
    </w:p>
    <w:p w:rsidR="00FF2229" w:rsidRDefault="00FF2229" w:rsidP="00644041">
      <w:pPr>
        <w:numPr>
          <w:ilvl w:val="3"/>
          <w:numId w:val="5"/>
        </w:numPr>
      </w:pPr>
      <w:r>
        <w:t>More time may be needed to look at this.</w:t>
      </w:r>
    </w:p>
    <w:p w:rsidR="00FF2229" w:rsidRDefault="00FF2229" w:rsidP="00644041">
      <w:pPr>
        <w:numPr>
          <w:ilvl w:val="3"/>
          <w:numId w:val="5"/>
        </w:numPr>
      </w:pPr>
      <w:r>
        <w:t xml:space="preserve">How </w:t>
      </w:r>
      <w:r w:rsidR="00CB2A12">
        <w:t>this is</w:t>
      </w:r>
      <w:r>
        <w:t xml:space="preserve"> used in practice and in other definitions needs to be reviewed.</w:t>
      </w:r>
    </w:p>
    <w:p w:rsidR="00FF2229" w:rsidRDefault="00FF2229" w:rsidP="00644041">
      <w:pPr>
        <w:numPr>
          <w:ilvl w:val="3"/>
          <w:numId w:val="5"/>
        </w:numPr>
      </w:pPr>
      <w:r w:rsidRPr="00B332C6">
        <w:rPr>
          <w:b/>
          <w:color w:val="FF0000"/>
        </w:rPr>
        <w:t>ACTION ITEM:</w:t>
      </w:r>
      <w:r>
        <w:t xml:space="preserve"> </w:t>
      </w:r>
      <w:r w:rsidR="00B332C6">
        <w:t>CID 213-</w:t>
      </w:r>
      <w:r>
        <w:t>Mark Rison assigned to research this issue further.</w:t>
      </w:r>
    </w:p>
    <w:p w:rsidR="00833E96" w:rsidRDefault="00FF2229" w:rsidP="00644041">
      <w:pPr>
        <w:numPr>
          <w:ilvl w:val="4"/>
          <w:numId w:val="5"/>
        </w:numPr>
      </w:pPr>
      <w:r>
        <w:t xml:space="preserve">Other Comments that are related: CID 263, 314, 324, </w:t>
      </w:r>
    </w:p>
    <w:p w:rsidR="00FF2229" w:rsidRDefault="00FF2229" w:rsidP="00644041">
      <w:pPr>
        <w:numPr>
          <w:ilvl w:val="2"/>
          <w:numId w:val="5"/>
        </w:numPr>
      </w:pPr>
      <w:r>
        <w:t>CID 79</w:t>
      </w:r>
    </w:p>
    <w:p w:rsidR="00FF2229" w:rsidRDefault="00FF2229" w:rsidP="00644041">
      <w:pPr>
        <w:numPr>
          <w:ilvl w:val="3"/>
          <w:numId w:val="5"/>
        </w:numPr>
      </w:pPr>
      <w:r>
        <w:t xml:space="preserve">Review Comment : </w:t>
      </w:r>
    </w:p>
    <w:p w:rsidR="00FF2229" w:rsidRDefault="00FF2229" w:rsidP="00644041">
      <w:pPr>
        <w:numPr>
          <w:ilvl w:val="3"/>
          <w:numId w:val="5"/>
        </w:numPr>
      </w:pPr>
      <w:r>
        <w:t>There was an offline discussion that worked to improve the proposed resolution.</w:t>
      </w:r>
    </w:p>
    <w:p w:rsidR="00FF2229" w:rsidRDefault="00FF2229" w:rsidP="00644041">
      <w:pPr>
        <w:numPr>
          <w:ilvl w:val="3"/>
          <w:numId w:val="5"/>
        </w:numPr>
      </w:pPr>
      <w:r>
        <w:t xml:space="preserve">Initial Proposed Resolution: </w:t>
      </w:r>
      <w:r w:rsidRPr="005E4C8E">
        <w:t>Add a new paragraph after the third paragraph of 10.2.1.2:</w:t>
      </w:r>
      <w:r w:rsidRPr="005E4C8E">
        <w:cr/>
      </w:r>
      <w:r>
        <w:t>”</w:t>
      </w:r>
      <w:r w:rsidRPr="005E4C8E">
        <w:t xml:space="preserve">An AP shall always assume a non-AP STA's Power Management mode is </w:t>
      </w:r>
      <w:r>
        <w:t>Active</w:t>
      </w:r>
      <w:r w:rsidRPr="005E4C8E">
        <w:t xml:space="preserve"> upon Association, or </w:t>
      </w:r>
      <w:proofErr w:type="spellStart"/>
      <w:r w:rsidRPr="005E4C8E">
        <w:t>Reassociation</w:t>
      </w:r>
      <w:proofErr w:type="spellEnd"/>
      <w:r w:rsidRPr="005E4C8E">
        <w:t xml:space="preserve"> from another AP, and the non-AP STA shall operate per the </w:t>
      </w:r>
      <w:r>
        <w:t xml:space="preserve">Active </w:t>
      </w:r>
      <w:r w:rsidRPr="005E4C8E">
        <w:t xml:space="preserve"> mode until it can inform the AP of a mode change</w:t>
      </w:r>
      <w:r>
        <w:t>.  The STA's mode shall also be</w:t>
      </w:r>
      <w:r w:rsidRPr="005E4C8E">
        <w:t xml:space="preserve"> </w:t>
      </w:r>
      <w:r>
        <w:t>Active</w:t>
      </w:r>
      <w:r w:rsidRPr="005E4C8E">
        <w:t xml:space="preserve"> in relation to any AP with which it is not associated.  </w:t>
      </w:r>
      <w:proofErr w:type="spellStart"/>
      <w:r w:rsidRPr="005E4C8E">
        <w:t>Reassociation</w:t>
      </w:r>
      <w:proofErr w:type="spellEnd"/>
      <w:r w:rsidRPr="005E4C8E">
        <w:t xml:space="preserve"> to the same AP shall not change the Power Management mode of the non-AP STA.</w:t>
      </w:r>
      <w:r>
        <w:t>”</w:t>
      </w:r>
    </w:p>
    <w:p w:rsidR="00FF2229" w:rsidRDefault="00FF2229" w:rsidP="00833E96">
      <w:pPr>
        <w:ind w:left="1728"/>
      </w:pPr>
    </w:p>
    <w:p w:rsidR="00FF2229" w:rsidRDefault="00FF2229" w:rsidP="00644041">
      <w:pPr>
        <w:numPr>
          <w:ilvl w:val="3"/>
          <w:numId w:val="5"/>
        </w:numPr>
      </w:pPr>
      <w:r>
        <w:t>10.2.1.1 – the change of the mode needs to be communicated.</w:t>
      </w:r>
    </w:p>
    <w:p w:rsidR="00FF2229" w:rsidRDefault="00FF2229" w:rsidP="00644041">
      <w:pPr>
        <w:numPr>
          <w:ilvl w:val="3"/>
          <w:numId w:val="5"/>
        </w:numPr>
      </w:pPr>
      <w:r>
        <w:t>If the STA is not associated then it cannot use PS mode.</w:t>
      </w:r>
    </w:p>
    <w:p w:rsidR="00FF2229" w:rsidRDefault="00FF2229" w:rsidP="00644041">
      <w:pPr>
        <w:numPr>
          <w:ilvl w:val="3"/>
          <w:numId w:val="5"/>
        </w:numPr>
      </w:pPr>
      <w:r>
        <w:t xml:space="preserve">A STA that has transmitted a management frame to an AP that it is not associated from which it expects a response shall remain in the </w:t>
      </w:r>
      <w:proofErr w:type="gramStart"/>
      <w:r>
        <w:t>Awake</w:t>
      </w:r>
      <w:proofErr w:type="gramEnd"/>
      <w:r>
        <w:t xml:space="preserve"> state until such a response is received, or until the procedure has timed out.</w:t>
      </w:r>
    </w:p>
    <w:p w:rsidR="00FF2229" w:rsidRDefault="00FF2229" w:rsidP="00644041">
      <w:pPr>
        <w:numPr>
          <w:ilvl w:val="3"/>
          <w:numId w:val="5"/>
        </w:numPr>
      </w:pPr>
      <w:r>
        <w:t>All of the main frames being sent are part of a management frame exchange.</w:t>
      </w:r>
    </w:p>
    <w:p w:rsidR="00FF2229" w:rsidRDefault="00FF2229" w:rsidP="00644041">
      <w:pPr>
        <w:numPr>
          <w:ilvl w:val="3"/>
          <w:numId w:val="5"/>
        </w:numPr>
      </w:pPr>
      <w:r>
        <w:t>The new Beacon variant and beam forming that are extended control frames.</w:t>
      </w:r>
    </w:p>
    <w:p w:rsidR="00FF2229" w:rsidRDefault="00FF2229" w:rsidP="00644041">
      <w:pPr>
        <w:numPr>
          <w:ilvl w:val="3"/>
          <w:numId w:val="5"/>
        </w:numPr>
      </w:pPr>
      <w:r>
        <w:t xml:space="preserve">If we drop the “management” from the suggested sentence, then it would still be correct and may be </w:t>
      </w:r>
      <w:r w:rsidR="00CB2A12">
        <w:t>clearer</w:t>
      </w:r>
      <w:r>
        <w:t xml:space="preserve"> in the end.</w:t>
      </w:r>
    </w:p>
    <w:p w:rsidR="00FF2229" w:rsidRDefault="00FF2229" w:rsidP="00644041">
      <w:pPr>
        <w:numPr>
          <w:ilvl w:val="3"/>
          <w:numId w:val="5"/>
        </w:numPr>
      </w:pPr>
      <w:r>
        <w:t>Trying to get rid of the word “Assume” should be done.</w:t>
      </w:r>
    </w:p>
    <w:p w:rsidR="00FF2229" w:rsidRDefault="00FF2229" w:rsidP="00644041">
      <w:pPr>
        <w:numPr>
          <w:ilvl w:val="3"/>
          <w:numId w:val="5"/>
        </w:numPr>
      </w:pPr>
      <w:r>
        <w:t>Change where the SHALL is in the new paragraph.</w:t>
      </w:r>
    </w:p>
    <w:p w:rsidR="00FF2229" w:rsidRDefault="00FF2229" w:rsidP="00644041">
      <w:pPr>
        <w:numPr>
          <w:ilvl w:val="3"/>
          <w:numId w:val="5"/>
        </w:numPr>
      </w:pPr>
      <w:r>
        <w:t>There is also a similar comment in CID 257.</w:t>
      </w:r>
    </w:p>
    <w:p w:rsidR="00FF2229" w:rsidRDefault="00FF2229" w:rsidP="00644041">
      <w:pPr>
        <w:numPr>
          <w:ilvl w:val="3"/>
          <w:numId w:val="5"/>
        </w:numPr>
      </w:pPr>
      <w:proofErr w:type="spellStart"/>
      <w:r>
        <w:t>Reassociation</w:t>
      </w:r>
      <w:proofErr w:type="spellEnd"/>
      <w:r>
        <w:t xml:space="preserve"> to the same AP you do not want to have to go in and out of ACTIVE mode?</w:t>
      </w:r>
    </w:p>
    <w:p w:rsidR="00FF2229" w:rsidRDefault="00FF2229" w:rsidP="00644041">
      <w:pPr>
        <w:numPr>
          <w:ilvl w:val="3"/>
          <w:numId w:val="5"/>
        </w:numPr>
      </w:pPr>
      <w:r>
        <w:t>Working on what the proper action took some time.</w:t>
      </w:r>
    </w:p>
    <w:p w:rsidR="00FF2229" w:rsidRDefault="00FF2229" w:rsidP="00644041">
      <w:pPr>
        <w:numPr>
          <w:ilvl w:val="3"/>
          <w:numId w:val="5"/>
        </w:numPr>
      </w:pPr>
      <w:r>
        <w:t xml:space="preserve">Deleting the text about the </w:t>
      </w:r>
      <w:proofErr w:type="spellStart"/>
      <w:r>
        <w:t>Reassociation</w:t>
      </w:r>
      <w:proofErr w:type="spellEnd"/>
      <w:r>
        <w:t xml:space="preserve"> was thought to be the </w:t>
      </w:r>
      <w:proofErr w:type="spellStart"/>
      <w:r>
        <w:t>simplier</w:t>
      </w:r>
      <w:proofErr w:type="spellEnd"/>
      <w:r>
        <w:t xml:space="preserve"> definition.</w:t>
      </w:r>
    </w:p>
    <w:p w:rsidR="00FF2229" w:rsidRDefault="00FF2229" w:rsidP="00644041">
      <w:pPr>
        <w:numPr>
          <w:ilvl w:val="3"/>
          <w:numId w:val="5"/>
        </w:numPr>
      </w:pPr>
      <w:r>
        <w:t xml:space="preserve">Can we add a note for the FP case? </w:t>
      </w:r>
    </w:p>
    <w:p w:rsidR="00FF2229" w:rsidRDefault="00FF2229" w:rsidP="00644041">
      <w:pPr>
        <w:numPr>
          <w:ilvl w:val="4"/>
          <w:numId w:val="5"/>
        </w:numPr>
      </w:pPr>
      <w:r>
        <w:t>No consensus to add any note.</w:t>
      </w:r>
    </w:p>
    <w:p w:rsidR="00FF2229" w:rsidRDefault="00FF2229" w:rsidP="00644041">
      <w:pPr>
        <w:numPr>
          <w:ilvl w:val="3"/>
          <w:numId w:val="5"/>
        </w:numPr>
      </w:pPr>
      <w:r>
        <w:t xml:space="preserve">Proposed Resolution: </w:t>
      </w:r>
      <w:r w:rsidRPr="005E4C8E">
        <w:t xml:space="preserve">Add a </w:t>
      </w:r>
      <w:r>
        <w:t>two new</w:t>
      </w:r>
      <w:r w:rsidRPr="005E4C8E">
        <w:t xml:space="preserve"> paragraph</w:t>
      </w:r>
      <w:r>
        <w:t>s</w:t>
      </w:r>
      <w:r w:rsidRPr="005E4C8E">
        <w:t xml:space="preserve"> after the third paragraph of 10.2.1.2:</w:t>
      </w:r>
      <w:r w:rsidRPr="005E4C8E">
        <w:cr/>
      </w:r>
      <w:r>
        <w:t xml:space="preserve">”A </w:t>
      </w:r>
      <w:r w:rsidRPr="005E4C8E">
        <w:t xml:space="preserve">non-AP </w:t>
      </w:r>
      <w:r>
        <w:t>STA shall be in Active mo</w:t>
      </w:r>
      <w:r w:rsidRPr="005E4C8E">
        <w:t xml:space="preserve">de upon Association, or </w:t>
      </w:r>
      <w:proofErr w:type="spellStart"/>
      <w:r w:rsidRPr="005E4C8E">
        <w:t>Reassociation</w:t>
      </w:r>
      <w:proofErr w:type="spellEnd"/>
      <w:r w:rsidRPr="005E4C8E">
        <w:t xml:space="preserve"> </w:t>
      </w:r>
    </w:p>
    <w:p w:rsidR="00833E96" w:rsidRDefault="00833E96" w:rsidP="00833E96">
      <w:pPr>
        <w:ind w:left="1728"/>
      </w:pPr>
    </w:p>
    <w:p w:rsidR="00FF2229" w:rsidRDefault="00FF2229" w:rsidP="00644041">
      <w:pPr>
        <w:numPr>
          <w:ilvl w:val="5"/>
          <w:numId w:val="5"/>
        </w:numPr>
      </w:pPr>
      <w:r>
        <w:lastRenderedPageBreak/>
        <w:t xml:space="preserve">A STA that has transmitted a frame to an AP with which it is not associated and from which it expects a response shall remain in the </w:t>
      </w:r>
      <w:proofErr w:type="gramStart"/>
      <w:r>
        <w:t>Awake</w:t>
      </w:r>
      <w:proofErr w:type="gramEnd"/>
      <w:r>
        <w:t xml:space="preserve"> state until such a response is received or until the procedure has timed out.”</w:t>
      </w:r>
    </w:p>
    <w:p w:rsidR="00FF2229" w:rsidRDefault="00FF2229" w:rsidP="00644041">
      <w:pPr>
        <w:numPr>
          <w:ilvl w:val="3"/>
          <w:numId w:val="5"/>
        </w:numPr>
      </w:pPr>
      <w:r>
        <w:t xml:space="preserve">Comment </w:t>
      </w:r>
      <w:proofErr w:type="gramStart"/>
      <w:r>
        <w:t>marked</w:t>
      </w:r>
      <w:r w:rsidR="00833E96">
        <w:t xml:space="preserve"> </w:t>
      </w:r>
      <w:r>
        <w:t xml:space="preserve"> ready</w:t>
      </w:r>
      <w:proofErr w:type="gramEnd"/>
      <w:r>
        <w:t xml:space="preserve"> for motion.</w:t>
      </w:r>
    </w:p>
    <w:p w:rsidR="00FF2229" w:rsidRDefault="00FF2229" w:rsidP="00644041">
      <w:pPr>
        <w:numPr>
          <w:ilvl w:val="2"/>
          <w:numId w:val="5"/>
        </w:numPr>
      </w:pPr>
      <w:r>
        <w:t>CID 145</w:t>
      </w:r>
    </w:p>
    <w:p w:rsidR="00FF2229" w:rsidRDefault="00FF2229" w:rsidP="00644041">
      <w:pPr>
        <w:numPr>
          <w:ilvl w:val="3"/>
          <w:numId w:val="5"/>
        </w:numPr>
      </w:pPr>
      <w:r>
        <w:t>Review comment:</w:t>
      </w:r>
    </w:p>
    <w:p w:rsidR="00FF2229" w:rsidRDefault="00FF2229" w:rsidP="00644041">
      <w:pPr>
        <w:numPr>
          <w:ilvl w:val="3"/>
          <w:numId w:val="5"/>
        </w:numPr>
      </w:pPr>
      <w:r w:rsidRPr="00B332C6">
        <w:rPr>
          <w:b/>
          <w:color w:val="FF0000"/>
        </w:rPr>
        <w:t>ACTION ITEM:</w:t>
      </w:r>
      <w:r>
        <w:t xml:space="preserve"> </w:t>
      </w:r>
      <w:r w:rsidR="00B332C6">
        <w:t>CID 145-</w:t>
      </w:r>
      <w:r>
        <w:t>Mark RISON to submit a proposal</w:t>
      </w:r>
    </w:p>
    <w:p w:rsidR="00833E96" w:rsidRDefault="00FF2229" w:rsidP="00644041">
      <w:pPr>
        <w:numPr>
          <w:ilvl w:val="2"/>
          <w:numId w:val="5"/>
        </w:numPr>
      </w:pPr>
      <w:r>
        <w:t>CID 49</w:t>
      </w:r>
    </w:p>
    <w:p w:rsidR="00833E96" w:rsidRDefault="00FF2229" w:rsidP="00644041">
      <w:pPr>
        <w:numPr>
          <w:ilvl w:val="3"/>
          <w:numId w:val="5"/>
        </w:numPr>
      </w:pPr>
      <w:r>
        <w:t>Review Comment:</w:t>
      </w:r>
    </w:p>
    <w:p w:rsidR="00833E96" w:rsidRDefault="00FF2229" w:rsidP="00644041">
      <w:pPr>
        <w:numPr>
          <w:ilvl w:val="3"/>
          <w:numId w:val="5"/>
        </w:numPr>
      </w:pPr>
      <w:r>
        <w:t>See CID 308</w:t>
      </w:r>
    </w:p>
    <w:p w:rsidR="00833E96" w:rsidRDefault="00FF2229" w:rsidP="00644041">
      <w:pPr>
        <w:numPr>
          <w:ilvl w:val="3"/>
          <w:numId w:val="5"/>
        </w:numPr>
      </w:pPr>
      <w:r>
        <w:t>We could also set DTIM Period to be reserved.</w:t>
      </w:r>
    </w:p>
    <w:p w:rsidR="00FF2229" w:rsidRDefault="00FF2229" w:rsidP="00644041">
      <w:pPr>
        <w:numPr>
          <w:ilvl w:val="3"/>
          <w:numId w:val="5"/>
        </w:numPr>
      </w:pPr>
      <w:r>
        <w:t xml:space="preserve">The new sentence sets the DTIM Count </w:t>
      </w:r>
      <w:proofErr w:type="gramStart"/>
      <w:r>
        <w:t>field</w:t>
      </w:r>
      <w:proofErr w:type="gramEnd"/>
      <w:r>
        <w:t xml:space="preserve"> as reserved.</w:t>
      </w:r>
    </w:p>
    <w:p w:rsidR="00FF2229" w:rsidRDefault="00FF2229" w:rsidP="00644041">
      <w:pPr>
        <w:numPr>
          <w:ilvl w:val="3"/>
          <w:numId w:val="5"/>
        </w:numPr>
      </w:pPr>
      <w:r>
        <w:t>We will allow other groups to test to ensure that we don’t have any issues.</w:t>
      </w:r>
    </w:p>
    <w:p w:rsidR="00FF2229" w:rsidRDefault="00FF2229" w:rsidP="00644041">
      <w:pPr>
        <w:numPr>
          <w:ilvl w:val="3"/>
          <w:numId w:val="5"/>
        </w:numPr>
      </w:pPr>
      <w:r>
        <w:t>The DTIM Period value is still useful and we should keep it in there.</w:t>
      </w:r>
    </w:p>
    <w:p w:rsidR="00FF2229" w:rsidRDefault="00FF2229" w:rsidP="00644041">
      <w:pPr>
        <w:numPr>
          <w:ilvl w:val="3"/>
          <w:numId w:val="5"/>
        </w:numPr>
      </w:pPr>
      <w:r>
        <w:t>A draft of the Proposal was started.</w:t>
      </w:r>
    </w:p>
    <w:p w:rsidR="00FF2229" w:rsidRDefault="00FF2229" w:rsidP="00644041">
      <w:pPr>
        <w:numPr>
          <w:ilvl w:val="3"/>
          <w:numId w:val="5"/>
        </w:numPr>
      </w:pPr>
      <w:r>
        <w:t>Draft Proposed resolution: Revised: See CID 308. The DTIM Period value is still</w:t>
      </w:r>
      <w:r w:rsidR="00833E96">
        <w:t xml:space="preserve"> </w:t>
      </w:r>
      <w:r>
        <w:t>useful</w:t>
      </w:r>
      <w:proofErr w:type="gramStart"/>
      <w:r>
        <w:t>,  and</w:t>
      </w:r>
      <w:proofErr w:type="gramEnd"/>
      <w:r>
        <w:t xml:space="preserve"> we can keep it here.  Add a note that the DTIM Period is independent from any TIM Broadcast Interval(s).</w:t>
      </w:r>
    </w:p>
    <w:p w:rsidR="00833E96" w:rsidRDefault="00FF2229" w:rsidP="00644041">
      <w:pPr>
        <w:numPr>
          <w:ilvl w:val="6"/>
          <w:numId w:val="5"/>
        </w:numPr>
      </w:pPr>
      <w:r>
        <w:t>Note – The DTIM Period carried in a TIM element in a TIM frame could be unrelated to any TIM Broadcast Intervals.</w:t>
      </w:r>
    </w:p>
    <w:p w:rsidR="00833E96" w:rsidRDefault="00833E96" w:rsidP="00644041">
      <w:pPr>
        <w:numPr>
          <w:ilvl w:val="1"/>
          <w:numId w:val="5"/>
        </w:numPr>
      </w:pPr>
      <w:r>
        <w:t xml:space="preserve"> </w:t>
      </w:r>
      <w:r w:rsidR="00FF2229">
        <w:t>Proposal for next week:</w:t>
      </w:r>
    </w:p>
    <w:p w:rsidR="00FF2229" w:rsidRDefault="00FF2229" w:rsidP="00644041">
      <w:pPr>
        <w:numPr>
          <w:ilvl w:val="2"/>
          <w:numId w:val="5"/>
        </w:numPr>
      </w:pPr>
      <w:r>
        <w:t>Look at the schedule</w:t>
      </w:r>
    </w:p>
    <w:p w:rsidR="00FF2229" w:rsidRDefault="00FF2229" w:rsidP="00644041">
      <w:pPr>
        <w:numPr>
          <w:ilvl w:val="2"/>
          <w:numId w:val="5"/>
        </w:numPr>
      </w:pPr>
      <w:r>
        <w:t>For comments resolution, Mark and Jon are to solicit more input from others as possible.</w:t>
      </w:r>
    </w:p>
    <w:p w:rsidR="00FF2229" w:rsidRDefault="00FF2229" w:rsidP="00644041">
      <w:pPr>
        <w:numPr>
          <w:ilvl w:val="2"/>
          <w:numId w:val="5"/>
        </w:numPr>
      </w:pPr>
      <w:r>
        <w:t xml:space="preserve">Note that Mark R. is changing affiliations, </w:t>
      </w:r>
      <w:proofErr w:type="gramStart"/>
      <w:r>
        <w:t>and</w:t>
      </w:r>
      <w:r w:rsidR="00B332C6">
        <w:t xml:space="preserve"> </w:t>
      </w:r>
      <w:r>
        <w:t xml:space="preserve"> may</w:t>
      </w:r>
      <w:proofErr w:type="gramEnd"/>
      <w:r>
        <w:t xml:space="preserve"> not be available on the call next week.</w:t>
      </w:r>
    </w:p>
    <w:p w:rsidR="00FF2229" w:rsidRDefault="00FF2229" w:rsidP="00644041">
      <w:pPr>
        <w:numPr>
          <w:ilvl w:val="2"/>
          <w:numId w:val="5"/>
        </w:numPr>
      </w:pPr>
      <w:r>
        <w:t>Need to preannounce the comments that are targeted for the call identified a couple days ahead.</w:t>
      </w:r>
    </w:p>
    <w:p w:rsidR="00FF2229" w:rsidRDefault="00FF2229" w:rsidP="00644041">
      <w:pPr>
        <w:numPr>
          <w:ilvl w:val="2"/>
          <w:numId w:val="5"/>
        </w:numPr>
      </w:pPr>
      <w:r>
        <w:t>Need to have people look at the PHY comments and a call to focus on that topic will be determined.</w:t>
      </w:r>
    </w:p>
    <w:p w:rsidR="00B332C6" w:rsidRDefault="00B332C6" w:rsidP="00644041">
      <w:pPr>
        <w:numPr>
          <w:ilvl w:val="2"/>
          <w:numId w:val="5"/>
        </w:numPr>
      </w:pPr>
      <w:r w:rsidRPr="00B332C6">
        <w:rPr>
          <w:b/>
          <w:color w:val="FF0000"/>
        </w:rPr>
        <w:t>ACTION ITEM:</w:t>
      </w:r>
      <w:r>
        <w:t xml:space="preserve"> Dorothy/Mark H. – To Send </w:t>
      </w:r>
      <w:r w:rsidR="00FF2229">
        <w:t>A list of about 8 comments that need the PHY group to review and provide input for resolutions.</w:t>
      </w:r>
    </w:p>
    <w:p w:rsidR="00CA09B2" w:rsidRDefault="00FF2229" w:rsidP="00644041">
      <w:pPr>
        <w:numPr>
          <w:ilvl w:val="1"/>
          <w:numId w:val="5"/>
        </w:numPr>
      </w:pPr>
      <w:r>
        <w:t>Adjourned 12:00 ET.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B2A12" w:rsidRDefault="00CB2A12">
      <w:pPr>
        <w:rPr>
          <w:b/>
          <w:sz w:val="24"/>
        </w:rPr>
      </w:pPr>
      <w:r>
        <w:rPr>
          <w:b/>
          <w:sz w:val="24"/>
        </w:rPr>
        <w:t>Sept 28</w:t>
      </w:r>
      <w:r w:rsidRPr="00CB2A12">
        <w:rPr>
          <w:b/>
          <w:sz w:val="24"/>
          <w:vertAlign w:val="superscript"/>
        </w:rPr>
        <w:t>th</w:t>
      </w:r>
      <w:r>
        <w:rPr>
          <w:b/>
          <w:sz w:val="24"/>
        </w:rPr>
        <w:t>:</w:t>
      </w:r>
    </w:p>
    <w:p w:rsidR="00E2327E" w:rsidRDefault="00CB2A12">
      <w:r>
        <w:t xml:space="preserve">     </w:t>
      </w:r>
      <w:r w:rsidR="00E2327E">
        <w:t>Full Comment database file:</w:t>
      </w:r>
    </w:p>
    <w:p w:rsidR="00E2327E" w:rsidRDefault="00E2327E" w:rsidP="00E2327E">
      <w:pPr>
        <w:ind w:firstLine="720"/>
      </w:pPr>
      <w:hyperlink r:id="rId9" w:history="1">
        <w:r w:rsidRPr="00E065D9">
          <w:rPr>
            <w:rStyle w:val="Hyperlink"/>
          </w:rPr>
          <w:t>https://mentor.ieee.org/802.11/dcn/12/11-12-1082-02-0000-revmc-pre-ballot-comments.xls</w:t>
        </w:r>
      </w:hyperlink>
    </w:p>
    <w:p w:rsidR="00E2327E" w:rsidRDefault="00E2327E" w:rsidP="00E2327E">
      <w:pPr>
        <w:ind w:firstLine="720"/>
      </w:pPr>
    </w:p>
    <w:p w:rsidR="00E2327E" w:rsidRDefault="00CB2A12" w:rsidP="00CB2A12">
      <w:r>
        <w:t xml:space="preserve">     Liaison Letter referencing IANA </w:t>
      </w:r>
      <w:proofErr w:type="gramStart"/>
      <w:r>
        <w:t>IKEv1 .</w:t>
      </w:r>
      <w:proofErr w:type="gramEnd"/>
    </w:p>
    <w:p w:rsidR="00CB2A12" w:rsidRDefault="00CB2A12" w:rsidP="00CB2A12">
      <w:pPr>
        <w:ind w:firstLine="720"/>
      </w:pPr>
      <w:hyperlink r:id="rId10" w:history="1">
        <w:r w:rsidRPr="00E065D9">
          <w:rPr>
            <w:rStyle w:val="Hyperlink"/>
          </w:rPr>
          <w:t>https://mentor.ieee.org/802.11/dcn/12/11-12-0977-00-0000-liaison-to-ietf-group-repository.doc</w:t>
        </w:r>
      </w:hyperlink>
    </w:p>
    <w:p w:rsidR="00CB2A12" w:rsidRDefault="00CB2A12" w:rsidP="00CB2A12"/>
    <w:sectPr w:rsidR="00CB2A1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12" w:rsidRDefault="00E23112">
      <w:r>
        <w:separator/>
      </w:r>
    </w:p>
  </w:endnote>
  <w:endnote w:type="continuationSeparator" w:id="0">
    <w:p w:rsidR="00E23112" w:rsidRDefault="00E2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29" w:rsidRDefault="00FF222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fldSimple w:instr="page ">
      <w:r w:rsidR="00644041">
        <w:rPr>
          <w:noProof/>
        </w:rPr>
        <w:t>1</w:t>
      </w:r>
    </w:fldSimple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Jon </w:t>
    </w:r>
    <w:proofErr w:type="spellStart"/>
    <w:r>
      <w:t>Rosdahl</w:t>
    </w:r>
    <w:proofErr w:type="spellEnd"/>
    <w:r>
      <w:t>, CSR</w:t>
    </w:r>
    <w:r>
      <w:fldChar w:fldCharType="end"/>
    </w:r>
  </w:p>
  <w:p w:rsidR="00FF2229" w:rsidRDefault="00FF22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12" w:rsidRDefault="00E23112">
      <w:r>
        <w:separator/>
      </w:r>
    </w:p>
  </w:footnote>
  <w:footnote w:type="continuationSeparator" w:id="0">
    <w:p w:rsidR="00E23112" w:rsidRDefault="00E23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29" w:rsidRDefault="00FF222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Nov 2012</w:t>
    </w:r>
    <w:r>
      <w:fldChar w:fldCharType="end"/>
    </w:r>
    <w:r>
      <w:tab/>
    </w:r>
    <w:r>
      <w:tab/>
    </w:r>
    <w:fldSimple w:instr=" TITLE  \* MERGEFORMAT ">
      <w:r>
        <w:t>doc.: IEEE 802.11-12/1214r0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9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CE79D5"/>
    <w:multiLevelType w:val="hybridMultilevel"/>
    <w:tmpl w:val="4D68F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33BF3"/>
    <w:multiLevelType w:val="hybridMultilevel"/>
    <w:tmpl w:val="44EE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7E2"/>
    <w:multiLevelType w:val="hybridMultilevel"/>
    <w:tmpl w:val="F66C3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24EBE"/>
    <w:multiLevelType w:val="hybridMultilevel"/>
    <w:tmpl w:val="3720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D3729"/>
    <w:multiLevelType w:val="hybridMultilevel"/>
    <w:tmpl w:val="C80A9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06A1E"/>
    <w:multiLevelType w:val="multilevel"/>
    <w:tmpl w:val="A70E46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C3558DD"/>
    <w:multiLevelType w:val="hybridMultilevel"/>
    <w:tmpl w:val="BAD8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965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2474170"/>
    <w:multiLevelType w:val="hybridMultilevel"/>
    <w:tmpl w:val="647A1044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>
    <w:nsid w:val="5F3A11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2EA7D60"/>
    <w:multiLevelType w:val="hybridMultilevel"/>
    <w:tmpl w:val="0D68A9C0"/>
    <w:lvl w:ilvl="0" w:tplc="FD0406D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>
    <w:nsid w:val="6B317C72"/>
    <w:multiLevelType w:val="multilevel"/>
    <w:tmpl w:val="85BE6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45E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837C3A"/>
    <w:multiLevelType w:val="hybridMultilevel"/>
    <w:tmpl w:val="127C8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intFractionalCharacterWidth/>
  <w:mirrorMargins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CCA"/>
    <w:rsid w:val="0006546C"/>
    <w:rsid w:val="001D723B"/>
    <w:rsid w:val="0024569F"/>
    <w:rsid w:val="0029020B"/>
    <w:rsid w:val="002D44BE"/>
    <w:rsid w:val="00442037"/>
    <w:rsid w:val="00474C72"/>
    <w:rsid w:val="004A5395"/>
    <w:rsid w:val="00603D08"/>
    <w:rsid w:val="0062440B"/>
    <w:rsid w:val="00644041"/>
    <w:rsid w:val="006959A7"/>
    <w:rsid w:val="006C0727"/>
    <w:rsid w:val="006E145F"/>
    <w:rsid w:val="00770572"/>
    <w:rsid w:val="00792D13"/>
    <w:rsid w:val="007B159F"/>
    <w:rsid w:val="00833E96"/>
    <w:rsid w:val="008B28C9"/>
    <w:rsid w:val="00A50F66"/>
    <w:rsid w:val="00AA427C"/>
    <w:rsid w:val="00AA7286"/>
    <w:rsid w:val="00AF43CD"/>
    <w:rsid w:val="00B332C6"/>
    <w:rsid w:val="00B90ED3"/>
    <w:rsid w:val="00BB6CCA"/>
    <w:rsid w:val="00BE68C2"/>
    <w:rsid w:val="00C93772"/>
    <w:rsid w:val="00CA09B2"/>
    <w:rsid w:val="00CB2A12"/>
    <w:rsid w:val="00CB34EA"/>
    <w:rsid w:val="00CC19AD"/>
    <w:rsid w:val="00D00D8F"/>
    <w:rsid w:val="00D07212"/>
    <w:rsid w:val="00DC5A7B"/>
    <w:rsid w:val="00E23112"/>
    <w:rsid w:val="00E2327E"/>
    <w:rsid w:val="00E91FF8"/>
    <w:rsid w:val="00F23D4E"/>
    <w:rsid w:val="00F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E9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F43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F43C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2/11-12-1082-02-0000-revmc-pre-ballot-comments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2/11-12-0977-00-0000-liaison-to-ietf-group-repository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2/11-12-1082-02-0000-revmc-pre-ballot-comments.xl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9F1E7-3CD7-4279-AB0E-015EFB55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802.11-12/1214r0</vt:lpstr>
    </vt:vector>
  </TitlesOfParts>
  <Company>Some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802.11-12/1214r0</dc:title>
  <dc:subject>Minutes</dc:subject>
  <dc:creator>Jon Rosdahl</dc:creator>
  <cp:keywords>Nov 2012</cp:keywords>
  <dc:description>Jon Rosdahl, CSR</dc:description>
  <cp:lastModifiedBy>jr05</cp:lastModifiedBy>
  <cp:revision>3</cp:revision>
  <cp:lastPrinted>1601-01-01T00:00:00Z</cp:lastPrinted>
  <dcterms:created xsi:type="dcterms:W3CDTF">2012-10-05T17:40:00Z</dcterms:created>
  <dcterms:modified xsi:type="dcterms:W3CDTF">2012-10-05T18:01:00Z</dcterms:modified>
</cp:coreProperties>
</file>