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D6C66" w14:textId="77777777" w:rsidR="003B5DD2" w:rsidRPr="0056577C" w:rsidRDefault="00A434EF" w:rsidP="003B5DD2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182"/>
        <w:gridCol w:w="3260"/>
        <w:gridCol w:w="1620"/>
        <w:gridCol w:w="2178"/>
      </w:tblGrid>
      <w:tr w:rsidR="00A434EF" w:rsidRPr="0056577C" w14:paraId="2764565F" w14:textId="77777777" w:rsidTr="000A261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54699C" w14:textId="6F003FA2" w:rsidR="00A434EF" w:rsidRPr="0056577C" w:rsidRDefault="00D4549E" w:rsidP="0094213D">
            <w:pPr>
              <w:pStyle w:val="T2"/>
            </w:pPr>
            <w:r>
              <w:t>CID 6448</w:t>
            </w:r>
          </w:p>
        </w:tc>
      </w:tr>
      <w:tr w:rsidR="00A434EF" w:rsidRPr="0056577C" w14:paraId="2255CB12" w14:textId="77777777" w:rsidTr="000A261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F52460A" w14:textId="77777777" w:rsidR="00A434EF" w:rsidRPr="0056577C" w:rsidRDefault="00A434EF" w:rsidP="000A2611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="006B586E">
              <w:rPr>
                <w:b w:val="0"/>
                <w:sz w:val="20"/>
                <w:lang w:eastAsia="ko-KR"/>
              </w:rPr>
              <w:t>2</w:t>
            </w:r>
            <w:r w:rsidRPr="0056577C">
              <w:rPr>
                <w:b w:val="0"/>
                <w:sz w:val="20"/>
              </w:rPr>
              <w:t>-0</w:t>
            </w:r>
            <w:r w:rsidR="006B586E">
              <w:rPr>
                <w:b w:val="0"/>
                <w:sz w:val="20"/>
                <w:lang w:eastAsia="ko-KR"/>
              </w:rPr>
              <w:t>8</w:t>
            </w:r>
            <w:r w:rsidRPr="0056577C">
              <w:rPr>
                <w:b w:val="0"/>
                <w:sz w:val="20"/>
              </w:rPr>
              <w:t>-</w:t>
            </w:r>
            <w:r w:rsidR="006B586E">
              <w:rPr>
                <w:b w:val="0"/>
                <w:sz w:val="20"/>
                <w:lang w:eastAsia="ko-KR"/>
              </w:rPr>
              <w:t>28</w:t>
            </w:r>
          </w:p>
        </w:tc>
      </w:tr>
      <w:tr w:rsidR="00A434EF" w:rsidRPr="0056577C" w14:paraId="7CED5AA0" w14:textId="77777777" w:rsidTr="000A261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5C386C" w14:textId="77777777" w:rsidR="00A434EF" w:rsidRPr="0056577C" w:rsidRDefault="00A434EF" w:rsidP="000A261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A434EF" w:rsidRPr="0056577C" w14:paraId="54543999" w14:textId="77777777" w:rsidTr="00D4549E">
        <w:trPr>
          <w:jc w:val="center"/>
        </w:trPr>
        <w:tc>
          <w:tcPr>
            <w:tcW w:w="1336" w:type="dxa"/>
            <w:vAlign w:val="center"/>
          </w:tcPr>
          <w:p w14:paraId="38BAB2B2" w14:textId="77777777" w:rsidR="00A434EF" w:rsidRPr="0056577C" w:rsidRDefault="00A434EF" w:rsidP="000A261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14:paraId="6D663931" w14:textId="77777777" w:rsidR="00A434EF" w:rsidRPr="0056577C" w:rsidRDefault="00A434EF" w:rsidP="000A261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260" w:type="dxa"/>
            <w:vAlign w:val="center"/>
          </w:tcPr>
          <w:p w14:paraId="05AD078A" w14:textId="77777777" w:rsidR="00A434EF" w:rsidRPr="0056577C" w:rsidRDefault="00A434EF" w:rsidP="000A261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5A06DAA0" w14:textId="77777777" w:rsidR="00A434EF" w:rsidRPr="0056577C" w:rsidRDefault="00A434EF" w:rsidP="000A261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14:paraId="53FE0D62" w14:textId="77777777" w:rsidR="00A434EF" w:rsidRPr="0056577C" w:rsidRDefault="001667FD" w:rsidP="000A261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</w:t>
            </w:r>
            <w:r w:rsidR="00A434EF" w:rsidRPr="0056577C">
              <w:rPr>
                <w:sz w:val="20"/>
              </w:rPr>
              <w:t>mail</w:t>
            </w:r>
          </w:p>
        </w:tc>
      </w:tr>
      <w:tr w:rsidR="00A434EF" w:rsidRPr="0056577C" w14:paraId="7DA0CABF" w14:textId="77777777" w:rsidTr="00D4549E">
        <w:trPr>
          <w:jc w:val="center"/>
        </w:trPr>
        <w:tc>
          <w:tcPr>
            <w:tcW w:w="1336" w:type="dxa"/>
            <w:vAlign w:val="center"/>
          </w:tcPr>
          <w:p w14:paraId="3E3289FC" w14:textId="77777777" w:rsidR="00A434EF" w:rsidRPr="0056577C" w:rsidRDefault="00A434EF" w:rsidP="000A26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14:paraId="33E45580" w14:textId="349CCB5C" w:rsidR="00A434EF" w:rsidRPr="0056577C" w:rsidRDefault="00D4549E" w:rsidP="000A26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Qualcomm </w:t>
            </w:r>
          </w:p>
        </w:tc>
        <w:tc>
          <w:tcPr>
            <w:tcW w:w="3260" w:type="dxa"/>
            <w:vAlign w:val="center"/>
          </w:tcPr>
          <w:p w14:paraId="59B0D7E1" w14:textId="77777777" w:rsidR="008118B5" w:rsidRDefault="008118B5" w:rsidP="000A26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056BE68" w14:textId="77777777" w:rsidR="00A434EF" w:rsidRPr="0056577C" w:rsidRDefault="008118B5" w:rsidP="000A26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92109</w:t>
            </w:r>
          </w:p>
        </w:tc>
        <w:tc>
          <w:tcPr>
            <w:tcW w:w="1620" w:type="dxa"/>
            <w:vAlign w:val="center"/>
          </w:tcPr>
          <w:p w14:paraId="4AD39CA8" w14:textId="77777777" w:rsidR="00A434EF" w:rsidRPr="0056577C" w:rsidRDefault="008118B5" w:rsidP="000A26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2178" w:type="dxa"/>
            <w:vAlign w:val="center"/>
          </w:tcPr>
          <w:p w14:paraId="332DC30E" w14:textId="77777777" w:rsidR="00A434EF" w:rsidRPr="0056577C" w:rsidRDefault="00A05FCC" w:rsidP="000A261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E845BC" w:rsidRPr="00B918F8">
                <w:rPr>
                  <w:rStyle w:val="Hyperlink"/>
                  <w:b w:val="0"/>
                  <w:sz w:val="16"/>
                </w:rPr>
                <w:t>smerlin@qualcomm.com</w:t>
              </w:r>
            </w:hyperlink>
          </w:p>
        </w:tc>
      </w:tr>
      <w:tr w:rsidR="00D4549E" w:rsidRPr="0056577C" w14:paraId="35527B70" w14:textId="77777777" w:rsidTr="00D4549E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B74D" w14:textId="3D2CE600" w:rsidR="00D4549E" w:rsidRPr="0056577C" w:rsidRDefault="00D4549E" w:rsidP="00740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Menzo Wentink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DAEA" w14:textId="429D4B19" w:rsidR="00D4549E" w:rsidRPr="0056577C" w:rsidRDefault="00D4549E" w:rsidP="00740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Qualcomm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8BE0" w14:textId="13069704" w:rsidR="00D4549E" w:rsidRPr="0056577C" w:rsidRDefault="00D4549E" w:rsidP="00740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CB1F" w14:textId="7769058B" w:rsidR="00D4549E" w:rsidRPr="0056577C" w:rsidRDefault="00D4549E" w:rsidP="00740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75A8" w14:textId="7DCFD438" w:rsidR="00D4549E" w:rsidRPr="00D4549E" w:rsidRDefault="00A05FCC" w:rsidP="00D4549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D4549E" w:rsidRPr="00D4549E">
                <w:rPr>
                  <w:rStyle w:val="Hyperlink"/>
                  <w:b w:val="0"/>
                  <w:sz w:val="16"/>
                </w:rPr>
                <w:t>mwentink@qualcomm.com</w:t>
              </w:r>
            </w:hyperlink>
          </w:p>
          <w:p w14:paraId="3DD52753" w14:textId="112D52E2" w:rsidR="00D4549E" w:rsidRPr="00D4549E" w:rsidRDefault="00D4549E" w:rsidP="00D4549E">
            <w:pPr>
              <w:pStyle w:val="T2"/>
              <w:spacing w:after="0"/>
              <w:ind w:left="0" w:right="0"/>
              <w:rPr>
                <w:sz w:val="16"/>
              </w:rPr>
            </w:pPr>
          </w:p>
        </w:tc>
      </w:tr>
    </w:tbl>
    <w:p w14:paraId="1C8EF959" w14:textId="77777777" w:rsidR="003A1593" w:rsidRDefault="003A1593" w:rsidP="00A434EF">
      <w:pPr>
        <w:pStyle w:val="T1"/>
        <w:spacing w:after="120"/>
        <w:rPr>
          <w:sz w:val="22"/>
        </w:rPr>
      </w:pPr>
    </w:p>
    <w:p w14:paraId="34009DD4" w14:textId="77777777" w:rsidR="001667FD" w:rsidRPr="00873BDA" w:rsidRDefault="001667FD" w:rsidP="00A434EF">
      <w:pPr>
        <w:pStyle w:val="T1"/>
        <w:spacing w:after="120"/>
        <w:rPr>
          <w:szCs w:val="28"/>
        </w:rPr>
      </w:pPr>
      <w:r w:rsidRPr="00873BDA">
        <w:rPr>
          <w:szCs w:val="28"/>
        </w:rPr>
        <w:t>Abstract</w:t>
      </w:r>
    </w:p>
    <w:p w14:paraId="16B3A755" w14:textId="77777777" w:rsidR="00160CD4" w:rsidRDefault="00160CD4" w:rsidP="00160CD4">
      <w:pPr>
        <w:pStyle w:val="Heading1"/>
        <w:numPr>
          <w:ilvl w:val="0"/>
          <w:numId w:val="0"/>
        </w:numPr>
        <w:ind w:left="43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861"/>
        <w:gridCol w:w="550"/>
        <w:gridCol w:w="328"/>
        <w:gridCol w:w="985"/>
        <w:gridCol w:w="3378"/>
        <w:gridCol w:w="2284"/>
        <w:gridCol w:w="528"/>
      </w:tblGrid>
      <w:tr w:rsidR="004872C8" w:rsidRPr="0020785E" w14:paraId="6CD27AF4" w14:textId="77777777" w:rsidTr="008A50DE">
        <w:trPr>
          <w:trHeight w:val="2240"/>
        </w:trPr>
        <w:tc>
          <w:tcPr>
            <w:tcW w:w="0" w:type="auto"/>
          </w:tcPr>
          <w:p w14:paraId="05272F24" w14:textId="77777777" w:rsidR="004872C8" w:rsidRPr="0020785E" w:rsidRDefault="004872C8" w:rsidP="002078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6448</w:t>
            </w:r>
          </w:p>
        </w:tc>
        <w:tc>
          <w:tcPr>
            <w:tcW w:w="0" w:type="auto"/>
            <w:shd w:val="clear" w:color="auto" w:fill="auto"/>
            <w:hideMark/>
          </w:tcPr>
          <w:p w14:paraId="4B482197" w14:textId="77777777" w:rsidR="004872C8" w:rsidRPr="0020785E" w:rsidRDefault="004872C8" w:rsidP="002078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85E">
              <w:rPr>
                <w:rFonts w:ascii="Arial" w:eastAsia="Times New Roman" w:hAnsi="Arial" w:cs="Arial"/>
                <w:sz w:val="20"/>
                <w:szCs w:val="20"/>
              </w:rPr>
              <w:t>Mark RISON</w:t>
            </w:r>
          </w:p>
        </w:tc>
        <w:tc>
          <w:tcPr>
            <w:tcW w:w="0" w:type="auto"/>
            <w:shd w:val="clear" w:color="auto" w:fill="auto"/>
            <w:hideMark/>
          </w:tcPr>
          <w:p w14:paraId="293D6976" w14:textId="77777777" w:rsidR="004872C8" w:rsidRPr="0020785E" w:rsidRDefault="004872C8" w:rsidP="0020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85E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0" w:type="auto"/>
            <w:shd w:val="clear" w:color="auto" w:fill="auto"/>
            <w:hideMark/>
          </w:tcPr>
          <w:p w14:paraId="340391E9" w14:textId="77777777" w:rsidR="004872C8" w:rsidRPr="0020785E" w:rsidRDefault="004872C8" w:rsidP="002078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785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08015A69" w14:textId="77777777" w:rsidR="004872C8" w:rsidRPr="0020785E" w:rsidRDefault="004872C8" w:rsidP="002078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85E">
              <w:rPr>
                <w:rFonts w:ascii="Arial" w:eastAsia="Times New Roman" w:hAnsi="Arial" w:cs="Arial"/>
                <w:sz w:val="20"/>
                <w:szCs w:val="20"/>
              </w:rPr>
              <w:t xml:space="preserve">Steps should be taken to ensure that a </w:t>
            </w:r>
            <w:proofErr w:type="spellStart"/>
            <w:r w:rsidRPr="0020785E">
              <w:rPr>
                <w:rFonts w:ascii="Arial" w:eastAsia="Times New Roman" w:hAnsi="Arial" w:cs="Arial"/>
                <w:sz w:val="20"/>
                <w:szCs w:val="20"/>
              </w:rPr>
              <w:t>BFee</w:t>
            </w:r>
            <w:proofErr w:type="spellEnd"/>
            <w:r w:rsidRPr="0020785E">
              <w:rPr>
                <w:rFonts w:ascii="Arial" w:eastAsia="Times New Roman" w:hAnsi="Arial" w:cs="Arial"/>
                <w:sz w:val="20"/>
                <w:szCs w:val="20"/>
              </w:rPr>
              <w:t xml:space="preserve"> does not violate a non-zero TXOP Limit</w:t>
            </w:r>
          </w:p>
        </w:tc>
        <w:tc>
          <w:tcPr>
            <w:tcW w:w="0" w:type="auto"/>
            <w:shd w:val="clear" w:color="auto" w:fill="auto"/>
            <w:hideMark/>
          </w:tcPr>
          <w:p w14:paraId="36F61B8D" w14:textId="77777777" w:rsidR="004872C8" w:rsidRPr="0020785E" w:rsidRDefault="004872C8" w:rsidP="002078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85E">
              <w:rPr>
                <w:rFonts w:ascii="Arial" w:eastAsia="Times New Roman" w:hAnsi="Arial" w:cs="Arial"/>
                <w:sz w:val="20"/>
                <w:szCs w:val="20"/>
              </w:rPr>
              <w:t>One of more of the following options, among other options, might be suitable</w:t>
            </w:r>
            <w:proofErr w:type="gramStart"/>
            <w:r w:rsidRPr="0020785E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proofErr w:type="gramEnd"/>
            <w:r w:rsidRPr="0020785E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20785E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Option 1: a </w:t>
            </w:r>
            <w:proofErr w:type="spellStart"/>
            <w:r w:rsidRPr="0020785E">
              <w:rPr>
                <w:rFonts w:ascii="Arial" w:eastAsia="Times New Roman" w:hAnsi="Arial" w:cs="Arial"/>
                <w:sz w:val="20"/>
                <w:szCs w:val="20"/>
              </w:rPr>
              <w:t>BFee</w:t>
            </w:r>
            <w:proofErr w:type="spellEnd"/>
            <w:r w:rsidRPr="0020785E">
              <w:rPr>
                <w:rFonts w:ascii="Arial" w:eastAsia="Times New Roman" w:hAnsi="Arial" w:cs="Arial"/>
                <w:sz w:val="20"/>
                <w:szCs w:val="20"/>
              </w:rPr>
              <w:t xml:space="preserve"> shall not transmit any response if it would not fit in the remaining TXNAV duration (from the Duration field(s) of the frame(s) transmitted by the </w:t>
            </w:r>
            <w:proofErr w:type="spellStart"/>
            <w:r w:rsidRPr="0020785E">
              <w:rPr>
                <w:rFonts w:ascii="Arial" w:eastAsia="Times New Roman" w:hAnsi="Arial" w:cs="Arial"/>
                <w:sz w:val="20"/>
                <w:szCs w:val="20"/>
              </w:rPr>
              <w:t>BFer</w:t>
            </w:r>
            <w:proofErr w:type="spellEnd"/>
            <w:r w:rsidRPr="0020785E">
              <w:rPr>
                <w:rFonts w:ascii="Arial" w:eastAsia="Times New Roman" w:hAnsi="Arial" w:cs="Arial"/>
                <w:sz w:val="20"/>
                <w:szCs w:val="20"/>
              </w:rPr>
              <w:t xml:space="preserve">), suitably selecting the grouping, codebook and (for SU) </w:t>
            </w:r>
            <w:proofErr w:type="spellStart"/>
            <w:r w:rsidRPr="0020785E">
              <w:rPr>
                <w:rFonts w:ascii="Arial" w:eastAsia="Times New Roman" w:hAnsi="Arial" w:cs="Arial"/>
                <w:sz w:val="20"/>
                <w:szCs w:val="20"/>
              </w:rPr>
              <w:t>Nc</w:t>
            </w:r>
            <w:proofErr w:type="spellEnd"/>
            <w:r w:rsidRPr="0020785E">
              <w:rPr>
                <w:rFonts w:ascii="Arial" w:eastAsia="Times New Roman" w:hAnsi="Arial" w:cs="Arial"/>
                <w:sz w:val="20"/>
                <w:szCs w:val="20"/>
              </w:rPr>
              <w:t xml:space="preserve">.  If no combination will fit, then the </w:t>
            </w:r>
            <w:proofErr w:type="spellStart"/>
            <w:r w:rsidRPr="0020785E">
              <w:rPr>
                <w:rFonts w:ascii="Arial" w:eastAsia="Times New Roman" w:hAnsi="Arial" w:cs="Arial"/>
                <w:sz w:val="20"/>
                <w:szCs w:val="20"/>
              </w:rPr>
              <w:t>BFee</w:t>
            </w:r>
            <w:proofErr w:type="spellEnd"/>
            <w:r w:rsidRPr="0020785E">
              <w:rPr>
                <w:rFonts w:ascii="Arial" w:eastAsia="Times New Roman" w:hAnsi="Arial" w:cs="Arial"/>
                <w:sz w:val="20"/>
                <w:szCs w:val="20"/>
              </w:rPr>
              <w:t xml:space="preserve"> shall send a "null" </w:t>
            </w:r>
            <w:proofErr w:type="spellStart"/>
            <w:r w:rsidRPr="0020785E">
              <w:rPr>
                <w:rFonts w:ascii="Arial" w:eastAsia="Times New Roman" w:hAnsi="Arial" w:cs="Arial"/>
                <w:sz w:val="20"/>
                <w:szCs w:val="20"/>
              </w:rPr>
              <w:t>beamforming</w:t>
            </w:r>
            <w:proofErr w:type="spellEnd"/>
            <w:r w:rsidRPr="0020785E">
              <w:rPr>
                <w:rFonts w:ascii="Arial" w:eastAsia="Times New Roman" w:hAnsi="Arial" w:cs="Arial"/>
                <w:sz w:val="20"/>
                <w:szCs w:val="20"/>
              </w:rPr>
              <w:t xml:space="preserve"> report.  If this won't fit, then the </w:t>
            </w:r>
            <w:proofErr w:type="spellStart"/>
            <w:r w:rsidRPr="0020785E">
              <w:rPr>
                <w:rFonts w:ascii="Arial" w:eastAsia="Times New Roman" w:hAnsi="Arial" w:cs="Arial"/>
                <w:sz w:val="20"/>
                <w:szCs w:val="20"/>
              </w:rPr>
              <w:t>BFee</w:t>
            </w:r>
            <w:proofErr w:type="spellEnd"/>
            <w:r w:rsidRPr="0020785E">
              <w:rPr>
                <w:rFonts w:ascii="Arial" w:eastAsia="Times New Roman" w:hAnsi="Arial" w:cs="Arial"/>
                <w:sz w:val="20"/>
                <w:szCs w:val="20"/>
              </w:rPr>
              <w:t xml:space="preserve"> shall not transmit any response</w:t>
            </w:r>
            <w:r w:rsidRPr="0020785E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20785E">
              <w:rPr>
                <w:rFonts w:ascii="Arial" w:eastAsia="Times New Roman" w:hAnsi="Arial" w:cs="Arial"/>
                <w:sz w:val="20"/>
                <w:szCs w:val="20"/>
              </w:rPr>
              <w:br/>
              <w:t>Option 2: same as option 1 but just a "should use grouping etc. to make it fit"</w:t>
            </w:r>
            <w:r w:rsidRPr="0020785E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20785E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Option 3: the </w:t>
            </w:r>
            <w:proofErr w:type="spellStart"/>
            <w:r w:rsidRPr="0020785E">
              <w:rPr>
                <w:rFonts w:ascii="Arial" w:eastAsia="Times New Roman" w:hAnsi="Arial" w:cs="Arial"/>
                <w:sz w:val="20"/>
                <w:szCs w:val="20"/>
              </w:rPr>
              <w:t>BFer</w:t>
            </w:r>
            <w:proofErr w:type="spellEnd"/>
            <w:r w:rsidRPr="0020785E">
              <w:rPr>
                <w:rFonts w:ascii="Arial" w:eastAsia="Times New Roman" w:hAnsi="Arial" w:cs="Arial"/>
                <w:sz w:val="20"/>
                <w:szCs w:val="20"/>
              </w:rPr>
              <w:t xml:space="preserve"> shall use the </w:t>
            </w:r>
            <w:proofErr w:type="spellStart"/>
            <w:r w:rsidRPr="0020785E">
              <w:rPr>
                <w:rFonts w:ascii="Arial" w:eastAsia="Times New Roman" w:hAnsi="Arial" w:cs="Arial"/>
                <w:sz w:val="20"/>
                <w:szCs w:val="20"/>
              </w:rPr>
              <w:t>BFee's</w:t>
            </w:r>
            <w:proofErr w:type="spellEnd"/>
            <w:r w:rsidRPr="0020785E">
              <w:rPr>
                <w:rFonts w:ascii="Arial" w:eastAsia="Times New Roman" w:hAnsi="Arial" w:cs="Arial"/>
                <w:sz w:val="20"/>
                <w:szCs w:val="20"/>
              </w:rPr>
              <w:t xml:space="preserve"> BF response history to determine what request is likely to result in a response which fits (a bit wooly!)</w:t>
            </w:r>
            <w:r w:rsidRPr="0020785E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20785E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Option 4: the </w:t>
            </w:r>
            <w:proofErr w:type="spellStart"/>
            <w:r w:rsidRPr="0020785E">
              <w:rPr>
                <w:rFonts w:ascii="Arial" w:eastAsia="Times New Roman" w:hAnsi="Arial" w:cs="Arial"/>
                <w:sz w:val="20"/>
                <w:szCs w:val="20"/>
              </w:rPr>
              <w:t>BFer</w:t>
            </w:r>
            <w:proofErr w:type="spellEnd"/>
            <w:r w:rsidRPr="0020785E">
              <w:rPr>
                <w:rFonts w:ascii="Arial" w:eastAsia="Times New Roman" w:hAnsi="Arial" w:cs="Arial"/>
                <w:sz w:val="20"/>
                <w:szCs w:val="20"/>
              </w:rPr>
              <w:t xml:space="preserve"> shall, unless the duration estimate is such that the TXOP Limit cannot be violated, only do BF frame exchanges (NDPA NDP VCB [BRP VCB]*) at the start of a TXOP and shall not transmit a frame if the TXOP Limit has been violated (e.g. need to do </w:t>
            </w:r>
            <w:r w:rsidRPr="0020785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the [BRP VCB] in a subsequent TXOP)</w:t>
            </w:r>
            <w:r w:rsidRPr="0020785E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20785E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Option 5: the </w:t>
            </w:r>
            <w:proofErr w:type="spellStart"/>
            <w:r w:rsidRPr="0020785E">
              <w:rPr>
                <w:rFonts w:ascii="Arial" w:eastAsia="Times New Roman" w:hAnsi="Arial" w:cs="Arial"/>
                <w:sz w:val="20"/>
                <w:szCs w:val="20"/>
              </w:rPr>
              <w:t>BFee</w:t>
            </w:r>
            <w:proofErr w:type="spellEnd"/>
            <w:r w:rsidRPr="0020785E">
              <w:rPr>
                <w:rFonts w:ascii="Arial" w:eastAsia="Times New Roman" w:hAnsi="Arial" w:cs="Arial"/>
                <w:sz w:val="20"/>
                <w:szCs w:val="20"/>
              </w:rPr>
              <w:t xml:space="preserve"> shall not choose MCS/grouping/codebook/</w:t>
            </w:r>
            <w:proofErr w:type="spellStart"/>
            <w:r w:rsidRPr="0020785E">
              <w:rPr>
                <w:rFonts w:ascii="Arial" w:eastAsia="Times New Roman" w:hAnsi="Arial" w:cs="Arial"/>
                <w:sz w:val="20"/>
                <w:szCs w:val="20"/>
              </w:rPr>
              <w:t>Nc</w:t>
            </w:r>
            <w:proofErr w:type="spellEnd"/>
            <w:r w:rsidRPr="0020785E">
              <w:rPr>
                <w:rFonts w:ascii="Arial" w:eastAsia="Times New Roman" w:hAnsi="Arial" w:cs="Arial"/>
                <w:sz w:val="20"/>
                <w:szCs w:val="20"/>
              </w:rPr>
              <w:t xml:space="preserve"> which would result in a duration greater than that which the </w:t>
            </w:r>
            <w:proofErr w:type="spellStart"/>
            <w:r w:rsidRPr="0020785E">
              <w:rPr>
                <w:rFonts w:ascii="Arial" w:eastAsia="Times New Roman" w:hAnsi="Arial" w:cs="Arial"/>
                <w:sz w:val="20"/>
                <w:szCs w:val="20"/>
              </w:rPr>
              <w:t>BFee</w:t>
            </w:r>
            <w:proofErr w:type="spellEnd"/>
            <w:r w:rsidRPr="0020785E">
              <w:rPr>
                <w:rFonts w:ascii="Arial" w:eastAsia="Times New Roman" w:hAnsi="Arial" w:cs="Arial"/>
                <w:sz w:val="20"/>
                <w:szCs w:val="20"/>
              </w:rPr>
              <w:t xml:space="preserve"> would estimate (based on the 8.2.5.2 rules)</w:t>
            </w:r>
          </w:p>
        </w:tc>
        <w:tc>
          <w:tcPr>
            <w:tcW w:w="0" w:type="auto"/>
          </w:tcPr>
          <w:p w14:paraId="1A8BCCE9" w14:textId="77777777" w:rsidR="004872C8" w:rsidRDefault="004872C8" w:rsidP="002078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Reject</w:t>
            </w:r>
            <w:r w:rsidR="008A50D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0040D493" w14:textId="77777777" w:rsidR="008A50DE" w:rsidRDefault="008A50DE" w:rsidP="008A50DE">
            <w:pPr>
              <w:rPr>
                <w:lang w:val="en-GB"/>
              </w:rPr>
            </w:pPr>
          </w:p>
          <w:p w14:paraId="5227BB48" w14:textId="77777777" w:rsidR="008A50DE" w:rsidRDefault="008A50DE" w:rsidP="008A50DE">
            <w:pPr>
              <w:rPr>
                <w:lang w:val="en-GB"/>
              </w:rPr>
            </w:pPr>
            <w:r>
              <w:rPr>
                <w:lang w:val="en-GB"/>
              </w:rPr>
              <w:t xml:space="preserve">Existing baseline indicates that responder is not responsible for correctness of TXOP limits; baseline also enables transmitter to do smart adaptation of the NAV settings based on the expected response; baseline also allows </w:t>
            </w:r>
            <w:proofErr w:type="spellStart"/>
            <w:r>
              <w:rPr>
                <w:lang w:val="en-GB"/>
              </w:rPr>
              <w:t>BFer</w:t>
            </w:r>
            <w:proofErr w:type="spellEnd"/>
            <w:r>
              <w:rPr>
                <w:lang w:val="en-GB"/>
              </w:rPr>
              <w:t xml:space="preserve"> to set a conservative NAV and cancel it. Implementation should choose the preferred approach. </w:t>
            </w:r>
          </w:p>
          <w:p w14:paraId="0E5C0698" w14:textId="111DBADA" w:rsidR="00B116DA" w:rsidRPr="0020785E" w:rsidRDefault="00B116DA" w:rsidP="002C65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B75AF49" w14:textId="77777777" w:rsidR="004872C8" w:rsidRPr="0020785E" w:rsidRDefault="004872C8" w:rsidP="002078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MU</w:t>
            </w:r>
          </w:p>
        </w:tc>
      </w:tr>
    </w:tbl>
    <w:p w14:paraId="61C3D128" w14:textId="45E6D6EC" w:rsidR="00291E16" w:rsidRDefault="0020785E" w:rsidP="0020785E">
      <w:pPr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0785E">
        <w:rPr>
          <w:rFonts w:ascii="Arial" w:eastAsia="Times New Roman" w:hAnsi="Arial" w:cs="Arial"/>
          <w:sz w:val="20"/>
          <w:szCs w:val="20"/>
        </w:rPr>
        <w:lastRenderedPageBreak/>
        <w:br/>
      </w:r>
    </w:p>
    <w:p w14:paraId="303BE8BD" w14:textId="77777777" w:rsidR="00A074FE" w:rsidRPr="00291E16" w:rsidRDefault="00A074FE" w:rsidP="0020785E">
      <w:pPr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91E16">
        <w:rPr>
          <w:rFonts w:ascii="Arial" w:eastAsia="Times New Roman" w:hAnsi="Arial" w:cs="Arial"/>
          <w:b/>
          <w:sz w:val="20"/>
          <w:szCs w:val="20"/>
          <w:u w:val="single"/>
        </w:rPr>
        <w:t>Discussion</w:t>
      </w:r>
    </w:p>
    <w:p w14:paraId="055C6225" w14:textId="77777777" w:rsidR="00A074FE" w:rsidRPr="00A074FE" w:rsidRDefault="00A074FE" w:rsidP="0020785E">
      <w:pPr>
        <w:rPr>
          <w:rFonts w:ascii="Arial" w:eastAsia="Times New Roman" w:hAnsi="Arial" w:cs="Arial"/>
          <w:sz w:val="20"/>
          <w:szCs w:val="20"/>
          <w:u w:val="single"/>
        </w:rPr>
      </w:pPr>
    </w:p>
    <w:p w14:paraId="442DE3DB" w14:textId="77777777" w:rsidR="0020785E" w:rsidRPr="00291E16" w:rsidRDefault="0020785E" w:rsidP="00291E16">
      <w:pPr>
        <w:ind w:left="720"/>
        <w:rPr>
          <w:rFonts w:ascii="Arial" w:eastAsia="Times New Roman" w:hAnsi="Arial" w:cs="Arial"/>
          <w:i/>
          <w:sz w:val="20"/>
          <w:szCs w:val="20"/>
        </w:rPr>
      </w:pPr>
      <w:r w:rsidRPr="0020785E">
        <w:rPr>
          <w:rFonts w:ascii="Arial" w:eastAsia="Times New Roman" w:hAnsi="Arial" w:cs="Arial"/>
          <w:i/>
          <w:sz w:val="20"/>
          <w:szCs w:val="20"/>
        </w:rPr>
        <w:t xml:space="preserve">Option 1: a </w:t>
      </w:r>
      <w:proofErr w:type="spellStart"/>
      <w:r w:rsidRPr="0020785E">
        <w:rPr>
          <w:rFonts w:ascii="Arial" w:eastAsia="Times New Roman" w:hAnsi="Arial" w:cs="Arial"/>
          <w:i/>
          <w:sz w:val="20"/>
          <w:szCs w:val="20"/>
        </w:rPr>
        <w:t>BFee</w:t>
      </w:r>
      <w:proofErr w:type="spellEnd"/>
      <w:r w:rsidRPr="0020785E">
        <w:rPr>
          <w:rFonts w:ascii="Arial" w:eastAsia="Times New Roman" w:hAnsi="Arial" w:cs="Arial"/>
          <w:i/>
          <w:sz w:val="20"/>
          <w:szCs w:val="20"/>
        </w:rPr>
        <w:t xml:space="preserve"> shall not transmit any response if it would not fit in the remaining TXNAV duration (from the Duration field(s) of the frame(s) transmitted by the </w:t>
      </w:r>
      <w:proofErr w:type="spellStart"/>
      <w:r w:rsidRPr="0020785E">
        <w:rPr>
          <w:rFonts w:ascii="Arial" w:eastAsia="Times New Roman" w:hAnsi="Arial" w:cs="Arial"/>
          <w:i/>
          <w:sz w:val="20"/>
          <w:szCs w:val="20"/>
        </w:rPr>
        <w:t>BFer</w:t>
      </w:r>
      <w:proofErr w:type="spellEnd"/>
      <w:r w:rsidRPr="0020785E">
        <w:rPr>
          <w:rFonts w:ascii="Arial" w:eastAsia="Times New Roman" w:hAnsi="Arial" w:cs="Arial"/>
          <w:i/>
          <w:sz w:val="20"/>
          <w:szCs w:val="20"/>
        </w:rPr>
        <w:t xml:space="preserve">), suitably selecting the grouping, codebook and (for SU) </w:t>
      </w:r>
      <w:proofErr w:type="spellStart"/>
      <w:proofErr w:type="gramStart"/>
      <w:r w:rsidRPr="0020785E">
        <w:rPr>
          <w:rFonts w:ascii="Arial" w:eastAsia="Times New Roman" w:hAnsi="Arial" w:cs="Arial"/>
          <w:i/>
          <w:sz w:val="20"/>
          <w:szCs w:val="20"/>
        </w:rPr>
        <w:t>Nc</w:t>
      </w:r>
      <w:proofErr w:type="spellEnd"/>
      <w:proofErr w:type="gramEnd"/>
      <w:r w:rsidRPr="0020785E">
        <w:rPr>
          <w:rFonts w:ascii="Arial" w:eastAsia="Times New Roman" w:hAnsi="Arial" w:cs="Arial"/>
          <w:i/>
          <w:sz w:val="20"/>
          <w:szCs w:val="20"/>
        </w:rPr>
        <w:t xml:space="preserve">.  If no combination will fit, then the </w:t>
      </w:r>
      <w:proofErr w:type="spellStart"/>
      <w:r w:rsidRPr="0020785E">
        <w:rPr>
          <w:rFonts w:ascii="Arial" w:eastAsia="Times New Roman" w:hAnsi="Arial" w:cs="Arial"/>
          <w:i/>
          <w:sz w:val="20"/>
          <w:szCs w:val="20"/>
        </w:rPr>
        <w:t>BFee</w:t>
      </w:r>
      <w:proofErr w:type="spellEnd"/>
      <w:r w:rsidRPr="0020785E">
        <w:rPr>
          <w:rFonts w:ascii="Arial" w:eastAsia="Times New Roman" w:hAnsi="Arial" w:cs="Arial"/>
          <w:i/>
          <w:sz w:val="20"/>
          <w:szCs w:val="20"/>
        </w:rPr>
        <w:t xml:space="preserve"> shall send a "null" </w:t>
      </w:r>
      <w:proofErr w:type="spellStart"/>
      <w:r w:rsidRPr="0020785E">
        <w:rPr>
          <w:rFonts w:ascii="Arial" w:eastAsia="Times New Roman" w:hAnsi="Arial" w:cs="Arial"/>
          <w:i/>
          <w:sz w:val="20"/>
          <w:szCs w:val="20"/>
        </w:rPr>
        <w:t>beamforming</w:t>
      </w:r>
      <w:proofErr w:type="spellEnd"/>
      <w:r w:rsidRPr="0020785E">
        <w:rPr>
          <w:rFonts w:ascii="Arial" w:eastAsia="Times New Roman" w:hAnsi="Arial" w:cs="Arial"/>
          <w:i/>
          <w:sz w:val="20"/>
          <w:szCs w:val="20"/>
        </w:rPr>
        <w:t xml:space="preserve"> report.  If this won't fit, then the </w:t>
      </w:r>
      <w:proofErr w:type="spellStart"/>
      <w:r w:rsidRPr="0020785E">
        <w:rPr>
          <w:rFonts w:ascii="Arial" w:eastAsia="Times New Roman" w:hAnsi="Arial" w:cs="Arial"/>
          <w:i/>
          <w:sz w:val="20"/>
          <w:szCs w:val="20"/>
        </w:rPr>
        <w:t>BFee</w:t>
      </w:r>
      <w:proofErr w:type="spellEnd"/>
      <w:r w:rsidRPr="0020785E">
        <w:rPr>
          <w:rFonts w:ascii="Arial" w:eastAsia="Times New Roman" w:hAnsi="Arial" w:cs="Arial"/>
          <w:i/>
          <w:sz w:val="20"/>
          <w:szCs w:val="20"/>
        </w:rPr>
        <w:t xml:space="preserve"> shall not transmit any response</w:t>
      </w:r>
    </w:p>
    <w:p w14:paraId="2F8B2E2A" w14:textId="77777777" w:rsidR="00291E16" w:rsidRPr="00291E16" w:rsidRDefault="008A235A" w:rsidP="00291E16">
      <w:pPr>
        <w:ind w:left="720"/>
        <w:rPr>
          <w:rFonts w:ascii="Arial" w:eastAsia="Times New Roman" w:hAnsi="Arial" w:cs="Arial"/>
          <w:i/>
          <w:sz w:val="20"/>
          <w:szCs w:val="20"/>
        </w:rPr>
      </w:pPr>
      <w:r w:rsidRPr="0020785E">
        <w:rPr>
          <w:rFonts w:ascii="Arial" w:eastAsia="Times New Roman" w:hAnsi="Arial" w:cs="Arial"/>
          <w:i/>
          <w:sz w:val="20"/>
          <w:szCs w:val="20"/>
        </w:rPr>
        <w:t>Option 2: same as option 1 but just a "should us</w:t>
      </w:r>
      <w:r w:rsidR="00291E16" w:rsidRPr="00291E16">
        <w:rPr>
          <w:rFonts w:ascii="Arial" w:eastAsia="Times New Roman" w:hAnsi="Arial" w:cs="Arial"/>
          <w:i/>
          <w:sz w:val="20"/>
          <w:szCs w:val="20"/>
        </w:rPr>
        <w:t>e grouping etc. to make it fit"</w:t>
      </w:r>
    </w:p>
    <w:p w14:paraId="0976C06D" w14:textId="77777777" w:rsidR="00291E16" w:rsidRPr="00291E16" w:rsidRDefault="00996697" w:rsidP="00291E16">
      <w:pPr>
        <w:ind w:left="720"/>
        <w:rPr>
          <w:rFonts w:ascii="Arial" w:eastAsia="Times New Roman" w:hAnsi="Arial" w:cs="Arial"/>
          <w:i/>
          <w:sz w:val="20"/>
          <w:szCs w:val="20"/>
        </w:rPr>
      </w:pPr>
      <w:r w:rsidRPr="0020785E">
        <w:rPr>
          <w:rFonts w:ascii="Arial" w:eastAsia="Times New Roman" w:hAnsi="Arial" w:cs="Arial"/>
          <w:i/>
          <w:sz w:val="20"/>
          <w:szCs w:val="20"/>
        </w:rPr>
        <w:t xml:space="preserve">Option 5: the </w:t>
      </w:r>
      <w:proofErr w:type="spellStart"/>
      <w:r w:rsidRPr="0020785E">
        <w:rPr>
          <w:rFonts w:ascii="Arial" w:eastAsia="Times New Roman" w:hAnsi="Arial" w:cs="Arial"/>
          <w:i/>
          <w:sz w:val="20"/>
          <w:szCs w:val="20"/>
        </w:rPr>
        <w:t>BFee</w:t>
      </w:r>
      <w:proofErr w:type="spellEnd"/>
      <w:r w:rsidRPr="0020785E">
        <w:rPr>
          <w:rFonts w:ascii="Arial" w:eastAsia="Times New Roman" w:hAnsi="Arial" w:cs="Arial"/>
          <w:i/>
          <w:sz w:val="20"/>
          <w:szCs w:val="20"/>
        </w:rPr>
        <w:t xml:space="preserve"> shall not choose MCS/grouping/codebook/</w:t>
      </w:r>
      <w:proofErr w:type="spellStart"/>
      <w:r w:rsidRPr="0020785E">
        <w:rPr>
          <w:rFonts w:ascii="Arial" w:eastAsia="Times New Roman" w:hAnsi="Arial" w:cs="Arial"/>
          <w:i/>
          <w:sz w:val="20"/>
          <w:szCs w:val="20"/>
        </w:rPr>
        <w:t>Nc</w:t>
      </w:r>
      <w:proofErr w:type="spellEnd"/>
      <w:r w:rsidRPr="0020785E">
        <w:rPr>
          <w:rFonts w:ascii="Arial" w:eastAsia="Times New Roman" w:hAnsi="Arial" w:cs="Arial"/>
          <w:i/>
          <w:sz w:val="20"/>
          <w:szCs w:val="20"/>
        </w:rPr>
        <w:t xml:space="preserve"> which would result in </w:t>
      </w:r>
      <w:proofErr w:type="gramStart"/>
      <w:r w:rsidRPr="0020785E">
        <w:rPr>
          <w:rFonts w:ascii="Arial" w:eastAsia="Times New Roman" w:hAnsi="Arial" w:cs="Arial"/>
          <w:i/>
          <w:sz w:val="20"/>
          <w:szCs w:val="20"/>
        </w:rPr>
        <w:t>a duration</w:t>
      </w:r>
      <w:proofErr w:type="gramEnd"/>
      <w:r w:rsidRPr="0020785E">
        <w:rPr>
          <w:rFonts w:ascii="Arial" w:eastAsia="Times New Roman" w:hAnsi="Arial" w:cs="Arial"/>
          <w:i/>
          <w:sz w:val="20"/>
          <w:szCs w:val="20"/>
        </w:rPr>
        <w:t xml:space="preserve"> greater than that which the </w:t>
      </w:r>
      <w:proofErr w:type="spellStart"/>
      <w:r w:rsidRPr="0020785E">
        <w:rPr>
          <w:rFonts w:ascii="Arial" w:eastAsia="Times New Roman" w:hAnsi="Arial" w:cs="Arial"/>
          <w:i/>
          <w:sz w:val="20"/>
          <w:szCs w:val="20"/>
        </w:rPr>
        <w:t>BFee</w:t>
      </w:r>
      <w:proofErr w:type="spellEnd"/>
      <w:r w:rsidRPr="0020785E">
        <w:rPr>
          <w:rFonts w:ascii="Arial" w:eastAsia="Times New Roman" w:hAnsi="Arial" w:cs="Arial"/>
          <w:i/>
          <w:sz w:val="20"/>
          <w:szCs w:val="20"/>
        </w:rPr>
        <w:t xml:space="preserve"> would estimate (based on the 8.2.5.2 rules)</w:t>
      </w:r>
    </w:p>
    <w:p w14:paraId="2BC0CDCC" w14:textId="4DD80B5E" w:rsidR="00291E16" w:rsidRPr="00704E97" w:rsidRDefault="00996697" w:rsidP="00291E16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This is against current rules for immediate responses; Responder is not responsible for the correct NAV setting; note that a recipient of a packet is not even supposed to set its NAV, so in practice it may not even </w:t>
      </w:r>
      <w:r w:rsidR="00291E16">
        <w:rPr>
          <w:rFonts w:ascii="Arial" w:eastAsia="Times New Roman" w:hAnsi="Arial" w:cs="Arial"/>
          <w:sz w:val="20"/>
          <w:szCs w:val="20"/>
        </w:rPr>
        <w:t>know the NAV</w:t>
      </w:r>
      <w:r>
        <w:rPr>
          <w:rFonts w:ascii="Arial" w:eastAsia="Times New Roman" w:hAnsi="Arial" w:cs="Arial"/>
          <w:sz w:val="20"/>
          <w:szCs w:val="20"/>
        </w:rPr>
        <w:t>.</w:t>
      </w:r>
      <w:r w:rsidR="00291E16">
        <w:rPr>
          <w:rFonts w:ascii="Arial" w:eastAsia="Times New Roman" w:hAnsi="Arial" w:cs="Arial"/>
          <w:sz w:val="20"/>
          <w:szCs w:val="20"/>
        </w:rPr>
        <w:t xml:space="preserve"> </w:t>
      </w:r>
      <w:r w:rsidR="00421563">
        <w:rPr>
          <w:rFonts w:ascii="Arial" w:eastAsia="Times New Roman" w:hAnsi="Arial" w:cs="Arial"/>
          <w:sz w:val="20"/>
          <w:lang w:eastAsia="zh-CN"/>
        </w:rPr>
        <w:t xml:space="preserve">In </w:t>
      </w:r>
      <w:proofErr w:type="spellStart"/>
      <w:r w:rsidR="00421563">
        <w:rPr>
          <w:rFonts w:ascii="Arial" w:eastAsia="Times New Roman" w:hAnsi="Arial" w:cs="Arial"/>
          <w:sz w:val="20"/>
          <w:lang w:eastAsia="zh-CN"/>
        </w:rPr>
        <w:t>subclause</w:t>
      </w:r>
      <w:proofErr w:type="spellEnd"/>
      <w:r w:rsidR="00421563">
        <w:rPr>
          <w:rFonts w:ascii="Arial" w:eastAsia="Times New Roman" w:hAnsi="Arial" w:cs="Arial"/>
          <w:sz w:val="20"/>
          <w:lang w:eastAsia="zh-CN"/>
        </w:rPr>
        <w:t xml:space="preserve"> 9.19.2.2 EDCA TXOPs, there is a rule saying: “When a STA receives a frame addressed to it that requires an immediate response, except in the case of an RTS, it shall transmit the response independent of its NAV.”</w:t>
      </w:r>
      <w:r w:rsidR="00291E16">
        <w:rPr>
          <w:rFonts w:ascii="Arial" w:eastAsia="Times New Roman" w:hAnsi="Arial" w:cs="Arial"/>
          <w:sz w:val="20"/>
          <w:lang w:eastAsia="zh-CN"/>
        </w:rPr>
        <w:t xml:space="preserve"> See also resolution of CID 6097</w:t>
      </w:r>
      <w:r w:rsidR="00291E16" w:rsidRPr="00704E97">
        <w:rPr>
          <w:rFonts w:ascii="Arial" w:eastAsia="Times New Roman" w:hAnsi="Arial" w:cs="Arial"/>
          <w:sz w:val="20"/>
          <w:szCs w:val="20"/>
        </w:rPr>
        <w:t>.</w:t>
      </w:r>
      <w:r w:rsidR="00AB7813" w:rsidRPr="00704E97">
        <w:rPr>
          <w:rFonts w:ascii="Arial" w:eastAsia="Times New Roman" w:hAnsi="Arial" w:cs="Arial"/>
          <w:sz w:val="20"/>
          <w:szCs w:val="20"/>
        </w:rPr>
        <w:t xml:space="preserve"> In addition, TXNAV is a timer that is defined at a transmitter, not at a receiver.</w:t>
      </w:r>
      <w:r w:rsidR="00EC4C8E" w:rsidRPr="00704E97">
        <w:rPr>
          <w:rFonts w:ascii="Arial" w:eastAsia="Times New Roman" w:hAnsi="Arial" w:cs="Arial"/>
          <w:sz w:val="20"/>
          <w:szCs w:val="20"/>
        </w:rPr>
        <w:t xml:space="preserve"> The NAV at </w:t>
      </w:r>
      <w:r w:rsidR="00EB412E" w:rsidRPr="00704E97">
        <w:rPr>
          <w:rFonts w:ascii="Arial" w:eastAsia="Times New Roman" w:hAnsi="Arial" w:cs="Arial"/>
          <w:sz w:val="20"/>
          <w:szCs w:val="20"/>
        </w:rPr>
        <w:t>a recipient</w:t>
      </w:r>
      <w:r w:rsidR="00EC4C8E" w:rsidRPr="00704E97">
        <w:rPr>
          <w:rFonts w:ascii="Arial" w:eastAsia="Times New Roman" w:hAnsi="Arial" w:cs="Arial"/>
          <w:sz w:val="20"/>
          <w:szCs w:val="20"/>
        </w:rPr>
        <w:t xml:space="preserve"> is not updated by the received frame, and the NAV may have been set to a longer value that the</w:t>
      </w:r>
      <w:r w:rsidR="00753203" w:rsidRPr="00704E97">
        <w:rPr>
          <w:rFonts w:ascii="Arial" w:eastAsia="Times New Roman" w:hAnsi="Arial" w:cs="Arial"/>
          <w:sz w:val="20"/>
          <w:szCs w:val="20"/>
        </w:rPr>
        <w:t xml:space="preserve"> TXOP limit by a prior receiver frame</w:t>
      </w:r>
      <w:r w:rsidR="00EC4C8E" w:rsidRPr="00704E97">
        <w:rPr>
          <w:rFonts w:ascii="Arial" w:eastAsia="Times New Roman" w:hAnsi="Arial" w:cs="Arial"/>
          <w:sz w:val="20"/>
          <w:szCs w:val="20"/>
        </w:rPr>
        <w:t>.</w:t>
      </w:r>
    </w:p>
    <w:p w14:paraId="1EA3C76E" w14:textId="77777777" w:rsidR="00291E16" w:rsidRDefault="0020785E" w:rsidP="00291E16">
      <w:pPr>
        <w:ind w:left="720"/>
        <w:rPr>
          <w:rFonts w:ascii="Arial" w:eastAsia="Times New Roman" w:hAnsi="Arial" w:cs="Arial"/>
          <w:i/>
          <w:sz w:val="20"/>
          <w:szCs w:val="20"/>
        </w:rPr>
      </w:pPr>
      <w:r w:rsidRPr="0020785E">
        <w:rPr>
          <w:rFonts w:ascii="Arial" w:eastAsia="Times New Roman" w:hAnsi="Arial" w:cs="Arial"/>
          <w:i/>
          <w:sz w:val="20"/>
          <w:szCs w:val="20"/>
        </w:rPr>
        <w:t xml:space="preserve">Option 3: the </w:t>
      </w:r>
      <w:proofErr w:type="spellStart"/>
      <w:r w:rsidRPr="0020785E">
        <w:rPr>
          <w:rFonts w:ascii="Arial" w:eastAsia="Times New Roman" w:hAnsi="Arial" w:cs="Arial"/>
          <w:i/>
          <w:sz w:val="20"/>
          <w:szCs w:val="20"/>
        </w:rPr>
        <w:t>BFer</w:t>
      </w:r>
      <w:proofErr w:type="spellEnd"/>
      <w:r w:rsidRPr="0020785E">
        <w:rPr>
          <w:rFonts w:ascii="Arial" w:eastAsia="Times New Roman" w:hAnsi="Arial" w:cs="Arial"/>
          <w:i/>
          <w:sz w:val="20"/>
          <w:szCs w:val="20"/>
        </w:rPr>
        <w:t xml:space="preserve"> shall use the </w:t>
      </w:r>
      <w:proofErr w:type="spellStart"/>
      <w:r w:rsidRPr="0020785E">
        <w:rPr>
          <w:rFonts w:ascii="Arial" w:eastAsia="Times New Roman" w:hAnsi="Arial" w:cs="Arial"/>
          <w:i/>
          <w:sz w:val="20"/>
          <w:szCs w:val="20"/>
        </w:rPr>
        <w:t>BFee's</w:t>
      </w:r>
      <w:proofErr w:type="spellEnd"/>
      <w:r w:rsidRPr="0020785E">
        <w:rPr>
          <w:rFonts w:ascii="Arial" w:eastAsia="Times New Roman" w:hAnsi="Arial" w:cs="Arial"/>
          <w:i/>
          <w:sz w:val="20"/>
          <w:szCs w:val="20"/>
        </w:rPr>
        <w:t xml:space="preserve"> BF response history to determine what request is likely to result in a response which fits (a bit wooly!)</w:t>
      </w:r>
    </w:p>
    <w:p w14:paraId="60AD679C" w14:textId="75884971" w:rsidR="00D7658B" w:rsidRDefault="008A235A" w:rsidP="00160C9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Although this is a good suggestion, and </w:t>
      </w:r>
      <w:r w:rsidR="00704E97">
        <w:rPr>
          <w:rFonts w:ascii="Arial" w:eastAsia="Times New Roman" w:hAnsi="Arial" w:cs="Arial"/>
          <w:sz w:val="20"/>
          <w:szCs w:val="20"/>
        </w:rPr>
        <w:t xml:space="preserve">a </w:t>
      </w:r>
      <w:proofErr w:type="spellStart"/>
      <w:r w:rsidR="00704E97">
        <w:rPr>
          <w:rFonts w:ascii="Arial" w:eastAsia="Times New Roman" w:hAnsi="Arial" w:cs="Arial"/>
          <w:sz w:val="20"/>
          <w:szCs w:val="20"/>
        </w:rPr>
        <w:t>BFer</w:t>
      </w:r>
      <w:proofErr w:type="spellEnd"/>
      <w:r w:rsidR="00704E97">
        <w:rPr>
          <w:rFonts w:ascii="Arial" w:eastAsia="Times New Roman" w:hAnsi="Arial" w:cs="Arial"/>
          <w:sz w:val="20"/>
          <w:szCs w:val="20"/>
        </w:rPr>
        <w:t xml:space="preserve"> is encouraged to avoid that a solicited VCB exceeds the TXOP Limit</w:t>
      </w:r>
      <w:r>
        <w:rPr>
          <w:rFonts w:ascii="Arial" w:eastAsia="Times New Roman" w:hAnsi="Arial" w:cs="Arial"/>
          <w:sz w:val="20"/>
          <w:szCs w:val="20"/>
        </w:rPr>
        <w:t>, this is out of the scope of the standard and wou</w:t>
      </w:r>
      <w:r w:rsidR="00291E16">
        <w:rPr>
          <w:rFonts w:ascii="Arial" w:eastAsia="Times New Roman" w:hAnsi="Arial" w:cs="Arial"/>
          <w:sz w:val="20"/>
          <w:szCs w:val="20"/>
        </w:rPr>
        <w:t>ld be very difficult to define w</w:t>
      </w:r>
      <w:r>
        <w:rPr>
          <w:rFonts w:ascii="Arial" w:eastAsia="Times New Roman" w:hAnsi="Arial" w:cs="Arial"/>
          <w:sz w:val="20"/>
          <w:szCs w:val="20"/>
        </w:rPr>
        <w:t xml:space="preserve">hat ‘history’ means. </w:t>
      </w:r>
    </w:p>
    <w:p w14:paraId="3C78BDBF" w14:textId="77777777" w:rsidR="008A235A" w:rsidRPr="00291E16" w:rsidRDefault="0020785E" w:rsidP="00291E16">
      <w:pPr>
        <w:ind w:left="720"/>
        <w:rPr>
          <w:rFonts w:ascii="Arial" w:eastAsia="Times New Roman" w:hAnsi="Arial" w:cs="Arial"/>
          <w:i/>
          <w:sz w:val="20"/>
          <w:szCs w:val="20"/>
        </w:rPr>
      </w:pPr>
      <w:r w:rsidRPr="0020785E">
        <w:rPr>
          <w:rFonts w:ascii="Arial" w:eastAsia="Times New Roman" w:hAnsi="Arial" w:cs="Arial"/>
          <w:i/>
          <w:sz w:val="20"/>
          <w:szCs w:val="20"/>
        </w:rPr>
        <w:t xml:space="preserve">Option 4: the </w:t>
      </w:r>
      <w:proofErr w:type="spellStart"/>
      <w:r w:rsidRPr="0020785E">
        <w:rPr>
          <w:rFonts w:ascii="Arial" w:eastAsia="Times New Roman" w:hAnsi="Arial" w:cs="Arial"/>
          <w:i/>
          <w:sz w:val="20"/>
          <w:szCs w:val="20"/>
        </w:rPr>
        <w:t>BFer</w:t>
      </w:r>
      <w:proofErr w:type="spellEnd"/>
      <w:r w:rsidRPr="0020785E">
        <w:rPr>
          <w:rFonts w:ascii="Arial" w:eastAsia="Times New Roman" w:hAnsi="Arial" w:cs="Arial"/>
          <w:i/>
          <w:sz w:val="20"/>
          <w:szCs w:val="20"/>
        </w:rPr>
        <w:t xml:space="preserve"> shall, unless the duration estimate is such that the TXOP Limit cannot be violated, only do BF frame exchanges (NDPA NDP VCB [BRP VCB]*) at the start of a TXOP and shall not transmit a frame if the TXOP Limit has been violated (e.g. need to do the </w:t>
      </w:r>
      <w:r w:rsidR="00291E16">
        <w:rPr>
          <w:rFonts w:ascii="Arial" w:eastAsia="Times New Roman" w:hAnsi="Arial" w:cs="Arial"/>
          <w:i/>
          <w:sz w:val="20"/>
          <w:szCs w:val="20"/>
        </w:rPr>
        <w:t>[BRP VCB] in a subsequent TXOP)</w:t>
      </w:r>
    </w:p>
    <w:p w14:paraId="7F141C74" w14:textId="0E43380B" w:rsidR="008A235A" w:rsidRDefault="008A235A" w:rsidP="0020785E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This is actually already </w:t>
      </w:r>
      <w:r w:rsidR="002D0F70">
        <w:rPr>
          <w:rFonts w:ascii="Arial" w:eastAsia="Times New Roman" w:hAnsi="Arial" w:cs="Arial"/>
          <w:sz w:val="20"/>
          <w:szCs w:val="20"/>
        </w:rPr>
        <w:t>implied by the existing text (definition of TXOP limit)</w:t>
      </w:r>
      <w:r>
        <w:rPr>
          <w:rFonts w:ascii="Arial" w:eastAsia="Times New Roman" w:hAnsi="Arial" w:cs="Arial"/>
          <w:sz w:val="20"/>
          <w:szCs w:val="20"/>
        </w:rPr>
        <w:t xml:space="preserve">. If the </w:t>
      </w:r>
      <w:proofErr w:type="spellStart"/>
      <w:r>
        <w:rPr>
          <w:rFonts w:ascii="Arial" w:eastAsia="Times New Roman" w:hAnsi="Arial" w:cs="Arial"/>
          <w:sz w:val="20"/>
          <w:szCs w:val="20"/>
        </w:rPr>
        <w:t>BFee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response ends at or after the </w:t>
      </w:r>
      <w:r w:rsidR="002D0F70">
        <w:rPr>
          <w:rFonts w:ascii="Arial" w:eastAsia="Times New Roman" w:hAnsi="Arial" w:cs="Arial"/>
          <w:sz w:val="20"/>
          <w:szCs w:val="20"/>
        </w:rPr>
        <w:t>TXOP Limit, TXOP holder has no rights to keep control of the medium. Note there is an exception for retr</w:t>
      </w:r>
      <w:r w:rsidR="008241EA">
        <w:rPr>
          <w:rFonts w:ascii="Arial" w:eastAsia="Times New Roman" w:hAnsi="Arial" w:cs="Arial"/>
          <w:sz w:val="20"/>
          <w:szCs w:val="20"/>
        </w:rPr>
        <w:t>ies</w:t>
      </w:r>
      <w:r w:rsidR="002D0F70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C0E62D" w14:textId="77777777" w:rsidR="002D0F70" w:rsidRDefault="002D0F70" w:rsidP="0020785E">
      <w:pPr>
        <w:rPr>
          <w:rFonts w:ascii="Arial" w:eastAsia="Times New Roman" w:hAnsi="Arial" w:cs="Arial"/>
          <w:sz w:val="20"/>
          <w:szCs w:val="20"/>
        </w:rPr>
      </w:pPr>
    </w:p>
    <w:p w14:paraId="35591F38" w14:textId="63DF272A" w:rsidR="00AB7813" w:rsidRDefault="0020785E" w:rsidP="0020785E">
      <w:pPr>
        <w:rPr>
          <w:lang w:val="en-GB"/>
        </w:rPr>
      </w:pPr>
      <w:r w:rsidRPr="0020785E">
        <w:rPr>
          <w:rFonts w:ascii="Arial" w:eastAsia="Times New Roman" w:hAnsi="Arial" w:cs="Arial"/>
          <w:sz w:val="20"/>
          <w:szCs w:val="20"/>
        </w:rPr>
        <w:lastRenderedPageBreak/>
        <w:br/>
      </w:r>
      <w:r w:rsidR="00291E16">
        <w:rPr>
          <w:lang w:val="en-GB"/>
        </w:rPr>
        <w:t>Concluding, existing baseline indic</w:t>
      </w:r>
      <w:r w:rsidR="009E25E2">
        <w:rPr>
          <w:lang w:val="en-GB"/>
        </w:rPr>
        <w:t>a</w:t>
      </w:r>
      <w:r w:rsidR="00291E16">
        <w:rPr>
          <w:lang w:val="en-GB"/>
        </w:rPr>
        <w:t>tes tha</w:t>
      </w:r>
      <w:r w:rsidR="009E25E2">
        <w:rPr>
          <w:lang w:val="en-GB"/>
        </w:rPr>
        <w:t>t</w:t>
      </w:r>
      <w:r w:rsidR="00291E16">
        <w:rPr>
          <w:lang w:val="en-GB"/>
        </w:rPr>
        <w:t xml:space="preserve"> </w:t>
      </w:r>
      <w:r w:rsidR="008A50DE">
        <w:rPr>
          <w:lang w:val="en-GB"/>
        </w:rPr>
        <w:t xml:space="preserve">responder is not responsible for correctness of TXOP limits; baseline also enables transmitter to do smart adaptation of the NAV settings based on the expected response; baseline also allows </w:t>
      </w:r>
      <w:proofErr w:type="spellStart"/>
      <w:r w:rsidR="008A50DE">
        <w:rPr>
          <w:lang w:val="en-GB"/>
        </w:rPr>
        <w:t>BFer</w:t>
      </w:r>
      <w:proofErr w:type="spellEnd"/>
      <w:r w:rsidR="008A50DE">
        <w:rPr>
          <w:lang w:val="en-GB"/>
        </w:rPr>
        <w:t xml:space="preserve"> to set a conservative NAV and cancel it. Implementation should choose the preferred approach. </w:t>
      </w:r>
      <w:bookmarkStart w:id="0" w:name="_GoBack"/>
      <w:bookmarkEnd w:id="0"/>
    </w:p>
    <w:sectPr w:rsidR="00AB7813" w:rsidSect="00F0434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CC5FB" w14:textId="77777777" w:rsidR="00A05FCC" w:rsidRDefault="00A05FCC" w:rsidP="00D80E01">
      <w:pPr>
        <w:spacing w:after="0" w:line="240" w:lineRule="auto"/>
      </w:pPr>
      <w:r>
        <w:separator/>
      </w:r>
    </w:p>
  </w:endnote>
  <w:endnote w:type="continuationSeparator" w:id="0">
    <w:p w14:paraId="5DB1B9E7" w14:textId="77777777" w:rsidR="00A05FCC" w:rsidRDefault="00A05FCC" w:rsidP="00D8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BBA0E" w14:textId="77777777" w:rsidR="00A05FCC" w:rsidRDefault="00A05FCC" w:rsidP="00D80E01">
      <w:pPr>
        <w:spacing w:after="0" w:line="240" w:lineRule="auto"/>
      </w:pPr>
      <w:r>
        <w:separator/>
      </w:r>
    </w:p>
  </w:footnote>
  <w:footnote w:type="continuationSeparator" w:id="0">
    <w:p w14:paraId="020E5959" w14:textId="77777777" w:rsidR="00A05FCC" w:rsidRDefault="00A05FCC" w:rsidP="00D8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4962B" w14:textId="38CA7AD2" w:rsidR="00160C9F" w:rsidRPr="00450FC4" w:rsidRDefault="00160C9F" w:rsidP="006B586E">
    <w:pPr>
      <w:pStyle w:val="Header"/>
      <w:tabs>
        <w:tab w:val="center" w:pos="4680"/>
        <w:tab w:val="right" w:pos="9360"/>
      </w:tabs>
      <w:jc w:val="both"/>
      <w:rPr>
        <w:rFonts w:ascii="Times New Roman" w:hAnsi="Times New Roman"/>
        <w:sz w:val="28"/>
      </w:rPr>
    </w:pPr>
    <w:r>
      <w:rPr>
        <w:rFonts w:ascii="Times New Roman" w:hAnsi="Times New Roman"/>
        <w:sz w:val="28"/>
        <w:lang w:eastAsia="ko-KR"/>
      </w:rPr>
      <w:t>September</w:t>
    </w:r>
    <w:r>
      <w:rPr>
        <w:rFonts w:ascii="Times New Roman" w:hAnsi="Times New Roman"/>
        <w:sz w:val="28"/>
      </w:rPr>
      <w:t xml:space="preserve"> 201</w:t>
    </w:r>
    <w:r>
      <w:rPr>
        <w:rFonts w:ascii="Times New Roman" w:hAnsi="Times New Roman"/>
        <w:sz w:val="28"/>
        <w:lang w:eastAsia="ko-KR"/>
      </w:rPr>
      <w:t>2</w:t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fldSimple w:instr=" TITLE  \* MERGEFORMAT ">
      <w:r>
        <w:rPr>
          <w:rFonts w:ascii="Times New Roman" w:hAnsi="Times New Roman"/>
          <w:sz w:val="28"/>
        </w:rPr>
        <w:t>doc.: IEEE 802.11-12/</w:t>
      </w:r>
      <w:r w:rsidR="00D4549E">
        <w:rPr>
          <w:rFonts w:ascii="Times New Roman" w:hAnsi="Times New Roman"/>
          <w:sz w:val="28"/>
          <w:lang w:eastAsia="ko-KR"/>
        </w:rPr>
        <w:t>1131</w:t>
      </w:r>
      <w:r>
        <w:rPr>
          <w:rFonts w:ascii="Times New Roman" w:hAnsi="Times New Roman"/>
          <w:sz w:val="28"/>
          <w:lang w:eastAsia="ko-KR"/>
        </w:rPr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4E6"/>
    <w:multiLevelType w:val="multilevel"/>
    <w:tmpl w:val="EA8A66AC"/>
    <w:lvl w:ilvl="0">
      <w:start w:val="1"/>
      <w:numFmt w:val="decimal"/>
      <w:pStyle w:val="Heading1"/>
      <w:lvlText w:val="%1"/>
      <w:lvlJc w:val="left"/>
      <w:pPr>
        <w:ind w:left="7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7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95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97B6DD7"/>
    <w:multiLevelType w:val="hybridMultilevel"/>
    <w:tmpl w:val="210C3912"/>
    <w:lvl w:ilvl="0" w:tplc="89C496BC">
      <w:start w:val="12"/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B1D05"/>
    <w:multiLevelType w:val="hybridMultilevel"/>
    <w:tmpl w:val="349CC1CE"/>
    <w:lvl w:ilvl="0" w:tplc="B0D0C7E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2243FD"/>
    <w:multiLevelType w:val="hybridMultilevel"/>
    <w:tmpl w:val="1200F13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CCD136D"/>
    <w:multiLevelType w:val="hybridMultilevel"/>
    <w:tmpl w:val="A08E09DE"/>
    <w:lvl w:ilvl="0" w:tplc="373AFBE4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>
    <w:nsid w:val="34E909EB"/>
    <w:multiLevelType w:val="hybridMultilevel"/>
    <w:tmpl w:val="D42AFB12"/>
    <w:lvl w:ilvl="0" w:tplc="1B68BA7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C6F05"/>
    <w:multiLevelType w:val="hybridMultilevel"/>
    <w:tmpl w:val="CAB41138"/>
    <w:lvl w:ilvl="0" w:tplc="BE2C597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D5288"/>
    <w:multiLevelType w:val="hybridMultilevel"/>
    <w:tmpl w:val="CE1CC5AC"/>
    <w:lvl w:ilvl="0" w:tplc="C4849D52">
      <w:start w:val="1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A1052"/>
    <w:multiLevelType w:val="hybridMultilevel"/>
    <w:tmpl w:val="839A2612"/>
    <w:lvl w:ilvl="0" w:tplc="D7B2654E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0">
    <w:nsid w:val="52C50622"/>
    <w:multiLevelType w:val="hybridMultilevel"/>
    <w:tmpl w:val="E7040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B3A3D"/>
    <w:multiLevelType w:val="hybridMultilevel"/>
    <w:tmpl w:val="F1BA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D0"/>
    <w:rsid w:val="0000178F"/>
    <w:rsid w:val="0000798C"/>
    <w:rsid w:val="000225DD"/>
    <w:rsid w:val="00036ABF"/>
    <w:rsid w:val="00037492"/>
    <w:rsid w:val="00043A2B"/>
    <w:rsid w:val="00055C1E"/>
    <w:rsid w:val="0008425C"/>
    <w:rsid w:val="0008540F"/>
    <w:rsid w:val="000A2611"/>
    <w:rsid w:val="000C006F"/>
    <w:rsid w:val="000E1A24"/>
    <w:rsid w:val="000F7A49"/>
    <w:rsid w:val="001261D9"/>
    <w:rsid w:val="001443F2"/>
    <w:rsid w:val="00160C9F"/>
    <w:rsid w:val="00160CD4"/>
    <w:rsid w:val="001650F9"/>
    <w:rsid w:val="001667FD"/>
    <w:rsid w:val="001703AE"/>
    <w:rsid w:val="0018217F"/>
    <w:rsid w:val="00192FC8"/>
    <w:rsid w:val="00193700"/>
    <w:rsid w:val="001960B6"/>
    <w:rsid w:val="00196C72"/>
    <w:rsid w:val="001D5A68"/>
    <w:rsid w:val="001E64E8"/>
    <w:rsid w:val="00203E94"/>
    <w:rsid w:val="002073A2"/>
    <w:rsid w:val="0020785E"/>
    <w:rsid w:val="00235B44"/>
    <w:rsid w:val="00267A82"/>
    <w:rsid w:val="00291E16"/>
    <w:rsid w:val="0029260B"/>
    <w:rsid w:val="002B041B"/>
    <w:rsid w:val="002C275F"/>
    <w:rsid w:val="002C6536"/>
    <w:rsid w:val="002D0F70"/>
    <w:rsid w:val="002D7FBC"/>
    <w:rsid w:val="0030449F"/>
    <w:rsid w:val="00304D75"/>
    <w:rsid w:val="00315D4E"/>
    <w:rsid w:val="0036227A"/>
    <w:rsid w:val="00390B43"/>
    <w:rsid w:val="003A1593"/>
    <w:rsid w:val="003B5DD2"/>
    <w:rsid w:val="003D36AE"/>
    <w:rsid w:val="003E5D5C"/>
    <w:rsid w:val="003F637A"/>
    <w:rsid w:val="00421563"/>
    <w:rsid w:val="00451DB0"/>
    <w:rsid w:val="00484356"/>
    <w:rsid w:val="004872C8"/>
    <w:rsid w:val="004A3D00"/>
    <w:rsid w:val="004C4008"/>
    <w:rsid w:val="004C76C9"/>
    <w:rsid w:val="004D169A"/>
    <w:rsid w:val="004F7DD2"/>
    <w:rsid w:val="0050749F"/>
    <w:rsid w:val="005270CA"/>
    <w:rsid w:val="005479A3"/>
    <w:rsid w:val="005626F7"/>
    <w:rsid w:val="00590EBF"/>
    <w:rsid w:val="005A7B8C"/>
    <w:rsid w:val="005F69CC"/>
    <w:rsid w:val="005F6A5A"/>
    <w:rsid w:val="00603341"/>
    <w:rsid w:val="006122A6"/>
    <w:rsid w:val="00614079"/>
    <w:rsid w:val="00623232"/>
    <w:rsid w:val="00636FA8"/>
    <w:rsid w:val="00642DB8"/>
    <w:rsid w:val="00646952"/>
    <w:rsid w:val="00652CAA"/>
    <w:rsid w:val="00654FFF"/>
    <w:rsid w:val="006A6D19"/>
    <w:rsid w:val="006B586E"/>
    <w:rsid w:val="006B72B1"/>
    <w:rsid w:val="0070234D"/>
    <w:rsid w:val="00704E97"/>
    <w:rsid w:val="00735AFF"/>
    <w:rsid w:val="00736D10"/>
    <w:rsid w:val="00741027"/>
    <w:rsid w:val="00753203"/>
    <w:rsid w:val="00770571"/>
    <w:rsid w:val="00772CCB"/>
    <w:rsid w:val="007853FA"/>
    <w:rsid w:val="007A4D2F"/>
    <w:rsid w:val="007B7EBB"/>
    <w:rsid w:val="007B7F22"/>
    <w:rsid w:val="007E44F3"/>
    <w:rsid w:val="007F3808"/>
    <w:rsid w:val="0080160A"/>
    <w:rsid w:val="008118B5"/>
    <w:rsid w:val="008241EA"/>
    <w:rsid w:val="00841B10"/>
    <w:rsid w:val="00873BDA"/>
    <w:rsid w:val="00883964"/>
    <w:rsid w:val="008926D0"/>
    <w:rsid w:val="00893419"/>
    <w:rsid w:val="008A01AD"/>
    <w:rsid w:val="008A235A"/>
    <w:rsid w:val="008A50DE"/>
    <w:rsid w:val="008B52CB"/>
    <w:rsid w:val="008D6ED3"/>
    <w:rsid w:val="008F1A86"/>
    <w:rsid w:val="008F3B8F"/>
    <w:rsid w:val="00901935"/>
    <w:rsid w:val="009375E3"/>
    <w:rsid w:val="0094213D"/>
    <w:rsid w:val="00945B69"/>
    <w:rsid w:val="00996697"/>
    <w:rsid w:val="009B1C10"/>
    <w:rsid w:val="009B423C"/>
    <w:rsid w:val="009D6F11"/>
    <w:rsid w:val="009E25E2"/>
    <w:rsid w:val="009E76C4"/>
    <w:rsid w:val="009F5A39"/>
    <w:rsid w:val="00A055E5"/>
    <w:rsid w:val="00A05FCC"/>
    <w:rsid w:val="00A074FE"/>
    <w:rsid w:val="00A122BB"/>
    <w:rsid w:val="00A12B61"/>
    <w:rsid w:val="00A434EF"/>
    <w:rsid w:val="00A976E7"/>
    <w:rsid w:val="00AA571D"/>
    <w:rsid w:val="00AB139E"/>
    <w:rsid w:val="00AB38F9"/>
    <w:rsid w:val="00AB506A"/>
    <w:rsid w:val="00AB7813"/>
    <w:rsid w:val="00AD2B28"/>
    <w:rsid w:val="00B06EFE"/>
    <w:rsid w:val="00B116DA"/>
    <w:rsid w:val="00B163A3"/>
    <w:rsid w:val="00B62B19"/>
    <w:rsid w:val="00B86A4A"/>
    <w:rsid w:val="00B93E5E"/>
    <w:rsid w:val="00BA0E76"/>
    <w:rsid w:val="00BB06EA"/>
    <w:rsid w:val="00BC6AD9"/>
    <w:rsid w:val="00BF1CDC"/>
    <w:rsid w:val="00BF2719"/>
    <w:rsid w:val="00C05E6A"/>
    <w:rsid w:val="00C24E69"/>
    <w:rsid w:val="00C27EDC"/>
    <w:rsid w:val="00C50D7B"/>
    <w:rsid w:val="00C60488"/>
    <w:rsid w:val="00C63EB0"/>
    <w:rsid w:val="00C66E80"/>
    <w:rsid w:val="00C66EB3"/>
    <w:rsid w:val="00C95737"/>
    <w:rsid w:val="00CA1029"/>
    <w:rsid w:val="00CC3F74"/>
    <w:rsid w:val="00CE75F1"/>
    <w:rsid w:val="00CF3F31"/>
    <w:rsid w:val="00D04AC1"/>
    <w:rsid w:val="00D4549E"/>
    <w:rsid w:val="00D46CED"/>
    <w:rsid w:val="00D566A6"/>
    <w:rsid w:val="00D7658B"/>
    <w:rsid w:val="00D773D4"/>
    <w:rsid w:val="00D80E01"/>
    <w:rsid w:val="00D828F1"/>
    <w:rsid w:val="00DB224A"/>
    <w:rsid w:val="00DB6FCA"/>
    <w:rsid w:val="00DC77C3"/>
    <w:rsid w:val="00DF7AD0"/>
    <w:rsid w:val="00E0439C"/>
    <w:rsid w:val="00E1021F"/>
    <w:rsid w:val="00E10DE3"/>
    <w:rsid w:val="00E25D4B"/>
    <w:rsid w:val="00E33816"/>
    <w:rsid w:val="00E33A0D"/>
    <w:rsid w:val="00E45AB6"/>
    <w:rsid w:val="00E76741"/>
    <w:rsid w:val="00E842B0"/>
    <w:rsid w:val="00E845BC"/>
    <w:rsid w:val="00EA220C"/>
    <w:rsid w:val="00EA7FC9"/>
    <w:rsid w:val="00EB03FA"/>
    <w:rsid w:val="00EB412E"/>
    <w:rsid w:val="00EC4C8E"/>
    <w:rsid w:val="00EE08A9"/>
    <w:rsid w:val="00F0434C"/>
    <w:rsid w:val="00F237D9"/>
    <w:rsid w:val="00F4668B"/>
    <w:rsid w:val="00F50A9B"/>
    <w:rsid w:val="00F5289A"/>
    <w:rsid w:val="00F529D0"/>
    <w:rsid w:val="00F76772"/>
    <w:rsid w:val="00FB4032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DF9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DF7AD0"/>
    <w:pPr>
      <w:keepNext/>
      <w:keepLines/>
      <w:numPr>
        <w:numId w:val="1"/>
      </w:numPr>
      <w:spacing w:before="320" w:after="0" w:line="240" w:lineRule="auto"/>
      <w:ind w:left="432"/>
      <w:outlineLvl w:val="0"/>
    </w:pPr>
    <w:rPr>
      <w:rFonts w:ascii="Arial" w:eastAsia="Malgun Gothic" w:hAnsi="Arial" w:cs="Times New Roman"/>
      <w:b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AD0"/>
    <w:pPr>
      <w:keepNext/>
      <w:keepLines/>
      <w:numPr>
        <w:ilvl w:val="1"/>
        <w:numId w:val="1"/>
      </w:numPr>
      <w:spacing w:before="280" w:after="0" w:line="240" w:lineRule="auto"/>
      <w:outlineLvl w:val="1"/>
    </w:pPr>
    <w:rPr>
      <w:rFonts w:ascii="Arial" w:eastAsia="Malgun Gothic" w:hAnsi="Arial" w:cs="Times New Roman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AD0"/>
    <w:pPr>
      <w:keepNext/>
      <w:keepLines/>
      <w:numPr>
        <w:ilvl w:val="2"/>
        <w:numId w:val="1"/>
      </w:numPr>
      <w:spacing w:before="240" w:after="60" w:line="240" w:lineRule="auto"/>
      <w:ind w:left="720"/>
      <w:outlineLvl w:val="2"/>
    </w:pPr>
    <w:rPr>
      <w:rFonts w:ascii="Arial" w:eastAsia="Malgun Gothic" w:hAnsi="Arial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DF7AD0"/>
    <w:pPr>
      <w:keepNext/>
      <w:numPr>
        <w:ilvl w:val="3"/>
        <w:numId w:val="1"/>
      </w:numPr>
      <w:spacing w:before="240" w:after="60" w:line="240" w:lineRule="auto"/>
      <w:ind w:left="864"/>
      <w:outlineLvl w:val="3"/>
    </w:pPr>
    <w:rPr>
      <w:rFonts w:ascii="Arial" w:eastAsia="Times New Roman" w:hAnsi="Arial" w:cs="Times New Roman"/>
      <w:b/>
      <w:bCs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F7AD0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Cs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DF7AD0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DF7AD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DF7AD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DF7AD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F7AD0"/>
    <w:rPr>
      <w:rFonts w:ascii="Arial" w:eastAsia="Malgun Gothic" w:hAnsi="Arial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DF7AD0"/>
    <w:rPr>
      <w:rFonts w:ascii="Arial" w:eastAsia="Malgun Gothic" w:hAnsi="Arial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DF7AD0"/>
    <w:rPr>
      <w:rFonts w:ascii="Arial" w:eastAsia="Malgun Gothic" w:hAnsi="Arial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DF7AD0"/>
    <w:rPr>
      <w:rFonts w:ascii="Arial" w:eastAsia="Times New Roman" w:hAnsi="Arial" w:cs="Times New Roman"/>
      <w:b/>
      <w:bCs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DF7AD0"/>
    <w:rPr>
      <w:rFonts w:ascii="Arial" w:eastAsia="Times New Roman" w:hAnsi="Arial" w:cs="Times New Roman"/>
      <w:b/>
      <w:bCs/>
      <w:iCs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DF7AD0"/>
    <w:rPr>
      <w:rFonts w:ascii="Calibri" w:eastAsia="Times New Roman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DF7AD0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DF7AD0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F7AD0"/>
    <w:rPr>
      <w:rFonts w:ascii="Cambria" w:eastAsia="Times New Roman" w:hAnsi="Cambria" w:cs="Times New Roman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DF7AD0"/>
    <w:pPr>
      <w:spacing w:after="0" w:line="240" w:lineRule="auto"/>
    </w:pPr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DF7AD0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DF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"/>
    <w:rsid w:val="00A434EF"/>
    <w:pPr>
      <w:spacing w:after="0" w:line="240" w:lineRule="auto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A434EF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80E01"/>
  </w:style>
  <w:style w:type="paragraph" w:styleId="Footer">
    <w:name w:val="footer"/>
    <w:basedOn w:val="Normal"/>
    <w:link w:val="FooterChar"/>
    <w:uiPriority w:val="99"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80E01"/>
  </w:style>
  <w:style w:type="paragraph" w:styleId="BalloonText">
    <w:name w:val="Balloon Text"/>
    <w:basedOn w:val="Normal"/>
    <w:link w:val="BalloonTextChar"/>
    <w:uiPriority w:val="99"/>
    <w:semiHidden/>
    <w:unhideWhenUsed/>
    <w:rsid w:val="00D80E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0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234D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24E69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89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3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8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DF7AD0"/>
    <w:pPr>
      <w:keepNext/>
      <w:keepLines/>
      <w:numPr>
        <w:numId w:val="1"/>
      </w:numPr>
      <w:spacing w:before="320" w:after="0" w:line="240" w:lineRule="auto"/>
      <w:ind w:left="432"/>
      <w:outlineLvl w:val="0"/>
    </w:pPr>
    <w:rPr>
      <w:rFonts w:ascii="Arial" w:eastAsia="Malgun Gothic" w:hAnsi="Arial" w:cs="Times New Roman"/>
      <w:b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AD0"/>
    <w:pPr>
      <w:keepNext/>
      <w:keepLines/>
      <w:numPr>
        <w:ilvl w:val="1"/>
        <w:numId w:val="1"/>
      </w:numPr>
      <w:spacing w:before="280" w:after="0" w:line="240" w:lineRule="auto"/>
      <w:outlineLvl w:val="1"/>
    </w:pPr>
    <w:rPr>
      <w:rFonts w:ascii="Arial" w:eastAsia="Malgun Gothic" w:hAnsi="Arial" w:cs="Times New Roman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AD0"/>
    <w:pPr>
      <w:keepNext/>
      <w:keepLines/>
      <w:numPr>
        <w:ilvl w:val="2"/>
        <w:numId w:val="1"/>
      </w:numPr>
      <w:spacing w:before="240" w:after="60" w:line="240" w:lineRule="auto"/>
      <w:ind w:left="720"/>
      <w:outlineLvl w:val="2"/>
    </w:pPr>
    <w:rPr>
      <w:rFonts w:ascii="Arial" w:eastAsia="Malgun Gothic" w:hAnsi="Arial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DF7AD0"/>
    <w:pPr>
      <w:keepNext/>
      <w:numPr>
        <w:ilvl w:val="3"/>
        <w:numId w:val="1"/>
      </w:numPr>
      <w:spacing w:before="240" w:after="60" w:line="240" w:lineRule="auto"/>
      <w:ind w:left="864"/>
      <w:outlineLvl w:val="3"/>
    </w:pPr>
    <w:rPr>
      <w:rFonts w:ascii="Arial" w:eastAsia="Times New Roman" w:hAnsi="Arial" w:cs="Times New Roman"/>
      <w:b/>
      <w:bCs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F7AD0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Cs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DF7AD0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DF7AD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DF7AD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DF7AD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F7AD0"/>
    <w:rPr>
      <w:rFonts w:ascii="Arial" w:eastAsia="Malgun Gothic" w:hAnsi="Arial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DF7AD0"/>
    <w:rPr>
      <w:rFonts w:ascii="Arial" w:eastAsia="Malgun Gothic" w:hAnsi="Arial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DF7AD0"/>
    <w:rPr>
      <w:rFonts w:ascii="Arial" w:eastAsia="Malgun Gothic" w:hAnsi="Arial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DF7AD0"/>
    <w:rPr>
      <w:rFonts w:ascii="Arial" w:eastAsia="Times New Roman" w:hAnsi="Arial" w:cs="Times New Roman"/>
      <w:b/>
      <w:bCs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DF7AD0"/>
    <w:rPr>
      <w:rFonts w:ascii="Arial" w:eastAsia="Times New Roman" w:hAnsi="Arial" w:cs="Times New Roman"/>
      <w:b/>
      <w:bCs/>
      <w:iCs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DF7AD0"/>
    <w:rPr>
      <w:rFonts w:ascii="Calibri" w:eastAsia="Times New Roman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DF7AD0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DF7AD0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F7AD0"/>
    <w:rPr>
      <w:rFonts w:ascii="Cambria" w:eastAsia="Times New Roman" w:hAnsi="Cambria" w:cs="Times New Roman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DF7AD0"/>
    <w:pPr>
      <w:spacing w:after="0" w:line="240" w:lineRule="auto"/>
    </w:pPr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DF7AD0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DF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"/>
    <w:rsid w:val="00A434EF"/>
    <w:pPr>
      <w:spacing w:after="0" w:line="240" w:lineRule="auto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A434EF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80E01"/>
  </w:style>
  <w:style w:type="paragraph" w:styleId="Footer">
    <w:name w:val="footer"/>
    <w:basedOn w:val="Normal"/>
    <w:link w:val="FooterChar"/>
    <w:uiPriority w:val="99"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80E01"/>
  </w:style>
  <w:style w:type="paragraph" w:styleId="BalloonText">
    <w:name w:val="Balloon Text"/>
    <w:basedOn w:val="Normal"/>
    <w:link w:val="BalloonTextChar"/>
    <w:uiPriority w:val="99"/>
    <w:semiHidden/>
    <w:unhideWhenUsed/>
    <w:rsid w:val="00D80E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0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234D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24E69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89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3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8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rlin@qualcom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wentink@qualco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Inc.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Merlin, Simone</dc:creator>
  <cp:lastModifiedBy>Qualcomm User</cp:lastModifiedBy>
  <cp:revision>4</cp:revision>
  <dcterms:created xsi:type="dcterms:W3CDTF">2012-09-17T19:26:00Z</dcterms:created>
  <dcterms:modified xsi:type="dcterms:W3CDTF">2012-09-17T19:33:00Z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-1610540040</vt:i4>
  </property>
  <property fmtid="{D5CDD505-2E9C-101B-9397-08002B2CF9AE}" pid="4" name="_EmailSubject">
    <vt:lpwstr>Maximum number of MSDUs in MPDU</vt:lpwstr>
  </property>
  <property fmtid="{D5CDD505-2E9C-101B-9397-08002B2CF9AE}" pid="5" name="_AuthorEmail">
    <vt:lpwstr>ashishuk@qca.qualcomm.com</vt:lpwstr>
  </property>
  <property fmtid="{D5CDD505-2E9C-101B-9397-08002B2CF9AE}" pid="6" name="_AuthorEmailDisplayName">
    <vt:lpwstr>Shukla, Ashish</vt:lpwstr>
  </property>
  <property fmtid="{D5CDD505-2E9C-101B-9397-08002B2CF9AE}" pid="7" name="_PreviousAdHocReviewCycleID">
    <vt:i4>-2008267390</vt:i4>
  </property>
  <property fmtid="{D5CDD505-2E9C-101B-9397-08002B2CF9AE}" pid="8" name="_ReviewingToolsShownOnce">
    <vt:lpwstr/>
  </property>
</Properties>
</file>