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F06A08">
            <w:pPr>
              <w:pStyle w:val="T2"/>
            </w:pPr>
            <w:r>
              <w:t>R</w:t>
            </w:r>
            <w:r w:rsidR="00060E58">
              <w:t>esolution</w:t>
            </w:r>
            <w:r w:rsidR="00C33FAC">
              <w:t>s</w:t>
            </w:r>
            <w:r w:rsidR="00060E58">
              <w:t xml:space="preserve"> for </w:t>
            </w:r>
            <w:r w:rsidR="00F06A08">
              <w:t>Misselaneous</w:t>
            </w:r>
            <w:r w:rsidR="00007DE2">
              <w:t xml:space="preserve"> CIDs</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F06A08">
              <w:rPr>
                <w:b w:val="0"/>
                <w:sz w:val="20"/>
              </w:rPr>
              <w:t>2-0</w:t>
            </w:r>
            <w:r w:rsidR="00B33FD1">
              <w:rPr>
                <w:b w:val="0"/>
                <w:sz w:val="20"/>
              </w:rPr>
              <w:t>5-09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F06A08">
            <w:pPr>
              <w:pStyle w:val="T2"/>
              <w:spacing w:after="0"/>
              <w:ind w:left="0" w:right="0"/>
              <w:rPr>
                <w:b w:val="0"/>
                <w:sz w:val="20"/>
              </w:rPr>
            </w:pPr>
            <w:r>
              <w:rPr>
                <w:b w:val="0"/>
                <w:sz w:val="20"/>
              </w:rPr>
              <w:t>Vish Ponnampalam</w:t>
            </w:r>
          </w:p>
        </w:tc>
        <w:tc>
          <w:tcPr>
            <w:tcW w:w="2064" w:type="dxa"/>
            <w:vAlign w:val="center"/>
          </w:tcPr>
          <w:p w:rsidR="00CA09B2" w:rsidRDefault="00F06A08">
            <w:pPr>
              <w:pStyle w:val="T2"/>
              <w:spacing w:after="0"/>
              <w:ind w:left="0" w:right="0"/>
              <w:rPr>
                <w:b w:val="0"/>
                <w:sz w:val="20"/>
              </w:rPr>
            </w:pPr>
            <w:r>
              <w:rPr>
                <w:b w:val="0"/>
                <w:sz w:val="20"/>
              </w:rPr>
              <w:t>Mediatek</w:t>
            </w:r>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701"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813" w:type="dxa"/>
            <w:vAlign w:val="center"/>
          </w:tcPr>
          <w:p w:rsidR="00CA09B2" w:rsidRDefault="00F06A08">
            <w:pPr>
              <w:pStyle w:val="T2"/>
              <w:spacing w:after="0"/>
              <w:ind w:left="0" w:right="0"/>
              <w:rPr>
                <w:b w:val="0"/>
                <w:sz w:val="16"/>
              </w:rPr>
            </w:pPr>
            <w:r>
              <w:rPr>
                <w:b w:val="0"/>
                <w:sz w:val="16"/>
              </w:rPr>
              <w:t>vish.ponnampalam@mediatek.com</w:t>
            </w:r>
          </w:p>
        </w:tc>
      </w:tr>
      <w:tr w:rsidR="00C83392" w:rsidTr="00C470CB">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23317C">
      <w:pPr>
        <w:pStyle w:val="T1"/>
        <w:spacing w:after="120"/>
        <w:rPr>
          <w:sz w:val="22"/>
        </w:rPr>
      </w:pPr>
      <w:r w:rsidRPr="0023317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BB6E22" w:rsidRDefault="00BB6E22">
                  <w:pPr>
                    <w:pStyle w:val="T1"/>
                    <w:spacing w:after="120"/>
                  </w:pPr>
                  <w:r>
                    <w:t>Abstract</w:t>
                  </w:r>
                </w:p>
                <w:p w:rsidR="00BB6E22" w:rsidRDefault="00BB6E22" w:rsidP="005E3B65">
                  <w:pPr>
                    <w:jc w:val="both"/>
                  </w:pPr>
                  <w:r>
                    <w:t xml:space="preserve">This document proposes a resolution for CIDs </w:t>
                  </w:r>
                  <w:r w:rsidR="00B33FD1">
                    <w:t xml:space="preserve">4020 and 4094 </w:t>
                  </w:r>
                  <w:r>
                    <w:t>on P802.11ac/D</w:t>
                  </w:r>
                  <w:r w:rsidR="00F06A08">
                    <w:t>2</w:t>
                  </w:r>
                  <w:r>
                    <w:t>.0.</w:t>
                  </w:r>
                </w:p>
                <w:p w:rsidR="00BB6E22" w:rsidRDefault="00BB6E22">
                  <w:pPr>
                    <w:jc w:val="both"/>
                  </w:pPr>
                </w:p>
              </w:txbxContent>
            </v:textbox>
          </v:shape>
        </w:pict>
      </w:r>
    </w:p>
    <w:p w:rsidR="003C1C98" w:rsidRDefault="00CA09B2" w:rsidP="00F06A08">
      <w:pPr>
        <w:pStyle w:val="Heading2"/>
      </w:pPr>
      <w:r>
        <w:br w:type="page"/>
      </w:r>
    </w:p>
    <w:p w:rsidR="00127216" w:rsidRDefault="00127216" w:rsidP="00127216">
      <w:pPr>
        <w:rPr>
          <w:lang w:val="en-US"/>
        </w:rPr>
      </w:pPr>
    </w:p>
    <w:p w:rsidR="00B75BF5" w:rsidRDefault="00B75BF5" w:rsidP="00B75BF5">
      <w:pPr>
        <w:rPr>
          <w:lang w:val="en-US"/>
        </w:rPr>
      </w:pPr>
    </w:p>
    <w:p w:rsidR="00B75BF5" w:rsidRDefault="00B75BF5" w:rsidP="00B75BF5">
      <w:pPr>
        <w:rPr>
          <w:lang w:val="en-US"/>
        </w:rPr>
      </w:pPr>
    </w:p>
    <w:tbl>
      <w:tblPr>
        <w:tblW w:w="94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038"/>
        <w:gridCol w:w="606"/>
        <w:gridCol w:w="1036"/>
        <w:gridCol w:w="3022"/>
        <w:gridCol w:w="3024"/>
      </w:tblGrid>
      <w:tr w:rsidR="00B75BF5" w:rsidRPr="003C1C98" w:rsidTr="006625A0">
        <w:trPr>
          <w:trHeight w:val="3675"/>
        </w:trPr>
        <w:tc>
          <w:tcPr>
            <w:tcW w:w="746" w:type="dxa"/>
            <w:shd w:val="clear" w:color="auto" w:fill="auto"/>
            <w:hideMark/>
          </w:tcPr>
          <w:p w:rsidR="00B75BF5" w:rsidRPr="003C1C98" w:rsidRDefault="00B75BF5" w:rsidP="006625A0">
            <w:pPr>
              <w:jc w:val="right"/>
              <w:rPr>
                <w:rFonts w:ascii="Arial" w:eastAsia="Times New Roman" w:hAnsi="Arial" w:cs="Arial"/>
                <w:sz w:val="20"/>
                <w:lang w:val="en-US" w:eastAsia="zh-CN"/>
              </w:rPr>
            </w:pPr>
            <w:r w:rsidRPr="003C1C98">
              <w:rPr>
                <w:rFonts w:ascii="Arial" w:eastAsia="Times New Roman" w:hAnsi="Arial" w:cs="Arial"/>
                <w:sz w:val="20"/>
                <w:lang w:val="en-US" w:eastAsia="zh-CN"/>
              </w:rPr>
              <w:t>4094</w:t>
            </w:r>
          </w:p>
        </w:tc>
        <w:tc>
          <w:tcPr>
            <w:tcW w:w="1038" w:type="dxa"/>
            <w:shd w:val="clear" w:color="auto" w:fill="auto"/>
            <w:hideMark/>
          </w:tcPr>
          <w:p w:rsidR="00B75BF5" w:rsidRPr="003C1C98" w:rsidRDefault="00B75BF5" w:rsidP="006625A0">
            <w:pPr>
              <w:rPr>
                <w:rFonts w:ascii="Arial" w:eastAsia="Times New Roman" w:hAnsi="Arial" w:cs="Arial"/>
                <w:sz w:val="20"/>
                <w:lang w:val="en-US" w:eastAsia="zh-CN"/>
              </w:rPr>
            </w:pPr>
            <w:r w:rsidRPr="003C1C98">
              <w:rPr>
                <w:rFonts w:ascii="Arial" w:eastAsia="Times New Roman" w:hAnsi="Arial" w:cs="Arial"/>
                <w:sz w:val="20"/>
                <w:lang w:val="en-US" w:eastAsia="zh-CN"/>
              </w:rPr>
              <w:t>7.3.4.5</w:t>
            </w:r>
          </w:p>
        </w:tc>
        <w:tc>
          <w:tcPr>
            <w:tcW w:w="606" w:type="dxa"/>
            <w:shd w:val="clear" w:color="auto" w:fill="auto"/>
            <w:hideMark/>
          </w:tcPr>
          <w:p w:rsidR="00B75BF5" w:rsidRPr="003C1C98" w:rsidRDefault="00B75BF5" w:rsidP="006625A0">
            <w:pPr>
              <w:rPr>
                <w:rFonts w:ascii="Arial" w:eastAsia="Times New Roman" w:hAnsi="Arial" w:cs="Arial"/>
                <w:sz w:val="20"/>
                <w:lang w:val="en-US" w:eastAsia="zh-CN"/>
              </w:rPr>
            </w:pPr>
            <w:r w:rsidRPr="003C1C98">
              <w:rPr>
                <w:rFonts w:ascii="Arial" w:eastAsia="Times New Roman" w:hAnsi="Arial" w:cs="Arial"/>
                <w:sz w:val="20"/>
                <w:lang w:val="en-US" w:eastAsia="zh-CN"/>
              </w:rPr>
              <w:t>T</w:t>
            </w:r>
          </w:p>
        </w:tc>
        <w:tc>
          <w:tcPr>
            <w:tcW w:w="1036" w:type="dxa"/>
            <w:shd w:val="clear" w:color="auto" w:fill="auto"/>
            <w:hideMark/>
          </w:tcPr>
          <w:p w:rsidR="00B75BF5" w:rsidRPr="003C1C98" w:rsidRDefault="00B75BF5" w:rsidP="006625A0">
            <w:pPr>
              <w:jc w:val="right"/>
              <w:rPr>
                <w:rFonts w:ascii="Arial" w:eastAsia="Times New Roman" w:hAnsi="Arial" w:cs="Arial"/>
                <w:sz w:val="20"/>
                <w:lang w:val="en-US" w:eastAsia="zh-CN"/>
              </w:rPr>
            </w:pPr>
            <w:r w:rsidRPr="003C1C98">
              <w:rPr>
                <w:rFonts w:ascii="Arial" w:eastAsia="Times New Roman" w:hAnsi="Arial" w:cs="Arial"/>
                <w:sz w:val="20"/>
                <w:lang w:val="en-US" w:eastAsia="zh-CN"/>
              </w:rPr>
              <w:t>22.20</w:t>
            </w:r>
          </w:p>
        </w:tc>
        <w:tc>
          <w:tcPr>
            <w:tcW w:w="3022" w:type="dxa"/>
            <w:shd w:val="clear" w:color="auto" w:fill="auto"/>
            <w:hideMark/>
          </w:tcPr>
          <w:p w:rsidR="00B75BF5" w:rsidRPr="003C1C98" w:rsidRDefault="00B75BF5" w:rsidP="006625A0">
            <w:pPr>
              <w:rPr>
                <w:rFonts w:ascii="Arial" w:eastAsia="Times New Roman" w:hAnsi="Arial" w:cs="Arial"/>
                <w:sz w:val="20"/>
                <w:lang w:val="en-US" w:eastAsia="zh-CN"/>
              </w:rPr>
            </w:pPr>
            <w:r w:rsidRPr="003C1C98">
              <w:rPr>
                <w:rFonts w:ascii="Arial" w:eastAsia="Times New Roman" w:hAnsi="Arial" w:cs="Arial"/>
                <w:sz w:val="20"/>
                <w:lang w:val="en-US" w:eastAsia="zh-CN"/>
              </w:rPr>
              <w:t>How does the PHY determine whether to listen to Group ID 0 or 63?</w:t>
            </w:r>
            <w:r w:rsidRPr="003C1C98">
              <w:rPr>
                <w:rFonts w:ascii="Arial" w:eastAsia="Times New Roman" w:hAnsi="Arial" w:cs="Arial"/>
                <w:sz w:val="20"/>
                <w:lang w:val="en-US" w:eastAsia="zh-CN"/>
              </w:rPr>
              <w:br/>
              <w:t>This is dependent on its identity as an AP  or not,  and a knowledge that these values are reserved for the downline or uplink.  Such knowledge does not appear in 22.3.11.4.</w:t>
            </w:r>
            <w:r w:rsidRPr="003C1C98">
              <w:rPr>
                <w:rFonts w:ascii="Arial" w:eastAsia="Times New Roman" w:hAnsi="Arial" w:cs="Arial"/>
                <w:sz w:val="20"/>
                <w:lang w:val="en-US" w:eastAsia="zh-CN"/>
              </w:rPr>
              <w:br/>
              <w:t>A STA should not listed for both of these group IDs if it wants to maximise power saving.</w:t>
            </w:r>
          </w:p>
        </w:tc>
        <w:tc>
          <w:tcPr>
            <w:tcW w:w="3024" w:type="dxa"/>
            <w:shd w:val="clear" w:color="auto" w:fill="auto"/>
            <w:hideMark/>
          </w:tcPr>
          <w:p w:rsidR="00B75BF5" w:rsidRPr="003C1C98" w:rsidRDefault="00B75BF5" w:rsidP="006625A0">
            <w:pPr>
              <w:rPr>
                <w:rFonts w:ascii="Arial" w:eastAsia="Times New Roman" w:hAnsi="Arial" w:cs="Arial"/>
                <w:sz w:val="20"/>
                <w:lang w:val="en-US" w:eastAsia="zh-CN"/>
              </w:rPr>
            </w:pPr>
            <w:r w:rsidRPr="003C1C98">
              <w:rPr>
                <w:rFonts w:ascii="Arial" w:eastAsia="Times New Roman" w:hAnsi="Arial" w:cs="Arial"/>
                <w:sz w:val="20"/>
                <w:lang w:val="en-US" w:eastAsia="zh-CN"/>
              </w:rPr>
              <w:t>Add to GROUP_ID or add a new parameter to cover the SU receive case.</w:t>
            </w:r>
          </w:p>
        </w:tc>
      </w:tr>
    </w:tbl>
    <w:p w:rsidR="00B75BF5" w:rsidRDefault="00B75BF5" w:rsidP="00B75BF5">
      <w:pPr>
        <w:rPr>
          <w:lang w:val="en-US"/>
        </w:rPr>
      </w:pPr>
    </w:p>
    <w:p w:rsidR="00B75BF5" w:rsidRPr="00403C4D" w:rsidRDefault="00B75BF5" w:rsidP="00B75BF5">
      <w:pPr>
        <w:rPr>
          <w:lang w:val="en-US"/>
        </w:rPr>
      </w:pPr>
      <w:r w:rsidRPr="00403C4D">
        <w:rPr>
          <w:b/>
          <w:lang w:val="en-US"/>
        </w:rPr>
        <w:t>Resolution</w:t>
      </w:r>
      <w:r w:rsidRPr="00403C4D">
        <w:rPr>
          <w:lang w:val="en-US"/>
        </w:rPr>
        <w:t>:</w:t>
      </w:r>
      <w:r w:rsidR="006D2208" w:rsidRPr="00403C4D">
        <w:rPr>
          <w:lang w:val="en-US"/>
        </w:rPr>
        <w:t xml:space="preserve"> </w:t>
      </w:r>
      <w:r w:rsidR="00403C4D">
        <w:rPr>
          <w:lang w:val="en-US"/>
        </w:rPr>
        <w:t>Agree</w:t>
      </w:r>
    </w:p>
    <w:p w:rsidR="00E55C0A" w:rsidRPr="00403C4D" w:rsidRDefault="00E55C0A" w:rsidP="00B75BF5">
      <w:pPr>
        <w:rPr>
          <w:lang w:val="en-US"/>
        </w:rPr>
      </w:pPr>
    </w:p>
    <w:p w:rsidR="00B75BF5" w:rsidRDefault="00E55C0A" w:rsidP="00127216">
      <w:pPr>
        <w:rPr>
          <w:lang w:val="en-US"/>
        </w:rPr>
      </w:pPr>
      <w:r w:rsidRPr="00403C4D">
        <w:rPr>
          <w:b/>
          <w:lang w:val="en-US"/>
        </w:rPr>
        <w:t>Discussion:</w:t>
      </w:r>
      <w:r w:rsidR="006D2208" w:rsidRPr="00403C4D">
        <w:rPr>
          <w:b/>
          <w:lang w:val="en-US"/>
        </w:rPr>
        <w:t xml:space="preserve"> </w:t>
      </w:r>
      <w:r w:rsidR="00403C4D">
        <w:rPr>
          <w:lang w:val="en-US"/>
        </w:rPr>
        <w:t xml:space="preserve">We add two new parameters to the PHYCONFIG_VECTOR, named </w:t>
      </w:r>
      <w:bookmarkStart w:id="0" w:name="OLE_LINK17"/>
      <w:bookmarkStart w:id="1" w:name="OLE_LINK18"/>
      <w:r w:rsidR="00403C4D">
        <w:rPr>
          <w:lang w:val="en-US"/>
        </w:rPr>
        <w:t>LISTEN_TO_GID00</w:t>
      </w:r>
      <w:bookmarkEnd w:id="0"/>
      <w:bookmarkEnd w:id="1"/>
      <w:r w:rsidR="00403C4D">
        <w:rPr>
          <w:lang w:val="en-US"/>
        </w:rPr>
        <w:t xml:space="preserve"> and LISTEN_TO_GID63 which tells the PHY to listen to MU PPDUs with GROUP_ID field equal to 0 and 63, respectively. </w:t>
      </w:r>
    </w:p>
    <w:p w:rsidR="00310F3C" w:rsidRDefault="00310F3C" w:rsidP="00127216">
      <w:pPr>
        <w:rPr>
          <w:lang w:val="en-US"/>
        </w:rPr>
      </w:pPr>
    </w:p>
    <w:p w:rsidR="00310F3C" w:rsidRDefault="00310F3C" w:rsidP="00127216">
      <w:pPr>
        <w:rPr>
          <w:lang w:val="en-US"/>
        </w:rPr>
      </w:pPr>
      <w:r w:rsidRPr="00310F3C">
        <w:rPr>
          <w:b/>
          <w:lang w:val="en-US"/>
        </w:rPr>
        <w:t>Change</w:t>
      </w:r>
      <w:r>
        <w:rPr>
          <w:lang w:val="en-US"/>
        </w:rPr>
        <w:t xml:space="preserve">: </w:t>
      </w:r>
      <w:r w:rsidR="000F0E24">
        <w:rPr>
          <w:lang w:val="en-US"/>
        </w:rPr>
        <w:t>[</w:t>
      </w:r>
      <w:r w:rsidR="000F0E24" w:rsidRPr="000F0E24">
        <w:rPr>
          <w:i/>
          <w:highlight w:val="yellow"/>
          <w:lang w:val="en-US"/>
        </w:rPr>
        <w:t>Note to editor: Insert at the end of Table 7-4</w:t>
      </w:r>
      <w:r w:rsidR="000F0E24">
        <w:rPr>
          <w:lang w:val="en-US"/>
        </w:rPr>
        <w:t>]</w:t>
      </w:r>
    </w:p>
    <w:p w:rsidR="000F0E24" w:rsidRDefault="000F0E24" w:rsidP="00127216">
      <w:pPr>
        <w:rPr>
          <w:lang w:val="en-US"/>
        </w:rPr>
      </w:pPr>
    </w:p>
    <w:p w:rsidR="000F0E24" w:rsidRPr="000F0E24" w:rsidRDefault="000F0E24" w:rsidP="000F0E24">
      <w:pPr>
        <w:jc w:val="center"/>
        <w:rPr>
          <w:b/>
          <w:lang w:val="en-US"/>
        </w:rPr>
      </w:pPr>
      <w:r w:rsidRPr="000F0E24">
        <w:rPr>
          <w:b/>
          <w:lang w:val="en-US"/>
        </w:rPr>
        <w:t>Table 7-4 – Vector descriptions</w:t>
      </w:r>
    </w:p>
    <w:tbl>
      <w:tblPr>
        <w:tblStyle w:val="TableGrid"/>
        <w:tblW w:w="0" w:type="auto"/>
        <w:tblLook w:val="04A0"/>
      </w:tblPr>
      <w:tblGrid>
        <w:gridCol w:w="3192"/>
        <w:gridCol w:w="3192"/>
        <w:gridCol w:w="3192"/>
      </w:tblGrid>
      <w:tr w:rsidR="000F0E24" w:rsidTr="000F0E24">
        <w:tc>
          <w:tcPr>
            <w:tcW w:w="3192" w:type="dxa"/>
          </w:tcPr>
          <w:p w:rsidR="000F0E24" w:rsidRPr="000F0E24" w:rsidRDefault="000F0E24" w:rsidP="00127216">
            <w:pPr>
              <w:rPr>
                <w:b/>
                <w:lang w:val="en-US"/>
              </w:rPr>
            </w:pPr>
            <w:r w:rsidRPr="000F0E24">
              <w:rPr>
                <w:b/>
                <w:lang w:val="en-US"/>
              </w:rPr>
              <w:t>Parameter</w:t>
            </w:r>
          </w:p>
        </w:tc>
        <w:tc>
          <w:tcPr>
            <w:tcW w:w="3192" w:type="dxa"/>
          </w:tcPr>
          <w:p w:rsidR="000F0E24" w:rsidRPr="000F0E24" w:rsidRDefault="000F0E24" w:rsidP="00127216">
            <w:pPr>
              <w:rPr>
                <w:b/>
                <w:lang w:val="en-US"/>
              </w:rPr>
            </w:pPr>
            <w:r w:rsidRPr="000F0E24">
              <w:rPr>
                <w:b/>
                <w:lang w:val="en-US"/>
              </w:rPr>
              <w:t>Associate vector</w:t>
            </w:r>
          </w:p>
        </w:tc>
        <w:tc>
          <w:tcPr>
            <w:tcW w:w="3192" w:type="dxa"/>
          </w:tcPr>
          <w:p w:rsidR="000F0E24" w:rsidRPr="000F0E24" w:rsidRDefault="000F0E24" w:rsidP="000F0E24">
            <w:pPr>
              <w:tabs>
                <w:tab w:val="left" w:pos="1005"/>
              </w:tabs>
              <w:rPr>
                <w:b/>
                <w:lang w:val="en-US"/>
              </w:rPr>
            </w:pPr>
            <w:r w:rsidRPr="000F0E24">
              <w:rPr>
                <w:b/>
                <w:lang w:val="en-US"/>
              </w:rPr>
              <w:tab/>
              <w:t>Value</w:t>
            </w:r>
          </w:p>
        </w:tc>
      </w:tr>
      <w:tr w:rsidR="000F0E24" w:rsidTr="000F0E24">
        <w:tc>
          <w:tcPr>
            <w:tcW w:w="3192" w:type="dxa"/>
          </w:tcPr>
          <w:p w:rsidR="000F0E24" w:rsidRDefault="000F0E24" w:rsidP="00127216">
            <w:pPr>
              <w:rPr>
                <w:lang w:val="en-US"/>
              </w:rPr>
            </w:pPr>
            <w:r>
              <w:rPr>
                <w:lang w:val="en-US"/>
              </w:rPr>
              <w:t>LISTEN_TO_GID00</w:t>
            </w:r>
          </w:p>
        </w:tc>
        <w:tc>
          <w:tcPr>
            <w:tcW w:w="3192" w:type="dxa"/>
          </w:tcPr>
          <w:p w:rsidR="000F0E24" w:rsidRDefault="000F0E24" w:rsidP="00127216">
            <w:pPr>
              <w:rPr>
                <w:lang w:val="en-US"/>
              </w:rPr>
            </w:pPr>
            <w:bookmarkStart w:id="2" w:name="OLE_LINK19"/>
            <w:bookmarkStart w:id="3" w:name="OLE_LINK20"/>
            <w:r w:rsidRPr="000F0E24">
              <w:rPr>
                <w:lang w:val="en-US"/>
              </w:rPr>
              <w:t>PHYCONFIG_VECTOR</w:t>
            </w:r>
            <w:bookmarkEnd w:id="2"/>
            <w:bookmarkEnd w:id="3"/>
          </w:p>
        </w:tc>
        <w:tc>
          <w:tcPr>
            <w:tcW w:w="3192" w:type="dxa"/>
          </w:tcPr>
          <w:p w:rsidR="000F0E24" w:rsidRDefault="00750E58" w:rsidP="000F0E24">
            <w:pPr>
              <w:rPr>
                <w:lang w:val="en-US"/>
              </w:rPr>
            </w:pPr>
            <w:bookmarkStart w:id="4" w:name="OLE_LINK23"/>
            <w:bookmarkStart w:id="5" w:name="OLE_LINK24"/>
            <w:bookmarkStart w:id="6" w:name="OLE_LINK21"/>
            <w:bookmarkStart w:id="7" w:name="OLE_LINK22"/>
            <w:r>
              <w:rPr>
                <w:lang w:val="en-US"/>
              </w:rPr>
              <w:t>Indicates to</w:t>
            </w:r>
            <w:r w:rsidR="000F0E24">
              <w:rPr>
                <w:lang w:val="en-US"/>
              </w:rPr>
              <w:t xml:space="preserve"> </w:t>
            </w:r>
            <w:bookmarkEnd w:id="4"/>
            <w:bookmarkEnd w:id="5"/>
            <w:r w:rsidR="000F0E24">
              <w:rPr>
                <w:lang w:val="en-US"/>
              </w:rPr>
              <w:t>the PHY to detect MU PPDUs with GROUP_ID field set to the value 0.</w:t>
            </w:r>
            <w:bookmarkEnd w:id="6"/>
            <w:bookmarkEnd w:id="7"/>
          </w:p>
        </w:tc>
      </w:tr>
      <w:tr w:rsidR="000F0E24" w:rsidTr="000F0E24">
        <w:tc>
          <w:tcPr>
            <w:tcW w:w="3192" w:type="dxa"/>
          </w:tcPr>
          <w:p w:rsidR="000F0E24" w:rsidRDefault="000F0E24" w:rsidP="00127216">
            <w:pPr>
              <w:rPr>
                <w:lang w:val="en-US"/>
              </w:rPr>
            </w:pPr>
            <w:r>
              <w:rPr>
                <w:lang w:val="en-US"/>
              </w:rPr>
              <w:t>LISTEN_TO_GID63</w:t>
            </w:r>
          </w:p>
        </w:tc>
        <w:tc>
          <w:tcPr>
            <w:tcW w:w="3192" w:type="dxa"/>
          </w:tcPr>
          <w:p w:rsidR="000F0E24" w:rsidRDefault="000F0E24" w:rsidP="00127216">
            <w:pPr>
              <w:rPr>
                <w:lang w:val="en-US"/>
              </w:rPr>
            </w:pPr>
            <w:r>
              <w:rPr>
                <w:lang w:val="en-US"/>
              </w:rPr>
              <w:t>PHYCONFIG_VECTOR</w:t>
            </w:r>
          </w:p>
        </w:tc>
        <w:tc>
          <w:tcPr>
            <w:tcW w:w="3192" w:type="dxa"/>
          </w:tcPr>
          <w:p w:rsidR="000F0E24" w:rsidRDefault="00750E58" w:rsidP="00127216">
            <w:pPr>
              <w:rPr>
                <w:lang w:val="en-US"/>
              </w:rPr>
            </w:pPr>
            <w:r>
              <w:rPr>
                <w:lang w:val="en-US"/>
              </w:rPr>
              <w:t xml:space="preserve">Indicates to </w:t>
            </w:r>
            <w:r w:rsidR="000F0E24">
              <w:rPr>
                <w:lang w:val="en-US"/>
              </w:rPr>
              <w:t>the PHY to detect MU PPDUs with GROUP_ID field set to the value 63.</w:t>
            </w:r>
          </w:p>
        </w:tc>
      </w:tr>
    </w:tbl>
    <w:p w:rsidR="000F0E24" w:rsidRDefault="000F0E24" w:rsidP="00127216">
      <w:pPr>
        <w:rPr>
          <w:lang w:val="en-US"/>
        </w:rPr>
      </w:pPr>
    </w:p>
    <w:p w:rsidR="000F0E24" w:rsidRPr="006D2208" w:rsidRDefault="000F0E24" w:rsidP="00127216">
      <w:pPr>
        <w:rPr>
          <w:lang w:val="en-US"/>
        </w:rPr>
      </w:pPr>
    </w:p>
    <w:p w:rsidR="000F0E24" w:rsidRDefault="000F0E24">
      <w:pPr>
        <w:rPr>
          <w:lang w:val="en-US"/>
        </w:rPr>
      </w:pPr>
      <w:r>
        <w:rPr>
          <w:lang w:val="en-US"/>
        </w:rPr>
        <w:br w:type="page"/>
      </w:r>
    </w:p>
    <w:p w:rsidR="00B75BF5" w:rsidRPr="00127216" w:rsidRDefault="00B75BF5" w:rsidP="00127216">
      <w:pPr>
        <w:rPr>
          <w:lang w:val="en-US"/>
        </w:rPr>
      </w:pPr>
    </w:p>
    <w:p w:rsidR="003C1C98" w:rsidRDefault="003C1C98" w:rsidP="003C1C98">
      <w:pPr>
        <w:rPr>
          <w:lang w:val="en-US"/>
        </w:rPr>
      </w:pPr>
      <w:bookmarkStart w:id="8" w:name="OLE_LINK15"/>
      <w:bookmarkStart w:id="9" w:name="OLE_LINK16"/>
    </w:p>
    <w:tbl>
      <w:tblPr>
        <w:tblW w:w="941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236"/>
        <w:gridCol w:w="589"/>
        <w:gridCol w:w="1014"/>
        <w:gridCol w:w="2909"/>
        <w:gridCol w:w="2930"/>
      </w:tblGrid>
      <w:tr w:rsidR="000F3228" w:rsidRPr="003C1C98" w:rsidTr="000F3228">
        <w:trPr>
          <w:trHeight w:val="2550"/>
        </w:trPr>
        <w:tc>
          <w:tcPr>
            <w:tcW w:w="739" w:type="dxa"/>
            <w:shd w:val="clear" w:color="auto" w:fill="auto"/>
            <w:hideMark/>
          </w:tcPr>
          <w:p w:rsidR="000F3228" w:rsidRPr="003C1C98" w:rsidRDefault="00310F3C" w:rsidP="003C1C98">
            <w:pPr>
              <w:jc w:val="right"/>
              <w:rPr>
                <w:rFonts w:ascii="Arial" w:eastAsia="Times New Roman" w:hAnsi="Arial" w:cs="Arial"/>
                <w:sz w:val="20"/>
                <w:lang w:val="en-US" w:eastAsia="zh-CN"/>
              </w:rPr>
            </w:pPr>
            <w:r>
              <w:rPr>
                <w:rFonts w:ascii="Arial" w:eastAsia="Times New Roman" w:hAnsi="Arial" w:cs="Arial"/>
                <w:sz w:val="20"/>
                <w:lang w:val="en-US" w:eastAsia="zh-CN"/>
              </w:rPr>
              <w:t>4020</w:t>
            </w:r>
          </w:p>
        </w:tc>
        <w:tc>
          <w:tcPr>
            <w:tcW w:w="1236" w:type="dxa"/>
            <w:shd w:val="clear" w:color="auto" w:fill="auto"/>
            <w:hideMark/>
          </w:tcPr>
          <w:p w:rsidR="000F3228" w:rsidRPr="003C1C98" w:rsidRDefault="000F3228" w:rsidP="003C1C98">
            <w:pPr>
              <w:rPr>
                <w:rFonts w:ascii="Arial" w:eastAsia="Times New Roman" w:hAnsi="Arial" w:cs="Arial"/>
                <w:sz w:val="20"/>
                <w:lang w:val="en-US" w:eastAsia="zh-CN"/>
              </w:rPr>
            </w:pPr>
            <w:r w:rsidRPr="003C1C98">
              <w:rPr>
                <w:rFonts w:ascii="Arial" w:eastAsia="Times New Roman" w:hAnsi="Arial" w:cs="Arial"/>
                <w:sz w:val="20"/>
                <w:lang w:val="en-US" w:eastAsia="zh-CN"/>
              </w:rPr>
              <w:t>7.3.5.11.</w:t>
            </w:r>
            <w:r w:rsidR="00310F3C">
              <w:rPr>
                <w:rFonts w:ascii="Arial" w:eastAsia="Times New Roman" w:hAnsi="Arial" w:cs="Arial"/>
                <w:sz w:val="20"/>
                <w:lang w:val="en-US" w:eastAsia="zh-CN"/>
              </w:rPr>
              <w:t>3</w:t>
            </w:r>
          </w:p>
        </w:tc>
        <w:tc>
          <w:tcPr>
            <w:tcW w:w="589" w:type="dxa"/>
            <w:shd w:val="clear" w:color="auto" w:fill="auto"/>
            <w:hideMark/>
          </w:tcPr>
          <w:p w:rsidR="000F3228" w:rsidRPr="003C1C98" w:rsidRDefault="00310F3C" w:rsidP="003C1C98">
            <w:pPr>
              <w:rPr>
                <w:rFonts w:ascii="Arial" w:eastAsia="Times New Roman" w:hAnsi="Arial" w:cs="Arial"/>
                <w:sz w:val="20"/>
                <w:lang w:val="en-US" w:eastAsia="zh-CN"/>
              </w:rPr>
            </w:pPr>
            <w:r>
              <w:rPr>
                <w:rFonts w:ascii="Arial" w:eastAsia="Times New Roman" w:hAnsi="Arial" w:cs="Arial"/>
                <w:sz w:val="20"/>
                <w:lang w:val="en-US" w:eastAsia="zh-CN"/>
              </w:rPr>
              <w:t>G</w:t>
            </w:r>
          </w:p>
        </w:tc>
        <w:tc>
          <w:tcPr>
            <w:tcW w:w="1014" w:type="dxa"/>
            <w:shd w:val="clear" w:color="auto" w:fill="auto"/>
            <w:hideMark/>
          </w:tcPr>
          <w:p w:rsidR="000F3228" w:rsidRPr="003C1C98" w:rsidRDefault="00310F3C" w:rsidP="003C1C98">
            <w:pPr>
              <w:jc w:val="right"/>
              <w:rPr>
                <w:rFonts w:ascii="Arial" w:eastAsia="Times New Roman" w:hAnsi="Arial" w:cs="Arial"/>
                <w:sz w:val="20"/>
                <w:lang w:val="en-US" w:eastAsia="zh-CN"/>
              </w:rPr>
            </w:pPr>
            <w:r>
              <w:rPr>
                <w:rFonts w:ascii="Arial" w:eastAsia="Times New Roman" w:hAnsi="Arial" w:cs="Arial"/>
                <w:sz w:val="20"/>
                <w:lang w:val="en-US" w:eastAsia="zh-CN"/>
              </w:rPr>
              <w:t>24.65</w:t>
            </w:r>
          </w:p>
        </w:tc>
        <w:tc>
          <w:tcPr>
            <w:tcW w:w="2909" w:type="dxa"/>
            <w:shd w:val="clear" w:color="auto" w:fill="auto"/>
            <w:hideMark/>
          </w:tcPr>
          <w:p w:rsidR="00310F3C" w:rsidRPr="00310F3C" w:rsidRDefault="00310F3C" w:rsidP="00310F3C">
            <w:pPr>
              <w:rPr>
                <w:rFonts w:ascii="Arial" w:eastAsia="Times New Roman" w:hAnsi="Arial" w:cs="Arial"/>
                <w:sz w:val="20"/>
                <w:lang w:val="en-US" w:eastAsia="zh-CN"/>
              </w:rPr>
            </w:pPr>
            <w:r w:rsidRPr="00310F3C">
              <w:rPr>
                <w:rFonts w:ascii="Arial" w:eastAsia="Times New Roman" w:hAnsi="Arial" w:cs="Arial"/>
                <w:sz w:val="20"/>
                <w:lang w:val="en-US" w:eastAsia="zh-CN"/>
              </w:rPr>
              <w:t>LInes 44-65 clarify support in the HT PHY for maintaining channel busy based on the validity of the different SIG fields.</w:t>
            </w:r>
          </w:p>
          <w:p w:rsidR="00310F3C" w:rsidRPr="00310F3C" w:rsidRDefault="00310F3C" w:rsidP="00310F3C">
            <w:pPr>
              <w:rPr>
                <w:rFonts w:ascii="Arial" w:eastAsia="Times New Roman" w:hAnsi="Arial" w:cs="Arial"/>
                <w:sz w:val="20"/>
                <w:lang w:val="en-US" w:eastAsia="zh-CN"/>
              </w:rPr>
            </w:pPr>
          </w:p>
          <w:p w:rsidR="000F3228" w:rsidRPr="003C1C98" w:rsidRDefault="00310F3C" w:rsidP="00310F3C">
            <w:pPr>
              <w:rPr>
                <w:rFonts w:ascii="Arial" w:eastAsia="Times New Roman" w:hAnsi="Arial" w:cs="Arial"/>
                <w:sz w:val="20"/>
                <w:lang w:val="en-US" w:eastAsia="zh-CN"/>
              </w:rPr>
            </w:pPr>
            <w:r w:rsidRPr="00310F3C">
              <w:rPr>
                <w:rFonts w:ascii="Arial" w:eastAsia="Times New Roman" w:hAnsi="Arial" w:cs="Arial"/>
                <w:sz w:val="20"/>
                <w:lang w:val="en-US" w:eastAsia="zh-CN"/>
              </w:rPr>
              <w:t>Similar considerations apply to the VHT case.</w:t>
            </w:r>
          </w:p>
        </w:tc>
        <w:tc>
          <w:tcPr>
            <w:tcW w:w="2930" w:type="dxa"/>
            <w:shd w:val="clear" w:color="auto" w:fill="auto"/>
            <w:hideMark/>
          </w:tcPr>
          <w:p w:rsidR="000F3228" w:rsidRPr="003C1C98" w:rsidRDefault="00310F3C" w:rsidP="003C1C98">
            <w:pPr>
              <w:rPr>
                <w:rFonts w:ascii="Arial" w:eastAsia="Times New Roman" w:hAnsi="Arial" w:cs="Arial"/>
                <w:sz w:val="20"/>
                <w:lang w:val="en-US" w:eastAsia="zh-CN"/>
              </w:rPr>
            </w:pPr>
            <w:r w:rsidRPr="00310F3C">
              <w:rPr>
                <w:rFonts w:ascii="Arial" w:eastAsia="Times New Roman" w:hAnsi="Arial" w:cs="Arial"/>
                <w:sz w:val="20"/>
                <w:lang w:val="en-US" w:eastAsia="zh-CN"/>
              </w:rPr>
              <w:t>Add a description at 25.01 of when a VHT STA maintains the channel busy indication based on the received SIG field formats.</w:t>
            </w:r>
          </w:p>
        </w:tc>
      </w:tr>
    </w:tbl>
    <w:p w:rsidR="003C1C98" w:rsidRDefault="003C1C98" w:rsidP="003C1C98">
      <w:pPr>
        <w:rPr>
          <w:lang w:val="en-US"/>
        </w:rPr>
      </w:pPr>
    </w:p>
    <w:p w:rsidR="003C2F14" w:rsidRDefault="00715309" w:rsidP="003C1C98">
      <w:pPr>
        <w:rPr>
          <w:lang w:val="en-US"/>
        </w:rPr>
      </w:pPr>
      <w:r w:rsidRPr="00715309">
        <w:rPr>
          <w:b/>
          <w:lang w:val="en-US"/>
        </w:rPr>
        <w:t>Resolution</w:t>
      </w:r>
      <w:r>
        <w:rPr>
          <w:lang w:val="en-US"/>
        </w:rPr>
        <w:t>:</w:t>
      </w:r>
      <w:r w:rsidR="003C2F14">
        <w:rPr>
          <w:lang w:val="en-US"/>
        </w:rPr>
        <w:t xml:space="preserve"> Agree. </w:t>
      </w:r>
    </w:p>
    <w:p w:rsidR="003C2F14" w:rsidRDefault="003C2F14" w:rsidP="003C1C98">
      <w:pPr>
        <w:rPr>
          <w:lang w:val="en-US"/>
        </w:rPr>
      </w:pPr>
    </w:p>
    <w:p w:rsidR="007F72BA" w:rsidRDefault="003C2F14" w:rsidP="003C1C98">
      <w:pPr>
        <w:rPr>
          <w:lang w:val="en-US"/>
        </w:rPr>
      </w:pPr>
      <w:r w:rsidRPr="003C2F14">
        <w:rPr>
          <w:b/>
          <w:lang w:val="en-US"/>
        </w:rPr>
        <w:t>Discussion</w:t>
      </w:r>
      <w:r>
        <w:rPr>
          <w:lang w:val="en-US"/>
        </w:rPr>
        <w:t xml:space="preserve">: </w:t>
      </w:r>
      <w:r w:rsidR="00403C4D">
        <w:rPr>
          <w:lang w:val="en-US"/>
        </w:rPr>
        <w:t>We add a rule for maintaining channel busy indication for VHT STAs.</w:t>
      </w:r>
      <w:r w:rsidR="007F72BA">
        <w:rPr>
          <w:lang w:val="en-US"/>
        </w:rPr>
        <w:t xml:space="preserve"> If the received PPDU BW is 20 MHz BW</w:t>
      </w:r>
      <w:r w:rsidR="007667EB">
        <w:rPr>
          <w:lang w:val="en-US"/>
        </w:rPr>
        <w:t xml:space="preserve"> and occupies the primary 20 MHz channel</w:t>
      </w:r>
      <w:r w:rsidR="007F72BA">
        <w:rPr>
          <w:lang w:val="en-US"/>
        </w:rPr>
        <w:t xml:space="preserve"> or the received PPDU BW is greater than 20 MHz and spans the primary 20 MHz channel, the VHT STA will maintain channel busy indication based on length indicated in the preamble. </w:t>
      </w:r>
    </w:p>
    <w:p w:rsidR="007F72BA" w:rsidRDefault="007F72BA" w:rsidP="003C1C98">
      <w:pPr>
        <w:rPr>
          <w:lang w:val="en-US"/>
        </w:rPr>
      </w:pPr>
    </w:p>
    <w:p w:rsidR="003C1C98" w:rsidRDefault="003C2F14" w:rsidP="003C1C98">
      <w:pPr>
        <w:rPr>
          <w:lang w:val="en-US"/>
        </w:rPr>
      </w:pPr>
      <w:r w:rsidRPr="003C2F14">
        <w:rPr>
          <w:b/>
          <w:lang w:val="en-US"/>
        </w:rPr>
        <w:t>Change</w:t>
      </w:r>
      <w:r>
        <w:rPr>
          <w:lang w:val="en-US"/>
        </w:rPr>
        <w:t>: [</w:t>
      </w:r>
      <w:r w:rsidRPr="00403C4D">
        <w:rPr>
          <w:i/>
          <w:highlight w:val="yellow"/>
          <w:lang w:val="en-US"/>
        </w:rPr>
        <w:t>Note to editor</w:t>
      </w:r>
      <w:r w:rsidR="00403C4D" w:rsidRPr="00403C4D">
        <w:rPr>
          <w:i/>
          <w:highlight w:val="yellow"/>
          <w:lang w:val="en-US"/>
        </w:rPr>
        <w:t>: add to end of 7.3.5.11.3</w:t>
      </w:r>
      <w:r>
        <w:rPr>
          <w:lang w:val="en-US"/>
        </w:rPr>
        <w:t>]</w:t>
      </w:r>
    </w:p>
    <w:p w:rsidR="00403C4D" w:rsidRPr="00403C4D" w:rsidRDefault="0018619C" w:rsidP="00403C4D">
      <w:pPr>
        <w:rPr>
          <w:lang w:val="en-US"/>
        </w:rPr>
      </w:pPr>
      <w:r>
        <w:rPr>
          <w:lang w:val="en-US"/>
        </w:rPr>
        <w:t xml:space="preserve"> </w:t>
      </w:r>
    </w:p>
    <w:p w:rsidR="00403C4D" w:rsidRDefault="00403C4D" w:rsidP="00403C4D">
      <w:pPr>
        <w:rPr>
          <w:lang w:val="en-US"/>
        </w:rPr>
      </w:pPr>
      <w:r>
        <w:rPr>
          <w:lang w:val="en-US"/>
        </w:rPr>
        <w:t>If the STA is a VHT STA, the PHY maintains the channel busy indication until the period indicated by the LENGTH field has expired, where the LENGTH field is</w:t>
      </w:r>
    </w:p>
    <w:p w:rsidR="00403C4D" w:rsidRDefault="00403C4D" w:rsidP="00403C4D">
      <w:pPr>
        <w:ind w:left="720"/>
        <w:rPr>
          <w:lang w:val="en-US"/>
        </w:rPr>
      </w:pPr>
      <w:r>
        <w:rPr>
          <w:lang w:val="en-US"/>
        </w:rPr>
        <w:t xml:space="preserve">-In a valid SIG field if the format of the PPDU is NON_HT </w:t>
      </w:r>
      <w:r>
        <w:t xml:space="preserve">received in the primary </w:t>
      </w:r>
      <w:r>
        <w:rPr>
          <w:lang w:val="en-US"/>
        </w:rPr>
        <w:t>20 MHz channel</w:t>
      </w:r>
    </w:p>
    <w:p w:rsidR="00403C4D" w:rsidRDefault="00403C4D" w:rsidP="00403C4D">
      <w:pPr>
        <w:ind w:firstLine="720"/>
        <w:rPr>
          <w:lang w:val="en-US"/>
        </w:rPr>
      </w:pPr>
      <w:r>
        <w:rPr>
          <w:lang w:val="en-US"/>
        </w:rPr>
        <w:t xml:space="preserve">-In a valid HT-SIG field if the format of the PPDU is HT_MF or HT_GF </w:t>
      </w:r>
      <w:bookmarkStart w:id="10" w:name="OLE_LINK13"/>
      <w:bookmarkStart w:id="11" w:name="OLE_LINK14"/>
      <w:r>
        <w:rPr>
          <w:lang w:val="en-US"/>
        </w:rPr>
        <w:t xml:space="preserve">provided </w:t>
      </w:r>
      <w:bookmarkEnd w:id="10"/>
      <w:bookmarkEnd w:id="11"/>
      <w:r w:rsidR="007667EB">
        <w:rPr>
          <w:lang w:val="en-US"/>
        </w:rPr>
        <w:t>that the PPDU spans the primary 20 MHz channel</w:t>
      </w:r>
    </w:p>
    <w:p w:rsidR="00403C4D" w:rsidRDefault="00403C4D" w:rsidP="00403C4D">
      <w:pPr>
        <w:ind w:firstLine="720"/>
        <w:rPr>
          <w:lang w:val="en-US"/>
        </w:rPr>
      </w:pPr>
      <w:r>
        <w:rPr>
          <w:lang w:val="en-US"/>
        </w:rPr>
        <w:t xml:space="preserve">-In a valid </w:t>
      </w:r>
      <w:r w:rsidR="00792A83">
        <w:rPr>
          <w:lang w:val="en-US"/>
        </w:rPr>
        <w:t>L</w:t>
      </w:r>
      <w:r>
        <w:rPr>
          <w:lang w:val="en-US"/>
        </w:rPr>
        <w:t>-SI</w:t>
      </w:r>
      <w:r w:rsidR="00792A83">
        <w:rPr>
          <w:lang w:val="en-US"/>
        </w:rPr>
        <w:t>G</w:t>
      </w:r>
      <w:r>
        <w:rPr>
          <w:lang w:val="en-US"/>
        </w:rPr>
        <w:t xml:space="preserve"> field if the format of the PPDU is VHT provided that the PPDU </w:t>
      </w:r>
      <w:r w:rsidR="007667EB">
        <w:rPr>
          <w:lang w:val="en-US"/>
        </w:rPr>
        <w:t>spans</w:t>
      </w:r>
      <w:r w:rsidR="007667EB">
        <w:rPr>
          <w:lang w:val="en-US"/>
        </w:rPr>
        <w:t xml:space="preserve"> </w:t>
      </w:r>
      <w:r>
        <w:rPr>
          <w:lang w:val="en-US"/>
        </w:rPr>
        <w:t>the primary 20 MHz channel</w:t>
      </w:r>
    </w:p>
    <w:bookmarkEnd w:id="8"/>
    <w:bookmarkEnd w:id="9"/>
    <w:p w:rsidR="00403C4D" w:rsidRPr="00403C4D" w:rsidRDefault="00403C4D" w:rsidP="00403C4D">
      <w:pPr>
        <w:rPr>
          <w:lang w:val="en-US"/>
        </w:rPr>
      </w:pPr>
    </w:p>
    <w:p w:rsidR="00403C4D" w:rsidRPr="00403C4D" w:rsidRDefault="00403C4D" w:rsidP="00403C4D">
      <w:pPr>
        <w:pStyle w:val="ListParagraph"/>
        <w:ind w:left="1080"/>
      </w:pPr>
    </w:p>
    <w:sectPr w:rsidR="00403C4D" w:rsidRPr="00403C4D" w:rsidSect="008C78FD">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E49" w:rsidRDefault="00017E49">
      <w:r>
        <w:separator/>
      </w:r>
    </w:p>
  </w:endnote>
  <w:endnote w:type="continuationSeparator" w:id="0">
    <w:p w:rsidR="00017E49" w:rsidRDefault="00017E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23317C">
    <w:pPr>
      <w:pStyle w:val="Footer"/>
      <w:tabs>
        <w:tab w:val="clear" w:pos="6480"/>
        <w:tab w:val="center" w:pos="4680"/>
        <w:tab w:val="right" w:pos="9360"/>
      </w:tabs>
    </w:pPr>
    <w:fldSimple w:instr=" SUBJECT  \* MERGEFORMAT ">
      <w:r w:rsidR="00766AC9">
        <w:t>Submission</w:t>
      </w:r>
    </w:fldSimple>
    <w:r w:rsidR="00BB6E22">
      <w:tab/>
      <w:t xml:space="preserve">page </w:t>
    </w:r>
    <w:fldSimple w:instr="page ">
      <w:r w:rsidR="004A0EE6">
        <w:rPr>
          <w:noProof/>
        </w:rPr>
        <w:t>2</w:t>
      </w:r>
    </w:fldSimple>
    <w:r w:rsidR="00BB6E22">
      <w:tab/>
    </w:r>
    <w:r w:rsidR="00F06A08">
      <w:t>Vish Ponnampalam, Mediatek</w:t>
    </w:r>
  </w:p>
  <w:p w:rsidR="00BB6E22" w:rsidRDefault="00BB6E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E49" w:rsidRDefault="00017E49">
      <w:r>
        <w:separator/>
      </w:r>
    </w:p>
  </w:footnote>
  <w:footnote w:type="continuationSeparator" w:id="0">
    <w:p w:rsidR="00017E49" w:rsidRDefault="00017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F06A08">
    <w:pPr>
      <w:pStyle w:val="Header"/>
      <w:tabs>
        <w:tab w:val="clear" w:pos="6480"/>
        <w:tab w:val="center" w:pos="4680"/>
        <w:tab w:val="right" w:pos="9360"/>
      </w:tabs>
    </w:pPr>
    <w:r>
      <w:t>March 2012</w:t>
    </w:r>
    <w:r w:rsidR="00BB6E22">
      <w:tab/>
    </w:r>
    <w:r w:rsidR="00BB6E22">
      <w:tab/>
    </w:r>
    <w:fldSimple w:instr=" TITLE  \* MERGEFORMAT ">
      <w:r w:rsidR="00766AC9">
        <w:t>doc.: IEEE 802.11-1</w:t>
      </w:r>
      <w:r>
        <w:t>2</w:t>
      </w:r>
      <w:r w:rsidR="00766AC9">
        <w:t>/</w:t>
      </w:r>
      <w:r w:rsidR="009425F4">
        <w:t>0</w:t>
      </w:r>
      <w:r w:rsidR="00B33FD1">
        <w:t>588</w:t>
      </w:r>
      <w:r w:rsidR="00766AC9">
        <w:t>r</w:t>
      </w:r>
      <w: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6"/>
  </w:num>
  <w:num w:numId="7">
    <w:abstractNumId w:val="8"/>
  </w:num>
  <w:num w:numId="8">
    <w:abstractNumId w:val="9"/>
  </w:num>
  <w:num w:numId="9">
    <w:abstractNumId w:val="2"/>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9635A1"/>
    <w:rsid w:val="00007DE2"/>
    <w:rsid w:val="00016138"/>
    <w:rsid w:val="00017E49"/>
    <w:rsid w:val="00021BA9"/>
    <w:rsid w:val="00032BB9"/>
    <w:rsid w:val="0004286A"/>
    <w:rsid w:val="00042DDD"/>
    <w:rsid w:val="00043EE8"/>
    <w:rsid w:val="00044546"/>
    <w:rsid w:val="0004728C"/>
    <w:rsid w:val="0005249B"/>
    <w:rsid w:val="000572CA"/>
    <w:rsid w:val="00060E58"/>
    <w:rsid w:val="00061E5E"/>
    <w:rsid w:val="00073B2F"/>
    <w:rsid w:val="000943EC"/>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C6"/>
    <w:rsid w:val="001206D7"/>
    <w:rsid w:val="001236EA"/>
    <w:rsid w:val="0012580B"/>
    <w:rsid w:val="001262F0"/>
    <w:rsid w:val="00127216"/>
    <w:rsid w:val="0013684E"/>
    <w:rsid w:val="00140F79"/>
    <w:rsid w:val="001432F7"/>
    <w:rsid w:val="0014398B"/>
    <w:rsid w:val="00146A8F"/>
    <w:rsid w:val="001509A8"/>
    <w:rsid w:val="00162EF8"/>
    <w:rsid w:val="00163ABC"/>
    <w:rsid w:val="00164D05"/>
    <w:rsid w:val="00174C33"/>
    <w:rsid w:val="0018374D"/>
    <w:rsid w:val="00183993"/>
    <w:rsid w:val="0018549C"/>
    <w:rsid w:val="0018619C"/>
    <w:rsid w:val="00192184"/>
    <w:rsid w:val="0019539F"/>
    <w:rsid w:val="00197246"/>
    <w:rsid w:val="001A3E1C"/>
    <w:rsid w:val="001B1F75"/>
    <w:rsid w:val="001B4125"/>
    <w:rsid w:val="001B6A0D"/>
    <w:rsid w:val="001C6B3D"/>
    <w:rsid w:val="001D0710"/>
    <w:rsid w:val="001D159F"/>
    <w:rsid w:val="001D723B"/>
    <w:rsid w:val="001D73DA"/>
    <w:rsid w:val="001E59C1"/>
    <w:rsid w:val="0020607E"/>
    <w:rsid w:val="00215B3D"/>
    <w:rsid w:val="0023317C"/>
    <w:rsid w:val="00233A1D"/>
    <w:rsid w:val="002404B9"/>
    <w:rsid w:val="00250936"/>
    <w:rsid w:val="00256FB2"/>
    <w:rsid w:val="00261647"/>
    <w:rsid w:val="002627FC"/>
    <w:rsid w:val="00265111"/>
    <w:rsid w:val="00270B91"/>
    <w:rsid w:val="0027413B"/>
    <w:rsid w:val="00282604"/>
    <w:rsid w:val="00285540"/>
    <w:rsid w:val="0029020B"/>
    <w:rsid w:val="00293A9A"/>
    <w:rsid w:val="002946CE"/>
    <w:rsid w:val="002A1024"/>
    <w:rsid w:val="002A5186"/>
    <w:rsid w:val="002B233F"/>
    <w:rsid w:val="002B4492"/>
    <w:rsid w:val="002B6E7A"/>
    <w:rsid w:val="002C01D8"/>
    <w:rsid w:val="002D09C3"/>
    <w:rsid w:val="002D27CB"/>
    <w:rsid w:val="002D44BE"/>
    <w:rsid w:val="002E4FF6"/>
    <w:rsid w:val="002F249F"/>
    <w:rsid w:val="002F24D0"/>
    <w:rsid w:val="003042AF"/>
    <w:rsid w:val="00310F3C"/>
    <w:rsid w:val="00312473"/>
    <w:rsid w:val="00312E9F"/>
    <w:rsid w:val="00316416"/>
    <w:rsid w:val="003166AC"/>
    <w:rsid w:val="003168F4"/>
    <w:rsid w:val="00316B18"/>
    <w:rsid w:val="00320E23"/>
    <w:rsid w:val="00326C92"/>
    <w:rsid w:val="00330142"/>
    <w:rsid w:val="00334E1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3F8F"/>
    <w:rsid w:val="003A44C2"/>
    <w:rsid w:val="003A459E"/>
    <w:rsid w:val="003B339B"/>
    <w:rsid w:val="003B4CF2"/>
    <w:rsid w:val="003C1C98"/>
    <w:rsid w:val="003C2F14"/>
    <w:rsid w:val="003C32D9"/>
    <w:rsid w:val="003D12ED"/>
    <w:rsid w:val="003D58D9"/>
    <w:rsid w:val="003E753A"/>
    <w:rsid w:val="003E7E31"/>
    <w:rsid w:val="003F1A67"/>
    <w:rsid w:val="003F7EE9"/>
    <w:rsid w:val="00401528"/>
    <w:rsid w:val="00403C4D"/>
    <w:rsid w:val="00406608"/>
    <w:rsid w:val="00406A7F"/>
    <w:rsid w:val="004214D9"/>
    <w:rsid w:val="00422CB9"/>
    <w:rsid w:val="00424215"/>
    <w:rsid w:val="00442037"/>
    <w:rsid w:val="00443926"/>
    <w:rsid w:val="0044454F"/>
    <w:rsid w:val="00446D78"/>
    <w:rsid w:val="004470B1"/>
    <w:rsid w:val="00450D6A"/>
    <w:rsid w:val="00456C07"/>
    <w:rsid w:val="00461A76"/>
    <w:rsid w:val="0046286C"/>
    <w:rsid w:val="004642F6"/>
    <w:rsid w:val="00474AA9"/>
    <w:rsid w:val="004754D4"/>
    <w:rsid w:val="00476675"/>
    <w:rsid w:val="00477719"/>
    <w:rsid w:val="0048105A"/>
    <w:rsid w:val="00491243"/>
    <w:rsid w:val="00491BAF"/>
    <w:rsid w:val="004A07D8"/>
    <w:rsid w:val="004A095C"/>
    <w:rsid w:val="004A0EE6"/>
    <w:rsid w:val="004A3AE8"/>
    <w:rsid w:val="004A3ECF"/>
    <w:rsid w:val="004B4A79"/>
    <w:rsid w:val="004C29E2"/>
    <w:rsid w:val="004D07B2"/>
    <w:rsid w:val="004D1E87"/>
    <w:rsid w:val="004D7CE6"/>
    <w:rsid w:val="004E1024"/>
    <w:rsid w:val="00513F76"/>
    <w:rsid w:val="005206BA"/>
    <w:rsid w:val="005234BA"/>
    <w:rsid w:val="00526768"/>
    <w:rsid w:val="00540284"/>
    <w:rsid w:val="00553985"/>
    <w:rsid w:val="0055533E"/>
    <w:rsid w:val="0057632E"/>
    <w:rsid w:val="005765EB"/>
    <w:rsid w:val="005869BF"/>
    <w:rsid w:val="00587618"/>
    <w:rsid w:val="00596B33"/>
    <w:rsid w:val="005A1199"/>
    <w:rsid w:val="005B2556"/>
    <w:rsid w:val="005C366B"/>
    <w:rsid w:val="005C7720"/>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6809"/>
    <w:rsid w:val="00676D3E"/>
    <w:rsid w:val="0068137D"/>
    <w:rsid w:val="00687091"/>
    <w:rsid w:val="00696FB9"/>
    <w:rsid w:val="006A11B1"/>
    <w:rsid w:val="006B130C"/>
    <w:rsid w:val="006B4170"/>
    <w:rsid w:val="006C0727"/>
    <w:rsid w:val="006D0628"/>
    <w:rsid w:val="006D2208"/>
    <w:rsid w:val="006D2E76"/>
    <w:rsid w:val="006D5970"/>
    <w:rsid w:val="006D6880"/>
    <w:rsid w:val="006E145F"/>
    <w:rsid w:val="006E7591"/>
    <w:rsid w:val="006E7B2D"/>
    <w:rsid w:val="006F071B"/>
    <w:rsid w:val="006F254F"/>
    <w:rsid w:val="006F4B1F"/>
    <w:rsid w:val="007072CB"/>
    <w:rsid w:val="00710C96"/>
    <w:rsid w:val="007113F8"/>
    <w:rsid w:val="00711D0C"/>
    <w:rsid w:val="007133EE"/>
    <w:rsid w:val="00713743"/>
    <w:rsid w:val="00715309"/>
    <w:rsid w:val="00723980"/>
    <w:rsid w:val="00732B59"/>
    <w:rsid w:val="007330E5"/>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C1CBD"/>
    <w:rsid w:val="007C682B"/>
    <w:rsid w:val="007D0D58"/>
    <w:rsid w:val="007E249D"/>
    <w:rsid w:val="007E2BE5"/>
    <w:rsid w:val="007E2CC2"/>
    <w:rsid w:val="007E7381"/>
    <w:rsid w:val="007F31C4"/>
    <w:rsid w:val="007F72BA"/>
    <w:rsid w:val="008061AE"/>
    <w:rsid w:val="00820DD5"/>
    <w:rsid w:val="008210C9"/>
    <w:rsid w:val="00827871"/>
    <w:rsid w:val="0085177A"/>
    <w:rsid w:val="008552CD"/>
    <w:rsid w:val="00856084"/>
    <w:rsid w:val="00857BC9"/>
    <w:rsid w:val="00871FC3"/>
    <w:rsid w:val="0087238E"/>
    <w:rsid w:val="008723C8"/>
    <w:rsid w:val="008866D1"/>
    <w:rsid w:val="008B1221"/>
    <w:rsid w:val="008B4EA2"/>
    <w:rsid w:val="008B5360"/>
    <w:rsid w:val="008B69B1"/>
    <w:rsid w:val="008C417E"/>
    <w:rsid w:val="008C78FD"/>
    <w:rsid w:val="008D42D2"/>
    <w:rsid w:val="008D6ABE"/>
    <w:rsid w:val="008D7E02"/>
    <w:rsid w:val="008F0170"/>
    <w:rsid w:val="008F06D8"/>
    <w:rsid w:val="008F6E0C"/>
    <w:rsid w:val="00902AE1"/>
    <w:rsid w:val="00904ED7"/>
    <w:rsid w:val="0090557F"/>
    <w:rsid w:val="00916BC9"/>
    <w:rsid w:val="00925C06"/>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D014F"/>
    <w:rsid w:val="009D0992"/>
    <w:rsid w:val="009D33AA"/>
    <w:rsid w:val="009D6983"/>
    <w:rsid w:val="009E187D"/>
    <w:rsid w:val="009E37BA"/>
    <w:rsid w:val="009F7E1D"/>
    <w:rsid w:val="00A03FDF"/>
    <w:rsid w:val="00A0414B"/>
    <w:rsid w:val="00A07710"/>
    <w:rsid w:val="00A2583D"/>
    <w:rsid w:val="00A31F39"/>
    <w:rsid w:val="00A33F0B"/>
    <w:rsid w:val="00A36F1D"/>
    <w:rsid w:val="00A37F57"/>
    <w:rsid w:val="00A37F7D"/>
    <w:rsid w:val="00A43528"/>
    <w:rsid w:val="00A47FD6"/>
    <w:rsid w:val="00A50906"/>
    <w:rsid w:val="00A50B1A"/>
    <w:rsid w:val="00A50D02"/>
    <w:rsid w:val="00A53DE3"/>
    <w:rsid w:val="00A549F9"/>
    <w:rsid w:val="00A5598A"/>
    <w:rsid w:val="00A65BB5"/>
    <w:rsid w:val="00A83F65"/>
    <w:rsid w:val="00A863AF"/>
    <w:rsid w:val="00A866BB"/>
    <w:rsid w:val="00A946FB"/>
    <w:rsid w:val="00AA1F2B"/>
    <w:rsid w:val="00AA2C45"/>
    <w:rsid w:val="00AA427C"/>
    <w:rsid w:val="00AA4B9B"/>
    <w:rsid w:val="00AA7156"/>
    <w:rsid w:val="00AB6218"/>
    <w:rsid w:val="00AC61E6"/>
    <w:rsid w:val="00AD0934"/>
    <w:rsid w:val="00AD4C19"/>
    <w:rsid w:val="00AD61CF"/>
    <w:rsid w:val="00AE2E89"/>
    <w:rsid w:val="00AE7DC3"/>
    <w:rsid w:val="00AF2F1D"/>
    <w:rsid w:val="00AF63CF"/>
    <w:rsid w:val="00AF6F58"/>
    <w:rsid w:val="00AF75F4"/>
    <w:rsid w:val="00AF7CC4"/>
    <w:rsid w:val="00B06099"/>
    <w:rsid w:val="00B1617B"/>
    <w:rsid w:val="00B248EF"/>
    <w:rsid w:val="00B301E0"/>
    <w:rsid w:val="00B33FD1"/>
    <w:rsid w:val="00B56DF5"/>
    <w:rsid w:val="00B57DFF"/>
    <w:rsid w:val="00B614E8"/>
    <w:rsid w:val="00B63572"/>
    <w:rsid w:val="00B667A1"/>
    <w:rsid w:val="00B72700"/>
    <w:rsid w:val="00B73245"/>
    <w:rsid w:val="00B75BF5"/>
    <w:rsid w:val="00B76992"/>
    <w:rsid w:val="00B80121"/>
    <w:rsid w:val="00B825D0"/>
    <w:rsid w:val="00B8270D"/>
    <w:rsid w:val="00B84910"/>
    <w:rsid w:val="00B913E0"/>
    <w:rsid w:val="00B951EE"/>
    <w:rsid w:val="00BA3FBC"/>
    <w:rsid w:val="00BB616E"/>
    <w:rsid w:val="00BB6E22"/>
    <w:rsid w:val="00BC1955"/>
    <w:rsid w:val="00BE283B"/>
    <w:rsid w:val="00BE45B5"/>
    <w:rsid w:val="00BE4E02"/>
    <w:rsid w:val="00BE53CE"/>
    <w:rsid w:val="00BE5B55"/>
    <w:rsid w:val="00BE68C2"/>
    <w:rsid w:val="00BF7F5F"/>
    <w:rsid w:val="00C044BD"/>
    <w:rsid w:val="00C04D4B"/>
    <w:rsid w:val="00C07456"/>
    <w:rsid w:val="00C10065"/>
    <w:rsid w:val="00C1006B"/>
    <w:rsid w:val="00C10ABC"/>
    <w:rsid w:val="00C1324C"/>
    <w:rsid w:val="00C274C6"/>
    <w:rsid w:val="00C30FB1"/>
    <w:rsid w:val="00C3193A"/>
    <w:rsid w:val="00C33F8C"/>
    <w:rsid w:val="00C33FAC"/>
    <w:rsid w:val="00C4419F"/>
    <w:rsid w:val="00C44CB6"/>
    <w:rsid w:val="00C46DC4"/>
    <w:rsid w:val="00C470CB"/>
    <w:rsid w:val="00C63FD9"/>
    <w:rsid w:val="00C6723D"/>
    <w:rsid w:val="00C67F91"/>
    <w:rsid w:val="00C73B27"/>
    <w:rsid w:val="00C747A0"/>
    <w:rsid w:val="00C83392"/>
    <w:rsid w:val="00C84935"/>
    <w:rsid w:val="00C96742"/>
    <w:rsid w:val="00C978CB"/>
    <w:rsid w:val="00CA09B2"/>
    <w:rsid w:val="00CA196B"/>
    <w:rsid w:val="00CC19CA"/>
    <w:rsid w:val="00CD73E1"/>
    <w:rsid w:val="00CE1FC9"/>
    <w:rsid w:val="00CE2750"/>
    <w:rsid w:val="00CE6DEB"/>
    <w:rsid w:val="00CF2F18"/>
    <w:rsid w:val="00CF42C1"/>
    <w:rsid w:val="00D11FEA"/>
    <w:rsid w:val="00D14CE1"/>
    <w:rsid w:val="00D17A22"/>
    <w:rsid w:val="00D21021"/>
    <w:rsid w:val="00D21368"/>
    <w:rsid w:val="00D236D5"/>
    <w:rsid w:val="00D27F0A"/>
    <w:rsid w:val="00D35623"/>
    <w:rsid w:val="00D37F4E"/>
    <w:rsid w:val="00D406E0"/>
    <w:rsid w:val="00D42597"/>
    <w:rsid w:val="00D56C6D"/>
    <w:rsid w:val="00D63C82"/>
    <w:rsid w:val="00D74481"/>
    <w:rsid w:val="00D83302"/>
    <w:rsid w:val="00D84019"/>
    <w:rsid w:val="00D858A9"/>
    <w:rsid w:val="00D90A92"/>
    <w:rsid w:val="00D93C28"/>
    <w:rsid w:val="00DA28BB"/>
    <w:rsid w:val="00DA3776"/>
    <w:rsid w:val="00DA7832"/>
    <w:rsid w:val="00DB04E4"/>
    <w:rsid w:val="00DB6D9B"/>
    <w:rsid w:val="00DC06F2"/>
    <w:rsid w:val="00DC5A7B"/>
    <w:rsid w:val="00DD12AC"/>
    <w:rsid w:val="00DD16B5"/>
    <w:rsid w:val="00DD1EAD"/>
    <w:rsid w:val="00DD27CE"/>
    <w:rsid w:val="00DD29C5"/>
    <w:rsid w:val="00DD31F7"/>
    <w:rsid w:val="00DD6E1F"/>
    <w:rsid w:val="00DE0B81"/>
    <w:rsid w:val="00DE1C08"/>
    <w:rsid w:val="00DE2572"/>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A7C"/>
    <w:rsid w:val="00E67488"/>
    <w:rsid w:val="00E675A4"/>
    <w:rsid w:val="00E73A7C"/>
    <w:rsid w:val="00E8104F"/>
    <w:rsid w:val="00E81CB0"/>
    <w:rsid w:val="00E85E43"/>
    <w:rsid w:val="00E90242"/>
    <w:rsid w:val="00E9387B"/>
    <w:rsid w:val="00E93A0B"/>
    <w:rsid w:val="00EA23C9"/>
    <w:rsid w:val="00EB50EE"/>
    <w:rsid w:val="00EB5FD6"/>
    <w:rsid w:val="00EC74F3"/>
    <w:rsid w:val="00EC7C69"/>
    <w:rsid w:val="00ED69F6"/>
    <w:rsid w:val="00EE0719"/>
    <w:rsid w:val="00EE2FC2"/>
    <w:rsid w:val="00EF3692"/>
    <w:rsid w:val="00EF45BA"/>
    <w:rsid w:val="00EF66C2"/>
    <w:rsid w:val="00F038F5"/>
    <w:rsid w:val="00F06A08"/>
    <w:rsid w:val="00F105B0"/>
    <w:rsid w:val="00F14F19"/>
    <w:rsid w:val="00F17CDE"/>
    <w:rsid w:val="00F25010"/>
    <w:rsid w:val="00F27F4A"/>
    <w:rsid w:val="00F30AE0"/>
    <w:rsid w:val="00F3381D"/>
    <w:rsid w:val="00F35BF3"/>
    <w:rsid w:val="00F5068A"/>
    <w:rsid w:val="00F522E1"/>
    <w:rsid w:val="00F57CD9"/>
    <w:rsid w:val="00F66F2F"/>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3</cp:revision>
  <cp:lastPrinted>2012-03-03T00:58:00Z</cp:lastPrinted>
  <dcterms:created xsi:type="dcterms:W3CDTF">2012-05-09T18:16:00Z</dcterms:created>
  <dcterms:modified xsi:type="dcterms:W3CDTF">2012-05-09T18:17:00Z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