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851ED2">
            <w:pPr>
              <w:pStyle w:val="T2"/>
            </w:pPr>
            <w:r>
              <w:t>LB 187 Miscellaneous Comment Resolution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9B1BD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9B1BD1">
              <w:rPr>
                <w:b w:val="0"/>
                <w:sz w:val="20"/>
              </w:rPr>
              <w:t xml:space="preserve">  2012</w:t>
            </w:r>
            <w:r>
              <w:rPr>
                <w:b w:val="0"/>
                <w:sz w:val="20"/>
              </w:rPr>
              <w:t>-</w:t>
            </w:r>
            <w:r w:rsidR="009B1BD1">
              <w:rPr>
                <w:b w:val="0"/>
                <w:sz w:val="20"/>
              </w:rPr>
              <w:t>04</w:t>
            </w:r>
            <w:r>
              <w:rPr>
                <w:b w:val="0"/>
                <w:sz w:val="20"/>
              </w:rPr>
              <w:t>-</w:t>
            </w:r>
            <w:r w:rsidR="009B1BD1">
              <w:rPr>
                <w:b w:val="0"/>
                <w:sz w:val="20"/>
              </w:rPr>
              <w:t>26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89125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Osama Aboul-Magd</w:t>
            </w:r>
          </w:p>
        </w:tc>
        <w:tc>
          <w:tcPr>
            <w:tcW w:w="2064" w:type="dxa"/>
            <w:vAlign w:val="center"/>
          </w:tcPr>
          <w:p w:rsidR="00CA09B2" w:rsidRDefault="0089125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Huawei</w:t>
            </w:r>
            <w:proofErr w:type="spellEnd"/>
            <w:r>
              <w:rPr>
                <w:b w:val="0"/>
                <w:sz w:val="20"/>
              </w:rPr>
              <w:t xml:space="preserve"> Technologies</w:t>
            </w:r>
          </w:p>
        </w:tc>
        <w:tc>
          <w:tcPr>
            <w:tcW w:w="2814" w:type="dxa"/>
            <w:vAlign w:val="center"/>
          </w:tcPr>
          <w:p w:rsidR="00CA09B2" w:rsidRDefault="0089125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303 Terry Fox Drive, Ottawa, ON, K2K-3J1, Canada</w:t>
            </w:r>
          </w:p>
        </w:tc>
        <w:tc>
          <w:tcPr>
            <w:tcW w:w="1715" w:type="dxa"/>
            <w:vAlign w:val="center"/>
          </w:tcPr>
          <w:p w:rsidR="00CA09B2" w:rsidRDefault="0089125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613 287 1405</w:t>
            </w:r>
          </w:p>
        </w:tc>
        <w:tc>
          <w:tcPr>
            <w:tcW w:w="1647" w:type="dxa"/>
            <w:vAlign w:val="center"/>
          </w:tcPr>
          <w:p w:rsidR="00CA09B2" w:rsidRDefault="0089125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Osama.aboulmagd@huawei.com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81F8B">
      <w:pPr>
        <w:pStyle w:val="T1"/>
        <w:spacing w:after="120"/>
        <w:rPr>
          <w:sz w:val="22"/>
        </w:rPr>
      </w:pPr>
      <w:r w:rsidRPr="00D81F8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851ED2">
                  <w:pPr>
                    <w:jc w:val="both"/>
                  </w:pPr>
                  <w:r>
                    <w:t>This document include proposed resolutions to CIDs 4231, 4232, 5029, and 4976</w:t>
                  </w:r>
                </w:p>
              </w:txbxContent>
            </v:textbox>
          </v:shape>
        </w:pict>
      </w:r>
    </w:p>
    <w:p w:rsidR="00CA09B2" w:rsidRDefault="00CA09B2" w:rsidP="0037317F"/>
    <w:p w:rsidR="006317BD" w:rsidRDefault="00CA09B2">
      <w:r>
        <w:br w:type="page"/>
      </w:r>
    </w:p>
    <w:tbl>
      <w:tblPr>
        <w:tblW w:w="8551" w:type="dxa"/>
        <w:tblInd w:w="96" w:type="dxa"/>
        <w:tblLook w:val="04A0"/>
      </w:tblPr>
      <w:tblGrid>
        <w:gridCol w:w="661"/>
        <w:gridCol w:w="915"/>
        <w:gridCol w:w="915"/>
        <w:gridCol w:w="694"/>
        <w:gridCol w:w="2683"/>
        <w:gridCol w:w="2683"/>
      </w:tblGrid>
      <w:tr w:rsidR="00851ED2" w:rsidRPr="00851ED2" w:rsidTr="00851ED2">
        <w:trPr>
          <w:trHeight w:val="280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ED2" w:rsidRPr="00851ED2" w:rsidRDefault="00851ED2" w:rsidP="00851ED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851ED2">
              <w:rPr>
                <w:rFonts w:ascii="Arial" w:hAnsi="Arial" w:cs="Arial"/>
                <w:sz w:val="20"/>
                <w:lang w:val="en-US"/>
              </w:rPr>
              <w:lastRenderedPageBreak/>
              <w:t>4231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ED2" w:rsidRPr="00851ED2" w:rsidRDefault="00851ED2" w:rsidP="00851ED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851ED2">
              <w:rPr>
                <w:rFonts w:ascii="Arial" w:hAnsi="Arial" w:cs="Arial"/>
                <w:sz w:val="20"/>
                <w:lang w:val="en-US"/>
              </w:rPr>
              <w:t>2.43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ED2" w:rsidRPr="00851ED2" w:rsidRDefault="00851ED2" w:rsidP="00851ED2">
            <w:pPr>
              <w:rPr>
                <w:rFonts w:ascii="Arial" w:hAnsi="Arial" w:cs="Arial"/>
                <w:sz w:val="20"/>
                <w:lang w:val="en-US"/>
              </w:rPr>
            </w:pPr>
            <w:r w:rsidRPr="00851ED2">
              <w:rPr>
                <w:rFonts w:ascii="Arial" w:hAnsi="Arial" w:cs="Arial"/>
                <w:sz w:val="20"/>
                <w:lang w:val="en-US"/>
              </w:rPr>
              <w:t>3.1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ED2" w:rsidRPr="00851ED2" w:rsidRDefault="00851ED2" w:rsidP="00851ED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ED2" w:rsidRPr="00851ED2" w:rsidRDefault="00851ED2" w:rsidP="00851ED2">
            <w:pPr>
              <w:rPr>
                <w:rFonts w:ascii="Arial" w:hAnsi="Arial" w:cs="Arial"/>
                <w:sz w:val="20"/>
                <w:lang w:val="en-US"/>
              </w:rPr>
            </w:pPr>
            <w:r w:rsidRPr="00851ED2">
              <w:rPr>
                <w:rFonts w:ascii="Arial" w:hAnsi="Arial" w:cs="Arial"/>
                <w:sz w:val="20"/>
                <w:lang w:val="en-US"/>
              </w:rPr>
              <w:t>MU-MIMO can also be used for DLS/TDLS between non-AP stations. A Non-AP STA may transmit MU-MIMO to other STAs provided that it has DLS established with these STAs. The DLS MU-MIMO is a one-to-many transmission could reuse current DL MU-MIMO mechanism in 11ac draft 2.0.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ED2" w:rsidRPr="00851ED2" w:rsidRDefault="00851ED2" w:rsidP="00851ED2">
            <w:pPr>
              <w:rPr>
                <w:rFonts w:ascii="Arial" w:hAnsi="Arial" w:cs="Arial"/>
                <w:sz w:val="20"/>
                <w:lang w:val="en-US"/>
              </w:rPr>
            </w:pPr>
            <w:r w:rsidRPr="00851ED2">
              <w:rPr>
                <w:rFonts w:ascii="Arial" w:hAnsi="Arial" w:cs="Arial"/>
                <w:sz w:val="20"/>
                <w:lang w:val="en-US"/>
              </w:rPr>
              <w:t>Add a definition for DLS MU-MIMO,  as "(T)DLS MU-MIMO: A MU-MIMO technique by</w:t>
            </w:r>
            <w:r w:rsidRPr="00851ED2">
              <w:rPr>
                <w:rFonts w:ascii="Arial" w:hAnsi="Arial" w:cs="Arial"/>
                <w:sz w:val="20"/>
                <w:lang w:val="en-US"/>
              </w:rPr>
              <w:br/>
              <w:t>which an non-AP STA transmits a physical layer convergence procedure (PLCP) protocol data unit (PPDU) to multiple receiving non-AP stations (STAs) via a (T)DLS channel"</w:t>
            </w:r>
          </w:p>
        </w:tc>
      </w:tr>
    </w:tbl>
    <w:p w:rsidR="00CA09B2" w:rsidRDefault="00CA09B2"/>
    <w:p w:rsidR="00CA09B2" w:rsidRDefault="00CA09B2"/>
    <w:tbl>
      <w:tblPr>
        <w:tblW w:w="8553" w:type="dxa"/>
        <w:tblInd w:w="96" w:type="dxa"/>
        <w:tblLook w:val="04A0"/>
      </w:tblPr>
      <w:tblGrid>
        <w:gridCol w:w="661"/>
        <w:gridCol w:w="916"/>
        <w:gridCol w:w="919"/>
        <w:gridCol w:w="693"/>
        <w:gridCol w:w="2682"/>
        <w:gridCol w:w="2682"/>
      </w:tblGrid>
      <w:tr w:rsidR="00851ED2" w:rsidRPr="00851ED2" w:rsidTr="00851ED2">
        <w:trPr>
          <w:trHeight w:val="153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ED2" w:rsidRPr="00851ED2" w:rsidRDefault="00851ED2" w:rsidP="00851ED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851ED2">
              <w:rPr>
                <w:rFonts w:ascii="Arial" w:hAnsi="Arial" w:cs="Arial"/>
                <w:sz w:val="20"/>
                <w:lang w:val="en-US"/>
              </w:rPr>
              <w:t>4232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ED2" w:rsidRPr="00851ED2" w:rsidRDefault="00851ED2" w:rsidP="00851ED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851ED2">
              <w:rPr>
                <w:rFonts w:ascii="Arial" w:hAnsi="Arial" w:cs="Arial"/>
                <w:sz w:val="20"/>
                <w:lang w:val="en-US"/>
              </w:rPr>
              <w:t>8.63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ED2" w:rsidRPr="00851ED2" w:rsidRDefault="00851ED2" w:rsidP="00851ED2">
            <w:pPr>
              <w:rPr>
                <w:rFonts w:ascii="Arial" w:hAnsi="Arial" w:cs="Arial"/>
                <w:sz w:val="20"/>
                <w:lang w:val="en-US"/>
              </w:rPr>
            </w:pPr>
            <w:r w:rsidRPr="00851ED2">
              <w:rPr>
                <w:rFonts w:ascii="Arial" w:hAnsi="Arial" w:cs="Arial"/>
                <w:sz w:val="20"/>
                <w:lang w:val="en-US"/>
              </w:rPr>
              <w:t>4.3.10a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ED2" w:rsidRPr="00851ED2" w:rsidRDefault="00851ED2" w:rsidP="00851ED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ED2" w:rsidRPr="00851ED2" w:rsidRDefault="00851ED2" w:rsidP="00851ED2">
            <w:pPr>
              <w:rPr>
                <w:rFonts w:ascii="Arial" w:hAnsi="Arial" w:cs="Arial"/>
                <w:sz w:val="20"/>
                <w:lang w:val="en-US"/>
              </w:rPr>
            </w:pPr>
            <w:r w:rsidRPr="00851ED2">
              <w:rPr>
                <w:rFonts w:ascii="Arial" w:hAnsi="Arial" w:cs="Arial"/>
                <w:sz w:val="20"/>
                <w:lang w:val="en-US"/>
              </w:rPr>
              <w:t xml:space="preserve">Non-AP STA </w:t>
            </w:r>
            <w:proofErr w:type="gramStart"/>
            <w:r w:rsidRPr="00851ED2">
              <w:rPr>
                <w:rFonts w:ascii="Arial" w:hAnsi="Arial" w:cs="Arial"/>
                <w:sz w:val="20"/>
                <w:lang w:val="en-US"/>
              </w:rPr>
              <w:t>can</w:t>
            </w:r>
            <w:proofErr w:type="gramEnd"/>
            <w:r w:rsidRPr="00851ED2">
              <w:rPr>
                <w:rFonts w:ascii="Arial" w:hAnsi="Arial" w:cs="Arial"/>
                <w:sz w:val="20"/>
                <w:lang w:val="en-US"/>
              </w:rPr>
              <w:t xml:space="preserve"> also support VHT transmit </w:t>
            </w:r>
            <w:proofErr w:type="spellStart"/>
            <w:r w:rsidRPr="00851ED2">
              <w:rPr>
                <w:rFonts w:ascii="Arial" w:hAnsi="Arial" w:cs="Arial"/>
                <w:sz w:val="20"/>
                <w:lang w:val="en-US"/>
              </w:rPr>
              <w:t>beamforming</w:t>
            </w:r>
            <w:proofErr w:type="spellEnd"/>
            <w:r w:rsidRPr="00851ED2">
              <w:rPr>
                <w:rFonts w:ascii="Arial" w:hAnsi="Arial" w:cs="Arial"/>
                <w:sz w:val="20"/>
                <w:lang w:val="en-US"/>
              </w:rPr>
              <w:t xml:space="preserve"> sounding and MU PPDUs. There is no such definitions in current 802.11ac draft 2.0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ED2" w:rsidRPr="00851ED2" w:rsidRDefault="00851ED2" w:rsidP="00851ED2">
            <w:pPr>
              <w:rPr>
                <w:rFonts w:ascii="Arial" w:hAnsi="Arial" w:cs="Arial"/>
                <w:sz w:val="20"/>
                <w:lang w:val="en-US"/>
              </w:rPr>
            </w:pPr>
            <w:r w:rsidRPr="00851ED2">
              <w:rPr>
                <w:rFonts w:ascii="Arial" w:hAnsi="Arial" w:cs="Arial"/>
                <w:sz w:val="20"/>
                <w:lang w:val="en-US"/>
              </w:rPr>
              <w:t xml:space="preserve">Add a description about "The support for VHT transmit </w:t>
            </w:r>
            <w:proofErr w:type="spellStart"/>
            <w:r w:rsidRPr="00851ED2">
              <w:rPr>
                <w:rFonts w:ascii="Arial" w:hAnsi="Arial" w:cs="Arial"/>
                <w:sz w:val="20"/>
                <w:lang w:val="en-US"/>
              </w:rPr>
              <w:t>beamforming</w:t>
            </w:r>
            <w:proofErr w:type="spellEnd"/>
            <w:r w:rsidRPr="00851ED2">
              <w:rPr>
                <w:rFonts w:ascii="Arial" w:hAnsi="Arial" w:cs="Arial"/>
                <w:sz w:val="20"/>
                <w:lang w:val="en-US"/>
              </w:rPr>
              <w:t xml:space="preserve"> sounding and MU PPDUs in a non-AP STA</w:t>
            </w:r>
          </w:p>
        </w:tc>
      </w:tr>
    </w:tbl>
    <w:p w:rsidR="00851ED2" w:rsidRDefault="00851ED2"/>
    <w:p w:rsidR="00851ED2" w:rsidRDefault="00851ED2" w:rsidP="00851ED2">
      <w:r w:rsidRPr="00E87392">
        <w:rPr>
          <w:b/>
        </w:rPr>
        <w:t>Proposed resolution:</w:t>
      </w:r>
      <w:r>
        <w:rPr>
          <w:b/>
        </w:rPr>
        <w:t xml:space="preserve"> </w:t>
      </w:r>
      <w:r>
        <w:t xml:space="preserve">Rejected.  </w:t>
      </w:r>
    </w:p>
    <w:p w:rsidR="00851ED2" w:rsidRDefault="00851ED2" w:rsidP="00851ED2"/>
    <w:p w:rsidR="00851ED2" w:rsidRPr="00851ED2" w:rsidRDefault="00851ED2" w:rsidP="00851ED2">
      <w:pPr>
        <w:rPr>
          <w:b/>
        </w:rPr>
      </w:pPr>
      <w:r>
        <w:t xml:space="preserve">802.11ac does not support MU-MIMO transmissions by a non-AP: because </w:t>
      </w:r>
    </w:p>
    <w:p w:rsidR="00851ED2" w:rsidRDefault="00851ED2" w:rsidP="00851ED2">
      <w:pPr>
        <w:numPr>
          <w:ilvl w:val="0"/>
          <w:numId w:val="2"/>
        </w:numPr>
      </w:pPr>
      <w:r>
        <w:t xml:space="preserve">Only the AP is able to perform </w:t>
      </w:r>
      <w:proofErr w:type="spellStart"/>
      <w:r>
        <w:t>GroupID</w:t>
      </w:r>
      <w:proofErr w:type="spellEnd"/>
      <w:r>
        <w:t xml:space="preserve"> management.</w:t>
      </w:r>
    </w:p>
    <w:p w:rsidR="00851ED2" w:rsidRDefault="00851ED2" w:rsidP="00851ED2">
      <w:pPr>
        <w:numPr>
          <w:ilvl w:val="0"/>
          <w:numId w:val="2"/>
        </w:numPr>
      </w:pPr>
      <w:r>
        <w:t>The protocol does not support multiple Group membership maps.   Multiple “group map owners” might assign the same STA to different users of the same Group ID – creating a potential conflict as to which user to receive when receiving an MU-MIMO transmission.</w:t>
      </w:r>
    </w:p>
    <w:p w:rsidR="00851ED2" w:rsidRDefault="00851ED2" w:rsidP="00851ED2">
      <w:r>
        <w:t>Because the protocol does not support the notion of a DLS or TDLS STA transmitting an MU-MIMO PPDU</w:t>
      </w:r>
      <w:proofErr w:type="gramStart"/>
      <w:r>
        <w:t>,  the</w:t>
      </w:r>
      <w:proofErr w:type="gramEnd"/>
      <w:r>
        <w:t xml:space="preserve"> proposed addition is both unnecessary and misleading.</w:t>
      </w:r>
    </w:p>
    <w:p w:rsidR="006317BD" w:rsidRDefault="006317BD"/>
    <w:p w:rsidR="00851ED2" w:rsidRDefault="00851ED2"/>
    <w:p w:rsidR="006317BD" w:rsidRDefault="006317BD"/>
    <w:tbl>
      <w:tblPr>
        <w:tblW w:w="8569" w:type="dxa"/>
        <w:tblInd w:w="94" w:type="dxa"/>
        <w:tblLook w:val="04A0"/>
      </w:tblPr>
      <w:tblGrid>
        <w:gridCol w:w="661"/>
        <w:gridCol w:w="913"/>
        <w:gridCol w:w="995"/>
        <w:gridCol w:w="685"/>
        <w:gridCol w:w="2665"/>
        <w:gridCol w:w="2650"/>
      </w:tblGrid>
      <w:tr w:rsidR="006317BD" w:rsidRPr="006317BD" w:rsidTr="006317BD">
        <w:trPr>
          <w:trHeight w:val="204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17BD" w:rsidRPr="006317BD" w:rsidRDefault="006317BD" w:rsidP="006317B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6317BD">
              <w:rPr>
                <w:rFonts w:ascii="Arial" w:hAnsi="Arial" w:cs="Arial"/>
                <w:sz w:val="20"/>
                <w:lang w:val="en-US"/>
              </w:rPr>
              <w:t>5029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17BD" w:rsidRPr="006317BD" w:rsidRDefault="006317BD" w:rsidP="006317B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6317BD">
              <w:rPr>
                <w:rFonts w:ascii="Arial" w:hAnsi="Arial" w:cs="Arial"/>
                <w:sz w:val="20"/>
                <w:lang w:val="en-US"/>
              </w:rPr>
              <w:t>28.12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17BD" w:rsidRPr="006317BD" w:rsidRDefault="006317BD" w:rsidP="006317BD">
            <w:pPr>
              <w:rPr>
                <w:rFonts w:ascii="Arial" w:hAnsi="Arial" w:cs="Arial"/>
                <w:sz w:val="20"/>
                <w:lang w:val="en-US"/>
              </w:rPr>
            </w:pPr>
            <w:r w:rsidRPr="006317BD">
              <w:rPr>
                <w:rFonts w:ascii="Arial" w:hAnsi="Arial" w:cs="Arial"/>
                <w:sz w:val="20"/>
                <w:lang w:val="en-US"/>
              </w:rPr>
              <w:t>8.2.4.3.8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17BD" w:rsidRPr="006317BD" w:rsidRDefault="006317BD" w:rsidP="006317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17BD" w:rsidRPr="006317BD" w:rsidRDefault="006317BD" w:rsidP="006317BD">
            <w:pPr>
              <w:rPr>
                <w:rFonts w:ascii="Arial" w:hAnsi="Arial" w:cs="Arial"/>
                <w:sz w:val="20"/>
                <w:lang w:val="en-US"/>
              </w:rPr>
            </w:pPr>
            <w:r w:rsidRPr="006317BD">
              <w:rPr>
                <w:rFonts w:ascii="Arial" w:hAnsi="Arial" w:cs="Arial"/>
                <w:sz w:val="20"/>
                <w:lang w:val="en-US"/>
              </w:rPr>
              <w:t xml:space="preserve">It is mentioned that individual/group bit is of the TA </w:t>
            </w:r>
            <w:proofErr w:type="gramStart"/>
            <w:r w:rsidRPr="006317BD">
              <w:rPr>
                <w:rFonts w:ascii="Arial" w:hAnsi="Arial" w:cs="Arial"/>
                <w:sz w:val="20"/>
                <w:lang w:val="en-US"/>
              </w:rPr>
              <w:t>field  with</w:t>
            </w:r>
            <w:proofErr w:type="gramEnd"/>
            <w:r w:rsidRPr="006317BD">
              <w:rPr>
                <w:rFonts w:ascii="Arial" w:hAnsi="Arial" w:cs="Arial"/>
                <w:sz w:val="20"/>
                <w:lang w:val="en-US"/>
              </w:rPr>
              <w:t xml:space="preserve"> the value 1 is signaling. It is not </w:t>
            </w:r>
            <w:proofErr w:type="gramStart"/>
            <w:r w:rsidRPr="006317BD">
              <w:rPr>
                <w:rFonts w:ascii="Arial" w:hAnsi="Arial" w:cs="Arial"/>
                <w:sz w:val="20"/>
                <w:lang w:val="en-US"/>
              </w:rPr>
              <w:t>clear  what</w:t>
            </w:r>
            <w:proofErr w:type="gramEnd"/>
            <w:r w:rsidRPr="006317BD">
              <w:rPr>
                <w:rFonts w:ascii="Arial" w:hAnsi="Arial" w:cs="Arial"/>
                <w:sz w:val="20"/>
                <w:lang w:val="en-US"/>
              </w:rPr>
              <w:t xml:space="preserve"> signaling is it. Is it that this signaling is expected to be used for other purpose that bandwidth signaling?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17BD" w:rsidRPr="006317BD" w:rsidRDefault="006317BD" w:rsidP="006317BD">
            <w:pPr>
              <w:rPr>
                <w:rFonts w:ascii="Arial" w:hAnsi="Arial" w:cs="Arial"/>
                <w:sz w:val="20"/>
                <w:lang w:val="en-US"/>
              </w:rPr>
            </w:pPr>
            <w:proofErr w:type="gramStart"/>
            <w:r w:rsidRPr="006317BD">
              <w:rPr>
                <w:rFonts w:ascii="Arial" w:hAnsi="Arial" w:cs="Arial"/>
                <w:sz w:val="20"/>
                <w:lang w:val="en-US"/>
              </w:rPr>
              <w:t>change</w:t>
            </w:r>
            <w:proofErr w:type="gramEnd"/>
            <w:r w:rsidRPr="006317BD">
              <w:rPr>
                <w:rFonts w:ascii="Arial" w:hAnsi="Arial" w:cs="Arial"/>
                <w:sz w:val="20"/>
                <w:lang w:val="en-US"/>
              </w:rPr>
              <w:t xml:space="preserve"> to bandwidth signaling.</w:t>
            </w:r>
          </w:p>
        </w:tc>
      </w:tr>
    </w:tbl>
    <w:p w:rsidR="006317BD" w:rsidRDefault="006317BD"/>
    <w:p w:rsidR="007D4A6F" w:rsidRDefault="007D4A6F" w:rsidP="007D4A6F">
      <w:pPr>
        <w:pStyle w:val="Body"/>
      </w:pPr>
      <w:r>
        <w:t>Context:</w:t>
      </w:r>
    </w:p>
    <w:p w:rsidR="007D4A6F" w:rsidRDefault="007D4A6F" w:rsidP="007D4A6F">
      <w:pPr>
        <w:pStyle w:val="Body"/>
        <w:rPr>
          <w:w w:val="100"/>
          <w:u w:val="thick"/>
        </w:rPr>
      </w:pPr>
      <w:r>
        <w:t xml:space="preserve"> </w:t>
      </w:r>
      <w:r>
        <w:rPr>
          <w:w w:val="100"/>
        </w:rPr>
        <w:t xml:space="preserve">The TA field contains an IEEE MAC </w:t>
      </w:r>
      <w:r>
        <w:rPr>
          <w:strike/>
          <w:w w:val="100"/>
        </w:rPr>
        <w:t xml:space="preserve">individual </w:t>
      </w:r>
      <w:r>
        <w:rPr>
          <w:w w:val="100"/>
        </w:rPr>
        <w:t xml:space="preserve">address that identifies the STA that has transmitted, onto the WM, the MPDU contained in the frame body field. </w:t>
      </w:r>
      <w:r>
        <w:rPr>
          <w:w w:val="100"/>
          <w:u w:val="thick"/>
        </w:rPr>
        <w:t xml:space="preserve">If the Individual/Group bit is 0, then the TA field is the individual address of the STA; otherwise the TA field is a signaling TA, indicating that the frame caries additional information in the scrambling sequence (see </w:t>
      </w:r>
      <w:r w:rsidR="00D81F8B" w:rsidRPr="00D81F8B">
        <w:rPr>
          <w:w w:val="100"/>
          <w:u w:val="thick"/>
        </w:rPr>
        <w:fldChar w:fldCharType="begin"/>
      </w:r>
      <w:r>
        <w:rPr>
          <w:w w:val="100"/>
          <w:u w:val="thick"/>
        </w:rPr>
        <w:instrText xml:space="preserve"> REF  RTF38393835343a2048342c312e \h</w:instrText>
      </w:r>
      <w:r w:rsidR="00D81F8B" w:rsidRPr="00D81F8B">
        <w:rPr>
          <w:w w:val="100"/>
          <w:u w:val="thick"/>
        </w:rPr>
      </w:r>
      <w:r w:rsidR="00D81F8B" w:rsidRPr="00D81F8B">
        <w:rPr>
          <w:w w:val="100"/>
          <w:u w:val="thick"/>
        </w:rPr>
        <w:fldChar w:fldCharType="separate"/>
      </w:r>
      <w:r>
        <w:rPr>
          <w:w w:val="100"/>
          <w:u w:val="thick"/>
        </w:rPr>
        <w:t>8.3.1.2 (RTS frame format</w:t>
      </w:r>
    </w:p>
    <w:p w:rsidR="00CA09B2" w:rsidRDefault="007D4A6F" w:rsidP="007D4A6F">
      <w:r>
        <w:rPr>
          <w:u w:val="thick"/>
        </w:rPr>
        <w:t>)</w:t>
      </w:r>
      <w:r w:rsidR="00D81F8B">
        <w:rPr>
          <w:u w:val="thick"/>
        </w:rPr>
        <w:fldChar w:fldCharType="end"/>
      </w:r>
    </w:p>
    <w:p w:rsidR="007D4A6F" w:rsidRDefault="007D4A6F"/>
    <w:p w:rsidR="007D4A6F" w:rsidRDefault="007D4A6F">
      <w:r w:rsidRPr="00851ED2">
        <w:rPr>
          <w:b/>
        </w:rPr>
        <w:t>Proposed Resolution</w:t>
      </w:r>
      <w:r>
        <w:t>: Revised</w:t>
      </w:r>
    </w:p>
    <w:p w:rsidR="007D4A6F" w:rsidRDefault="007D4A6F"/>
    <w:p w:rsidR="007D4A6F" w:rsidRDefault="007D4A6F">
      <w:proofErr w:type="spellStart"/>
      <w:r>
        <w:lastRenderedPageBreak/>
        <w:t>Signaling</w:t>
      </w:r>
      <w:proofErr w:type="spellEnd"/>
      <w:r>
        <w:t xml:space="preserve"> TA indicates that the frame carries additional information in the scrambling sequence. The additional informat</w:t>
      </w:r>
      <w:r w:rsidR="001A2ED1">
        <w:t xml:space="preserve">ion </w:t>
      </w:r>
      <w:r w:rsidR="00966B52">
        <w:t>describes</w:t>
      </w:r>
      <w:r w:rsidR="001A2ED1">
        <w:t xml:space="preserve"> bandwidth parameters </w:t>
      </w:r>
      <w:proofErr w:type="spellStart"/>
      <w:r w:rsidR="001A2ED1">
        <w:t>reated</w:t>
      </w:r>
      <w:proofErr w:type="spellEnd"/>
      <w:r w:rsidR="001A2ED1">
        <w:t xml:space="preserve"> to the transmitter. Therefore it is appropriate to change “signalling TA” to “bandwidth</w:t>
      </w:r>
      <w:r w:rsidR="00966B52">
        <w:t>-</w:t>
      </w:r>
      <w:r w:rsidR="001A2ED1">
        <w:t xml:space="preserve">signalling TA” </w:t>
      </w:r>
      <w:proofErr w:type="spellStart"/>
      <w:r w:rsidR="001A2ED1">
        <w:t>through out</w:t>
      </w:r>
      <w:proofErr w:type="spellEnd"/>
      <w:r w:rsidR="001A2ED1">
        <w:t xml:space="preserve"> the whole document.</w:t>
      </w:r>
    </w:p>
    <w:p w:rsidR="00966B52" w:rsidRDefault="00966B52"/>
    <w:p w:rsidR="00966B52" w:rsidRDefault="00966B52">
      <w:r>
        <w:t xml:space="preserve">Proposed </w:t>
      </w:r>
      <w:proofErr w:type="spellStart"/>
      <w:r>
        <w:t>Chnages</w:t>
      </w:r>
      <w:proofErr w:type="spellEnd"/>
      <w:r>
        <w:t>:</w:t>
      </w:r>
    </w:p>
    <w:p w:rsidR="00966B52" w:rsidRDefault="00966B52"/>
    <w:p w:rsidR="00966B52" w:rsidRDefault="00966B52">
      <w:r>
        <w:t xml:space="preserve">Change “signalling TA” to “bandwidth-signalling TA” </w:t>
      </w:r>
      <w:proofErr w:type="spellStart"/>
      <w:r>
        <w:t>through out</w:t>
      </w:r>
      <w:proofErr w:type="spellEnd"/>
      <w:r>
        <w:t xml:space="preserve"> the whole document.</w:t>
      </w:r>
    </w:p>
    <w:p w:rsidR="007D4A6F" w:rsidRDefault="007D4A6F"/>
    <w:p w:rsidR="00966B52" w:rsidRDefault="00966B52"/>
    <w:tbl>
      <w:tblPr>
        <w:tblW w:w="8563" w:type="dxa"/>
        <w:tblInd w:w="94" w:type="dxa"/>
        <w:tblLook w:val="04A0"/>
      </w:tblPr>
      <w:tblGrid>
        <w:gridCol w:w="661"/>
        <w:gridCol w:w="914"/>
        <w:gridCol w:w="995"/>
        <w:gridCol w:w="688"/>
        <w:gridCol w:w="2653"/>
        <w:gridCol w:w="2652"/>
      </w:tblGrid>
      <w:tr w:rsidR="00966B52" w:rsidRPr="00966B52" w:rsidTr="00966B52">
        <w:trPr>
          <w:trHeight w:val="127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B52" w:rsidRPr="00966B52" w:rsidRDefault="00966B52" w:rsidP="00966B5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966B52">
              <w:rPr>
                <w:rFonts w:ascii="Arial" w:hAnsi="Arial" w:cs="Arial"/>
                <w:sz w:val="20"/>
                <w:lang w:val="en-US"/>
              </w:rPr>
              <w:t>4976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B52" w:rsidRPr="00966B52" w:rsidRDefault="00966B52" w:rsidP="00966B5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966B52">
              <w:rPr>
                <w:rFonts w:ascii="Arial" w:hAnsi="Arial" w:cs="Arial"/>
                <w:sz w:val="20"/>
                <w:lang w:val="en-US"/>
              </w:rPr>
              <w:t>32.13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B52" w:rsidRPr="00966B52" w:rsidRDefault="00966B52" w:rsidP="00966B52">
            <w:pPr>
              <w:rPr>
                <w:rFonts w:ascii="Arial" w:hAnsi="Arial" w:cs="Arial"/>
                <w:sz w:val="20"/>
                <w:lang w:val="en-US"/>
              </w:rPr>
            </w:pPr>
            <w:r w:rsidRPr="00966B52">
              <w:rPr>
                <w:rFonts w:ascii="Arial" w:hAnsi="Arial" w:cs="Arial"/>
                <w:sz w:val="20"/>
                <w:lang w:val="en-US"/>
              </w:rPr>
              <w:t>8.2.4.6.3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B52" w:rsidRPr="00966B52" w:rsidRDefault="00966B52" w:rsidP="00966B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B52" w:rsidRPr="00966B52" w:rsidRDefault="00966B52" w:rsidP="00966B52">
            <w:pPr>
              <w:rPr>
                <w:rFonts w:ascii="Arial" w:hAnsi="Arial" w:cs="Arial"/>
                <w:sz w:val="20"/>
                <w:lang w:val="en-US"/>
              </w:rPr>
            </w:pPr>
            <w:proofErr w:type="gramStart"/>
            <w:r w:rsidRPr="00966B52">
              <w:rPr>
                <w:rFonts w:ascii="Arial" w:hAnsi="Arial" w:cs="Arial"/>
                <w:sz w:val="20"/>
                <w:lang w:val="en-US"/>
              </w:rPr>
              <w:t>in</w:t>
            </w:r>
            <w:proofErr w:type="gramEnd"/>
            <w:r w:rsidRPr="00966B52">
              <w:rPr>
                <w:rFonts w:ascii="Arial" w:hAnsi="Arial" w:cs="Arial"/>
                <w:sz w:val="20"/>
                <w:lang w:val="en-US"/>
              </w:rPr>
              <w:t xml:space="preserve"> Table 8-13a, the range of the MSI is set from 0-6. It doesn't seem there is any reason not to extend the range to 0-7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B52" w:rsidRPr="00966B52" w:rsidRDefault="00966B52" w:rsidP="00966B52">
            <w:pPr>
              <w:rPr>
                <w:rFonts w:ascii="Arial" w:hAnsi="Arial" w:cs="Arial"/>
                <w:sz w:val="20"/>
                <w:lang w:val="en-US"/>
              </w:rPr>
            </w:pPr>
            <w:r w:rsidRPr="00966B52">
              <w:rPr>
                <w:rFonts w:ascii="Arial" w:hAnsi="Arial" w:cs="Arial"/>
                <w:sz w:val="20"/>
                <w:lang w:val="en-US"/>
              </w:rPr>
              <w:t>Extend the MSI range to 0-7</w:t>
            </w:r>
          </w:p>
        </w:tc>
      </w:tr>
    </w:tbl>
    <w:p w:rsidR="007D4A6F" w:rsidRDefault="007D4A6F"/>
    <w:p w:rsidR="00966B52" w:rsidRDefault="00966B52"/>
    <w:p w:rsidR="00966B52" w:rsidRDefault="00966B52">
      <w:r>
        <w:t>Context: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1660"/>
        <w:gridCol w:w="1620"/>
        <w:gridCol w:w="5300"/>
      </w:tblGrid>
      <w:tr w:rsidR="00966B52" w:rsidTr="00966B52">
        <w:trPr>
          <w:trHeight w:val="3760"/>
          <w:jc w:val="center"/>
        </w:trPr>
        <w:tc>
          <w:tcPr>
            <w:tcW w:w="166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66B52" w:rsidRDefault="00966B52" w:rsidP="000C0BEA">
            <w:pPr>
              <w:pStyle w:val="CellBody"/>
            </w:pPr>
            <w:r>
              <w:rPr>
                <w:w w:val="100"/>
              </w:rPr>
              <w:t>MSI/STBC</w:t>
            </w:r>
          </w:p>
        </w:tc>
        <w:tc>
          <w:tcPr>
            <w:tcW w:w="162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66B52" w:rsidRDefault="00966B52" w:rsidP="000C0BEA">
            <w:pPr>
              <w:pStyle w:val="CellBody"/>
            </w:pPr>
            <w:r>
              <w:rPr>
                <w:w w:val="100"/>
              </w:rPr>
              <w:t>MRQ sequence identifier/STBC indication</w:t>
            </w:r>
          </w:p>
        </w:tc>
        <w:tc>
          <w:tcPr>
            <w:tcW w:w="530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66B52" w:rsidRDefault="00966B52" w:rsidP="000C0BEA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If the Unsolicited MFB subfield is 0 and the MRQ subfield is 1, the MSI/STBC subfield contains a sequence number in the </w:t>
            </w:r>
            <w:r w:rsidRPr="00966B52">
              <w:rPr>
                <w:color w:val="FF0000"/>
                <w:w w:val="100"/>
              </w:rPr>
              <w:t>range 0 to 6</w:t>
            </w:r>
            <w:r>
              <w:rPr>
                <w:w w:val="100"/>
              </w:rPr>
              <w:t xml:space="preserve"> that identifies the specific request.</w:t>
            </w:r>
          </w:p>
          <w:p w:rsidR="00966B52" w:rsidRDefault="00966B52" w:rsidP="000C0BEA">
            <w:pPr>
              <w:pStyle w:val="CellBody"/>
              <w:spacing w:before="200"/>
              <w:rPr>
                <w:w w:val="100"/>
              </w:rPr>
            </w:pPr>
            <w:r>
              <w:rPr>
                <w:w w:val="100"/>
              </w:rPr>
              <w:t>If the Unsolicited MFB subfield is 0 and the MRQ subfield is 0, the MSI/STBC subfield is reserved.</w:t>
            </w:r>
          </w:p>
          <w:p w:rsidR="00966B52" w:rsidRDefault="00966B52" w:rsidP="000C0BEA">
            <w:pPr>
              <w:pStyle w:val="CellBody"/>
              <w:spacing w:before="200"/>
              <w:rPr>
                <w:w w:val="100"/>
              </w:rPr>
            </w:pPr>
            <w:r>
              <w:rPr>
                <w:w w:val="100"/>
              </w:rPr>
              <w:t xml:space="preserve">If the Unsolicited MFB subfield is 1, the MSI/STBC field contains the Compressed MSI and STBC Indication subfields as shown in </w:t>
            </w:r>
            <w:r w:rsidR="00D81F8B"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RTF37313631303a204669675469 \h</w:instrText>
            </w:r>
            <w:r w:rsidR="00D81F8B">
              <w:rPr>
                <w:w w:val="100"/>
              </w:rPr>
            </w:r>
            <w:r w:rsidR="00D81F8B">
              <w:rPr>
                <w:w w:val="100"/>
              </w:rPr>
              <w:fldChar w:fldCharType="separate"/>
            </w:r>
            <w:r>
              <w:rPr>
                <w:w w:val="100"/>
              </w:rPr>
              <w:t>Figure 8-8b</w:t>
            </w:r>
            <w:r w:rsidR="00D81F8B">
              <w:rPr>
                <w:w w:val="100"/>
              </w:rPr>
              <w:fldChar w:fldCharType="end"/>
            </w:r>
            <w:r>
              <w:rPr>
                <w:w w:val="100"/>
              </w:rPr>
              <w:t>.</w:t>
            </w:r>
          </w:p>
          <w:p w:rsidR="00966B52" w:rsidRDefault="00966B52" w:rsidP="000C0BEA">
            <w:pPr>
              <w:pStyle w:val="CellBody"/>
              <w:spacing w:before="200"/>
              <w:rPr>
                <w:w w:val="100"/>
              </w:rPr>
            </w:pPr>
            <w:r>
              <w:rPr>
                <w:w w:val="100"/>
              </w:rPr>
              <w:t>The STBC Indication subfield(#4023) contains:</w:t>
            </w:r>
          </w:p>
          <w:p w:rsidR="00966B52" w:rsidRDefault="00966B52" w:rsidP="000C0BEA">
            <w:pPr>
              <w:pStyle w:val="CellBody"/>
              <w:ind w:firstLine="200"/>
              <w:rPr>
                <w:w w:val="100"/>
              </w:rPr>
            </w:pPr>
            <w:r>
              <w:rPr>
                <w:w w:val="100"/>
              </w:rPr>
              <w:t>Set to 0 if STBC is not transmitted</w:t>
            </w:r>
          </w:p>
          <w:p w:rsidR="00966B52" w:rsidRDefault="00966B52" w:rsidP="000C0BEA">
            <w:pPr>
              <w:pStyle w:val="CellBody"/>
              <w:ind w:firstLine="200"/>
              <w:rPr>
                <w:w w:val="100"/>
              </w:rPr>
            </w:pPr>
            <w:r>
              <w:rPr>
                <w:w w:val="100"/>
              </w:rPr>
              <w:t>Set to 1 if STBC is transmitted</w:t>
            </w:r>
          </w:p>
          <w:p w:rsidR="00966B52" w:rsidRDefault="00966B52" w:rsidP="000C0BEA">
            <w:pPr>
              <w:pStyle w:val="CellBody"/>
              <w:spacing w:before="200"/>
            </w:pPr>
            <w:r>
              <w:rPr>
                <w:w w:val="100"/>
              </w:rPr>
              <w:t>The Compressed MSI contains a sequence number that identifies the specific request. It is in the range 0 to 3 if STBC Indication equals 0 or in the range 0 to 2 if STBC Indication equals 1.</w:t>
            </w:r>
          </w:p>
        </w:tc>
      </w:tr>
    </w:tbl>
    <w:p w:rsidR="00966B52" w:rsidRDefault="00966B52"/>
    <w:p w:rsidR="00966B52" w:rsidRDefault="00966B52"/>
    <w:p w:rsidR="00966B52" w:rsidRDefault="00966B52">
      <w:r w:rsidRPr="0089125F">
        <w:rPr>
          <w:b/>
        </w:rPr>
        <w:t>Proposed Resolution</w:t>
      </w:r>
      <w:r>
        <w:t>: Revised</w:t>
      </w:r>
    </w:p>
    <w:p w:rsidR="00966B52" w:rsidRDefault="00966B52"/>
    <w:p w:rsidR="00966B52" w:rsidRPr="00966B52" w:rsidRDefault="00966B52" w:rsidP="009B1BD1">
      <w:pPr>
        <w:spacing w:beforeLines="50"/>
        <w:jc w:val="both"/>
        <w:rPr>
          <w:rFonts w:ascii="'Times New Roman'" w:hAnsi="'Times New Roman'" w:cs="Tahoma"/>
          <w:iCs/>
          <w:szCs w:val="22"/>
          <w:lang w:eastAsia="zh-CN"/>
        </w:rPr>
      </w:pPr>
      <w:r w:rsidRPr="00966B52">
        <w:rPr>
          <w:rFonts w:ascii="'Times New Roman'" w:hAnsi="'Times New Roman'" w:cs="Tahoma"/>
          <w:iCs/>
          <w:szCs w:val="22"/>
        </w:rPr>
        <w:t xml:space="preserve">The range of MSI from 0-6 was inherited from 802.11n where I think MSI =7 </w:t>
      </w:r>
      <w:proofErr w:type="gramStart"/>
      <w:r w:rsidRPr="00966B52">
        <w:rPr>
          <w:rFonts w:ascii="'Times New Roman'" w:hAnsi="'Times New Roman'" w:cs="Tahoma"/>
          <w:iCs/>
          <w:szCs w:val="22"/>
        </w:rPr>
        <w:t>was</w:t>
      </w:r>
      <w:proofErr w:type="gramEnd"/>
      <w:r w:rsidRPr="00966B52">
        <w:rPr>
          <w:rFonts w:ascii="'Times New Roman'" w:hAnsi="'Times New Roman'" w:cs="Tahoma"/>
          <w:iCs/>
          <w:szCs w:val="22"/>
        </w:rPr>
        <w:t xml:space="preserve"> reserved for unsolicited feedback. Now that we have an explicit indication for unsolicited feedback, we probably can extend the range to 0-7</w:t>
      </w:r>
      <w:r>
        <w:rPr>
          <w:rFonts w:ascii="'Times New Roman'" w:hAnsi="'Times New Roman'" w:cs="Tahoma"/>
          <w:iCs/>
          <w:szCs w:val="22"/>
        </w:rPr>
        <w:t>.</w:t>
      </w:r>
    </w:p>
    <w:p w:rsidR="00966B52" w:rsidRDefault="00966B52"/>
    <w:p w:rsidR="00966B52" w:rsidRDefault="00966B52">
      <w:r>
        <w:t>Proposed Changes:</w:t>
      </w:r>
    </w:p>
    <w:p w:rsidR="00966B52" w:rsidRDefault="00966B52"/>
    <w:p w:rsidR="00966B52" w:rsidRPr="00056DCC" w:rsidRDefault="00966B52" w:rsidP="00966B52">
      <w:pPr>
        <w:autoSpaceDE w:val="0"/>
        <w:autoSpaceDN w:val="0"/>
        <w:adjustRightInd w:val="0"/>
        <w:outlineLvl w:val="0"/>
        <w:rPr>
          <w:i/>
          <w:color w:val="000000"/>
          <w:sz w:val="20"/>
          <w:lang w:val="en-US" w:eastAsia="zh-CN"/>
        </w:rPr>
      </w:pPr>
      <w:proofErr w:type="spellStart"/>
      <w:r w:rsidRPr="00056DCC">
        <w:rPr>
          <w:rFonts w:hint="eastAsia"/>
          <w:i/>
          <w:color w:val="000000"/>
          <w:sz w:val="20"/>
          <w:highlight w:val="yellow"/>
          <w:lang w:val="en-US" w:eastAsia="zh-CN"/>
        </w:rPr>
        <w:t>TGac</w:t>
      </w:r>
      <w:proofErr w:type="spellEnd"/>
      <w:r w:rsidRPr="00056DCC">
        <w:rPr>
          <w:rFonts w:hint="eastAsia"/>
          <w:i/>
          <w:color w:val="000000"/>
          <w:sz w:val="20"/>
          <w:highlight w:val="yellow"/>
          <w:lang w:val="en-US" w:eastAsia="zh-CN"/>
        </w:rPr>
        <w:t xml:space="preserve"> Editor: The following </w:t>
      </w:r>
      <w:r w:rsidRPr="00056DCC">
        <w:rPr>
          <w:i/>
          <w:color w:val="000000"/>
          <w:sz w:val="20"/>
          <w:highlight w:val="yellow"/>
          <w:lang w:val="en-US" w:eastAsia="zh-CN"/>
        </w:rPr>
        <w:t>change</w:t>
      </w:r>
      <w:r>
        <w:rPr>
          <w:rFonts w:hint="eastAsia"/>
          <w:i/>
          <w:color w:val="000000"/>
          <w:sz w:val="20"/>
          <w:highlight w:val="yellow"/>
          <w:lang w:val="en-US" w:eastAsia="zh-CN"/>
        </w:rPr>
        <w:t>s</w:t>
      </w:r>
      <w:r w:rsidRPr="00056DCC">
        <w:rPr>
          <w:rFonts w:hint="eastAsia"/>
          <w:i/>
          <w:color w:val="000000"/>
          <w:sz w:val="20"/>
          <w:highlight w:val="yellow"/>
          <w:lang w:val="en-US" w:eastAsia="zh-CN"/>
        </w:rPr>
        <w:t xml:space="preserve"> </w:t>
      </w:r>
      <w:r>
        <w:rPr>
          <w:rFonts w:hint="eastAsia"/>
          <w:i/>
          <w:color w:val="000000"/>
          <w:sz w:val="20"/>
          <w:highlight w:val="yellow"/>
          <w:lang w:val="en-US" w:eastAsia="zh-CN"/>
        </w:rPr>
        <w:t>are based on Draft 2.0</w:t>
      </w:r>
      <w:r w:rsidRPr="00056DCC">
        <w:rPr>
          <w:rFonts w:hint="eastAsia"/>
          <w:i/>
          <w:color w:val="000000"/>
          <w:sz w:val="20"/>
          <w:highlight w:val="yellow"/>
          <w:lang w:val="en-US" w:eastAsia="zh-CN"/>
        </w:rPr>
        <w:t xml:space="preserve"> of 11ac:</w:t>
      </w:r>
    </w:p>
    <w:p w:rsidR="00966B52" w:rsidRPr="00AC66F2" w:rsidRDefault="00966B52" w:rsidP="00966B52">
      <w:pPr>
        <w:widowControl w:val="0"/>
        <w:autoSpaceDE w:val="0"/>
        <w:autoSpaceDN w:val="0"/>
        <w:adjustRightInd w:val="0"/>
        <w:spacing w:before="240"/>
        <w:rPr>
          <w:b/>
          <w:bCs/>
          <w:color w:val="000000"/>
          <w:sz w:val="20"/>
          <w:lang w:val="en-US" w:eastAsia="zh-CN"/>
        </w:rPr>
      </w:pPr>
      <w:r>
        <w:rPr>
          <w:rFonts w:hint="eastAsia"/>
          <w:b/>
          <w:bCs/>
          <w:color w:val="000000"/>
          <w:sz w:val="20"/>
          <w:lang w:val="en-US" w:eastAsia="zh-CN"/>
        </w:rPr>
        <w:t>8.2.4.6.3</w:t>
      </w:r>
      <w:r w:rsidRPr="00AC66F2">
        <w:rPr>
          <w:b/>
          <w:bCs/>
          <w:color w:val="000000"/>
          <w:sz w:val="20"/>
          <w:lang w:val="en-US" w:eastAsia="zh-CN"/>
        </w:rPr>
        <w:t xml:space="preserve"> </w:t>
      </w:r>
      <w:r>
        <w:rPr>
          <w:rFonts w:hint="eastAsia"/>
          <w:b/>
          <w:bCs/>
          <w:color w:val="000000"/>
          <w:sz w:val="20"/>
          <w:lang w:val="en-US" w:eastAsia="zh-CN"/>
        </w:rPr>
        <w:t>VHT variant</w:t>
      </w:r>
    </w:p>
    <w:p w:rsidR="00966B52" w:rsidRPr="00AC66F2" w:rsidRDefault="00966B52" w:rsidP="00966B52">
      <w:pPr>
        <w:widowControl w:val="0"/>
        <w:autoSpaceDE w:val="0"/>
        <w:autoSpaceDN w:val="0"/>
        <w:adjustRightInd w:val="0"/>
        <w:spacing w:before="240"/>
        <w:rPr>
          <w:i/>
          <w:iCs/>
          <w:color w:val="000000"/>
          <w:sz w:val="20"/>
          <w:lang w:val="en-US" w:eastAsia="zh-CN"/>
        </w:rPr>
      </w:pPr>
      <w:r w:rsidRPr="00B2695D">
        <w:rPr>
          <w:i/>
          <w:iCs/>
          <w:color w:val="000000"/>
          <w:sz w:val="20"/>
          <w:highlight w:val="yellow"/>
          <w:lang w:val="en-US" w:eastAsia="zh-CN"/>
        </w:rPr>
        <w:t xml:space="preserve">Change the third </w:t>
      </w:r>
      <w:r>
        <w:rPr>
          <w:rFonts w:hint="eastAsia"/>
          <w:i/>
          <w:iCs/>
          <w:color w:val="000000"/>
          <w:sz w:val="20"/>
          <w:highlight w:val="yellow"/>
          <w:lang w:val="en-US" w:eastAsia="zh-CN"/>
        </w:rPr>
        <w:t>row of Table 8-13a</w:t>
      </w:r>
      <w:r w:rsidRPr="00B2695D">
        <w:rPr>
          <w:i/>
          <w:iCs/>
          <w:color w:val="000000"/>
          <w:sz w:val="20"/>
          <w:highlight w:val="yellow"/>
          <w:lang w:val="en-US" w:eastAsia="zh-CN"/>
        </w:rPr>
        <w:t xml:space="preserve"> as follows:</w:t>
      </w:r>
    </w:p>
    <w:p w:rsidR="00966B52" w:rsidRDefault="00966B52" w:rsidP="00966B52">
      <w:pPr>
        <w:widowControl w:val="0"/>
        <w:autoSpaceDE w:val="0"/>
        <w:autoSpaceDN w:val="0"/>
        <w:adjustRightInd w:val="0"/>
        <w:spacing w:before="240"/>
        <w:rPr>
          <w:strike/>
          <w:color w:val="000000"/>
          <w:sz w:val="20"/>
          <w:lang w:val="en-US" w:eastAsia="zh-CN"/>
        </w:rPr>
      </w:pPr>
    </w:p>
    <w:tbl>
      <w:tblPr>
        <w:tblStyle w:val="TableGrid"/>
        <w:tblW w:w="0" w:type="auto"/>
        <w:tblLook w:val="01E0"/>
      </w:tblPr>
      <w:tblGrid>
        <w:gridCol w:w="1128"/>
        <w:gridCol w:w="2099"/>
        <w:gridCol w:w="6349"/>
      </w:tblGrid>
      <w:tr w:rsidR="00966B52" w:rsidRPr="00244B1E" w:rsidTr="000C0BEA">
        <w:tc>
          <w:tcPr>
            <w:tcW w:w="1128" w:type="dxa"/>
          </w:tcPr>
          <w:p w:rsidR="00966B52" w:rsidRPr="00244B1E" w:rsidRDefault="00966B52" w:rsidP="000C0BEA">
            <w:pPr>
              <w:widowControl w:val="0"/>
              <w:autoSpaceDE w:val="0"/>
              <w:autoSpaceDN w:val="0"/>
              <w:adjustRightInd w:val="0"/>
              <w:spacing w:before="240"/>
              <w:rPr>
                <w:color w:val="000000"/>
                <w:sz w:val="20"/>
                <w:lang w:val="en-US"/>
              </w:rPr>
            </w:pPr>
            <w:r w:rsidRPr="00244B1E">
              <w:rPr>
                <w:rFonts w:hint="eastAsia"/>
                <w:color w:val="000000"/>
                <w:sz w:val="20"/>
                <w:lang w:val="en-US"/>
              </w:rPr>
              <w:t>MSI</w:t>
            </w:r>
            <w:r>
              <w:rPr>
                <w:rFonts w:hint="eastAsia"/>
                <w:color w:val="000000"/>
                <w:sz w:val="20"/>
                <w:lang w:val="en-US"/>
              </w:rPr>
              <w:t>/STBC</w:t>
            </w:r>
          </w:p>
        </w:tc>
        <w:tc>
          <w:tcPr>
            <w:tcW w:w="2099" w:type="dxa"/>
          </w:tcPr>
          <w:p w:rsidR="00966B52" w:rsidRPr="00244B1E" w:rsidRDefault="00966B52" w:rsidP="000C0BEA">
            <w:pPr>
              <w:widowControl w:val="0"/>
              <w:autoSpaceDE w:val="0"/>
              <w:autoSpaceDN w:val="0"/>
              <w:adjustRightInd w:val="0"/>
              <w:spacing w:before="240"/>
              <w:rPr>
                <w:strike/>
                <w:color w:val="000000"/>
                <w:sz w:val="20"/>
                <w:lang w:val="fr-FR"/>
              </w:rPr>
            </w:pPr>
            <w:r w:rsidRPr="00244B1E">
              <w:rPr>
                <w:rFonts w:ascii="TimesNewRomanPSMT" w:hAnsi="TimesNewRomanPSMT" w:cs="TimesNewRomanPSMT"/>
                <w:sz w:val="18"/>
                <w:szCs w:val="18"/>
                <w:lang w:val="fr-FR"/>
              </w:rPr>
              <w:t xml:space="preserve">MRQ </w:t>
            </w:r>
            <w:proofErr w:type="spellStart"/>
            <w:r w:rsidRPr="00244B1E">
              <w:rPr>
                <w:rFonts w:ascii="TimesNewRomanPSMT" w:hAnsi="TimesNewRomanPSMT" w:cs="TimesNewRomanPSMT"/>
                <w:sz w:val="18"/>
                <w:szCs w:val="18"/>
                <w:lang w:val="fr-FR"/>
              </w:rPr>
              <w:t>sequence</w:t>
            </w:r>
            <w:proofErr w:type="spellEnd"/>
            <w:r w:rsidRPr="00244B1E">
              <w:rPr>
                <w:rFonts w:ascii="TimesNewRomanPSMT" w:hAnsi="TimesNewRomanPSMT" w:cs="TimesNewRomanPSMT" w:hint="eastAsia"/>
                <w:sz w:val="18"/>
                <w:szCs w:val="18"/>
                <w:lang w:val="fr-FR"/>
              </w:rPr>
              <w:t xml:space="preserve"> </w:t>
            </w:r>
            <w:r w:rsidRPr="00244B1E">
              <w:rPr>
                <w:rFonts w:ascii="TimesNewRomanPSMT" w:hAnsi="TimesNewRomanPSMT" w:cs="TimesNewRomanPSMT"/>
                <w:sz w:val="18"/>
                <w:szCs w:val="18"/>
                <w:lang w:val="fr-FR"/>
              </w:rPr>
              <w:t>identifier</w:t>
            </w:r>
            <w:r>
              <w:rPr>
                <w:rFonts w:ascii="TimesNewRomanPSMT" w:hAnsi="TimesNewRomanPSMT" w:cs="TimesNewRomanPSMT" w:hint="eastAsia"/>
                <w:sz w:val="18"/>
                <w:szCs w:val="18"/>
                <w:lang w:val="fr-FR"/>
              </w:rPr>
              <w:t xml:space="preserve"> </w:t>
            </w:r>
            <w:r w:rsidRPr="00244B1E">
              <w:rPr>
                <w:rFonts w:ascii="TimesNewRomanPSMT" w:hAnsi="TimesNewRomanPSMT" w:cs="TimesNewRomanPSMT"/>
                <w:sz w:val="18"/>
                <w:szCs w:val="18"/>
                <w:lang w:val="fr-FR"/>
              </w:rPr>
              <w:t>/STBC</w:t>
            </w:r>
            <w:r>
              <w:rPr>
                <w:rFonts w:ascii="TimesNewRomanPSMT" w:hAnsi="TimesNewRomanPSMT" w:cs="TimesNewRomanPSMT" w:hint="eastAsia"/>
                <w:sz w:val="18"/>
                <w:szCs w:val="18"/>
                <w:lang w:val="fr-FR"/>
              </w:rPr>
              <w:t xml:space="preserve"> </w:t>
            </w:r>
            <w:r w:rsidRPr="00244B1E">
              <w:rPr>
                <w:rFonts w:ascii="TimesNewRomanPSMT" w:hAnsi="TimesNewRomanPSMT" w:cs="TimesNewRomanPSMT"/>
                <w:sz w:val="18"/>
                <w:szCs w:val="18"/>
                <w:lang w:val="fr-FR"/>
              </w:rPr>
              <w:t>indication</w:t>
            </w:r>
          </w:p>
        </w:tc>
        <w:tc>
          <w:tcPr>
            <w:tcW w:w="6349" w:type="dxa"/>
          </w:tcPr>
          <w:p w:rsidR="00966B52" w:rsidRDefault="00966B52" w:rsidP="009B1BD1">
            <w:pPr>
              <w:widowControl w:val="0"/>
              <w:autoSpaceDE w:val="0"/>
              <w:autoSpaceDN w:val="0"/>
              <w:adjustRightInd w:val="0"/>
              <w:spacing w:beforeLines="50"/>
              <w:jc w:val="both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If the Unsolicited MFB subfield is 0 and the MRQ subfield is 1, the</w:t>
            </w:r>
            <w:r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MSI/STBC subfield contains a sequence number in the range 0 to </w:t>
            </w:r>
            <w:r w:rsidRPr="000332FC">
              <w:rPr>
                <w:rFonts w:ascii="TimesNewRomanPSMT" w:hAnsi="TimesNewRomanPSMT" w:cs="TimesNewRomanPSMT"/>
                <w:strike/>
                <w:sz w:val="18"/>
                <w:szCs w:val="18"/>
                <w:lang w:val="en-US"/>
              </w:rPr>
              <w:t>6</w:t>
            </w:r>
            <w:r w:rsidRPr="000332FC">
              <w:rPr>
                <w:rFonts w:ascii="TimesNewRomanPSMT" w:hAnsi="TimesNewRomanPSMT" w:cs="TimesNewRomanPSMT" w:hint="eastAsia"/>
                <w:strike/>
                <w:sz w:val="18"/>
                <w:szCs w:val="18"/>
                <w:lang w:val="en-US"/>
              </w:rPr>
              <w:t xml:space="preserve"> </w:t>
            </w:r>
            <w:r w:rsidRPr="000332FC">
              <w:rPr>
                <w:rFonts w:ascii="TimesNewRomanPSMT" w:hAnsi="TimesNewRomanPSMT" w:cs="TimesNewRomanPSMT" w:hint="eastAsia"/>
                <w:color w:val="FF0000"/>
                <w:sz w:val="18"/>
                <w:szCs w:val="18"/>
                <w:lang w:val="en-US"/>
              </w:rPr>
              <w:t>7</w:t>
            </w:r>
            <w:r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that identifies the specific request.</w:t>
            </w:r>
          </w:p>
          <w:p w:rsidR="00966B52" w:rsidRDefault="00966B52" w:rsidP="009B1BD1">
            <w:pPr>
              <w:widowControl w:val="0"/>
              <w:autoSpaceDE w:val="0"/>
              <w:autoSpaceDN w:val="0"/>
              <w:adjustRightInd w:val="0"/>
              <w:spacing w:beforeLines="50"/>
              <w:jc w:val="both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If the Unsolicited MFB subfield is 0 and the MRQ subfield is 0, the</w:t>
            </w:r>
            <w:r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MSI/STBC </w:t>
            </w:r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lastRenderedPageBreak/>
              <w:t>subfield is reserved.</w:t>
            </w:r>
          </w:p>
          <w:p w:rsidR="00966B52" w:rsidRDefault="00966B52" w:rsidP="009B1BD1">
            <w:pPr>
              <w:widowControl w:val="0"/>
              <w:autoSpaceDE w:val="0"/>
              <w:autoSpaceDN w:val="0"/>
              <w:adjustRightInd w:val="0"/>
              <w:spacing w:beforeLines="50"/>
              <w:jc w:val="both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If the Unsolicited MFB subfield is 1, the MSI/STBC field contains the</w:t>
            </w:r>
            <w:r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Compressed MSI and STBC Indication subfields as shown in</w:t>
            </w:r>
            <w:r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Figure 1-8b.</w:t>
            </w:r>
          </w:p>
          <w:p w:rsidR="00966B52" w:rsidRDefault="00966B52" w:rsidP="009B1BD1">
            <w:pPr>
              <w:widowControl w:val="0"/>
              <w:autoSpaceDE w:val="0"/>
              <w:autoSpaceDN w:val="0"/>
              <w:adjustRightInd w:val="0"/>
              <w:spacing w:beforeLines="50"/>
              <w:jc w:val="both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The STBC Indication subfields contains:</w:t>
            </w:r>
          </w:p>
          <w:p w:rsidR="00966B52" w:rsidRDefault="00966B52" w:rsidP="000C0BEA">
            <w:pPr>
              <w:widowControl w:val="0"/>
              <w:autoSpaceDE w:val="0"/>
              <w:autoSpaceDN w:val="0"/>
              <w:adjustRightInd w:val="0"/>
              <w:ind w:firstLineChars="100" w:firstLine="180"/>
              <w:jc w:val="both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Set to 0 if STBC is not transmitted</w:t>
            </w:r>
          </w:p>
          <w:p w:rsidR="00966B52" w:rsidRDefault="00966B52" w:rsidP="000C0BEA">
            <w:pPr>
              <w:widowControl w:val="0"/>
              <w:autoSpaceDE w:val="0"/>
              <w:autoSpaceDN w:val="0"/>
              <w:adjustRightInd w:val="0"/>
              <w:ind w:firstLineChars="100" w:firstLine="180"/>
              <w:jc w:val="both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Set to 1 if STBC is transmitted</w:t>
            </w:r>
            <w:r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  <w:t xml:space="preserve"> </w:t>
            </w:r>
          </w:p>
          <w:p w:rsidR="00966B52" w:rsidRPr="00244B1E" w:rsidRDefault="00966B52" w:rsidP="009B1BD1">
            <w:pPr>
              <w:widowControl w:val="0"/>
              <w:autoSpaceDE w:val="0"/>
              <w:autoSpaceDN w:val="0"/>
              <w:adjustRightInd w:val="0"/>
              <w:spacing w:beforeLines="50"/>
              <w:jc w:val="both"/>
              <w:rPr>
                <w:strike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The Compressed MSI contains a sequence number that identifies the</w:t>
            </w:r>
            <w:r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specific request. It is in the range 0 to 3</w:t>
            </w:r>
            <w:r w:rsidRPr="000332FC">
              <w:rPr>
                <w:rFonts w:ascii="TimesNewRomanPSMT" w:hAnsi="TimesNewRomanPSMT" w:cs="TimesNewRomanPSMT"/>
                <w:strike/>
                <w:sz w:val="18"/>
                <w:szCs w:val="18"/>
                <w:lang w:val="en-US"/>
              </w:rPr>
              <w:t xml:space="preserve"> if STBC Indication equals 0 or</w:t>
            </w:r>
            <w:r w:rsidRPr="000332FC">
              <w:rPr>
                <w:rFonts w:ascii="TimesNewRomanPSMT" w:hAnsi="TimesNewRomanPSMT" w:cs="TimesNewRomanPSMT" w:hint="eastAsia"/>
                <w:strike/>
                <w:sz w:val="18"/>
                <w:szCs w:val="18"/>
                <w:lang w:val="en-US"/>
              </w:rPr>
              <w:t xml:space="preserve"> </w:t>
            </w:r>
            <w:r w:rsidRPr="000332FC">
              <w:rPr>
                <w:rFonts w:ascii="TimesNewRomanPSMT" w:hAnsi="TimesNewRomanPSMT" w:cs="TimesNewRomanPSMT"/>
                <w:strike/>
                <w:sz w:val="18"/>
                <w:szCs w:val="18"/>
                <w:lang w:val="en-US"/>
              </w:rPr>
              <w:t>in the range 0 to 2 if STBC Indication equals 1</w:t>
            </w:r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.</w:t>
            </w:r>
          </w:p>
        </w:tc>
      </w:tr>
    </w:tbl>
    <w:p w:rsidR="00966B52" w:rsidRDefault="00966B52" w:rsidP="00966B52">
      <w:pPr>
        <w:widowControl w:val="0"/>
        <w:autoSpaceDE w:val="0"/>
        <w:autoSpaceDN w:val="0"/>
        <w:adjustRightInd w:val="0"/>
        <w:spacing w:before="240"/>
        <w:rPr>
          <w:strike/>
          <w:color w:val="000000"/>
          <w:sz w:val="20"/>
          <w:lang w:val="en-US" w:eastAsia="zh-CN"/>
        </w:rPr>
      </w:pPr>
    </w:p>
    <w:p w:rsidR="00966B52" w:rsidRPr="00AC66F2" w:rsidRDefault="00966B52" w:rsidP="00966B52">
      <w:pPr>
        <w:widowControl w:val="0"/>
        <w:autoSpaceDE w:val="0"/>
        <w:autoSpaceDN w:val="0"/>
        <w:adjustRightInd w:val="0"/>
        <w:spacing w:before="240"/>
        <w:rPr>
          <w:i/>
          <w:iCs/>
          <w:color w:val="000000"/>
          <w:sz w:val="20"/>
          <w:lang w:val="en-US" w:eastAsia="zh-CN"/>
        </w:rPr>
      </w:pPr>
      <w:r>
        <w:rPr>
          <w:i/>
          <w:iCs/>
          <w:color w:val="000000"/>
          <w:sz w:val="20"/>
          <w:highlight w:val="yellow"/>
          <w:lang w:val="en-US" w:eastAsia="zh-CN"/>
        </w:rPr>
        <w:t xml:space="preserve">Change the </w:t>
      </w:r>
      <w:r>
        <w:rPr>
          <w:rFonts w:hint="eastAsia"/>
          <w:i/>
          <w:iCs/>
          <w:color w:val="000000"/>
          <w:sz w:val="20"/>
          <w:highlight w:val="yellow"/>
          <w:lang w:val="en-US" w:eastAsia="zh-CN"/>
        </w:rPr>
        <w:t>fourth</w:t>
      </w:r>
      <w:r w:rsidRPr="00B2695D">
        <w:rPr>
          <w:i/>
          <w:iCs/>
          <w:color w:val="000000"/>
          <w:sz w:val="20"/>
          <w:highlight w:val="yellow"/>
          <w:lang w:val="en-US" w:eastAsia="zh-CN"/>
        </w:rPr>
        <w:t xml:space="preserve"> </w:t>
      </w:r>
      <w:r>
        <w:rPr>
          <w:rFonts w:hint="eastAsia"/>
          <w:i/>
          <w:iCs/>
          <w:color w:val="000000"/>
          <w:sz w:val="20"/>
          <w:highlight w:val="yellow"/>
          <w:lang w:val="en-US" w:eastAsia="zh-CN"/>
        </w:rPr>
        <w:t>row of Table 8-13b</w:t>
      </w:r>
      <w:r w:rsidRPr="00B2695D">
        <w:rPr>
          <w:i/>
          <w:iCs/>
          <w:color w:val="000000"/>
          <w:sz w:val="20"/>
          <w:highlight w:val="yellow"/>
          <w:lang w:val="en-US" w:eastAsia="zh-CN"/>
        </w:rPr>
        <w:t xml:space="preserve"> as follows:</w:t>
      </w:r>
    </w:p>
    <w:tbl>
      <w:tblPr>
        <w:tblStyle w:val="TableGrid"/>
        <w:tblW w:w="0" w:type="auto"/>
        <w:tblLook w:val="01E0"/>
      </w:tblPr>
      <w:tblGrid>
        <w:gridCol w:w="1128"/>
        <w:gridCol w:w="2099"/>
        <w:gridCol w:w="6349"/>
      </w:tblGrid>
      <w:tr w:rsidR="00966B52" w:rsidRPr="00244B1E" w:rsidTr="000C0BEA">
        <w:tc>
          <w:tcPr>
            <w:tcW w:w="1128" w:type="dxa"/>
          </w:tcPr>
          <w:p w:rsidR="00966B52" w:rsidRPr="00244B1E" w:rsidRDefault="00966B52" w:rsidP="000C0BEA">
            <w:pPr>
              <w:widowControl w:val="0"/>
              <w:autoSpaceDE w:val="0"/>
              <w:autoSpaceDN w:val="0"/>
              <w:adjustRightInd w:val="0"/>
              <w:spacing w:before="240"/>
              <w:rPr>
                <w:color w:val="000000"/>
                <w:sz w:val="20"/>
                <w:lang w:val="en-US"/>
              </w:rPr>
            </w:pPr>
            <w:r>
              <w:rPr>
                <w:rFonts w:hint="eastAsia"/>
                <w:color w:val="000000"/>
                <w:sz w:val="20"/>
                <w:lang w:val="en-US"/>
              </w:rPr>
              <w:t>BW</w:t>
            </w:r>
          </w:p>
        </w:tc>
        <w:tc>
          <w:tcPr>
            <w:tcW w:w="2099" w:type="dxa"/>
          </w:tcPr>
          <w:p w:rsidR="00966B52" w:rsidRPr="008B59F7" w:rsidRDefault="00966B52" w:rsidP="000C0BE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NewRomanPSMT" w:hAnsi="TimesNewRomanPSMT" w:cs="TimesNewRomanPSMT"/>
                <w:strike/>
                <w:color w:val="000000"/>
                <w:sz w:val="18"/>
                <w:szCs w:val="18"/>
                <w:lang w:val="en-US"/>
              </w:rPr>
            </w:pPr>
            <w:r w:rsidRPr="008B59F7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Bandwidth of</w:t>
            </w:r>
            <w:r w:rsidRPr="008B59F7"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  <w:t xml:space="preserve"> </w:t>
            </w:r>
            <w:r w:rsidRPr="008B59F7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the recommended</w:t>
            </w:r>
            <w:r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  <w:t xml:space="preserve"> </w:t>
            </w:r>
            <w:r w:rsidRPr="008B59F7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MCS</w:t>
            </w:r>
          </w:p>
        </w:tc>
        <w:tc>
          <w:tcPr>
            <w:tcW w:w="6349" w:type="dxa"/>
          </w:tcPr>
          <w:p w:rsidR="00966B52" w:rsidRPr="00244B1E" w:rsidRDefault="00966B52" w:rsidP="009B1BD1">
            <w:pPr>
              <w:widowControl w:val="0"/>
              <w:autoSpaceDE w:val="0"/>
              <w:autoSpaceDN w:val="0"/>
              <w:adjustRightInd w:val="0"/>
              <w:spacing w:beforeLines="50"/>
              <w:jc w:val="both"/>
              <w:rPr>
                <w:strike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If the Unsolicited MFB subfield is 1, the BW subfield indicates</w:t>
            </w:r>
            <w:r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the bandwidth for which the recommended MCS is</w:t>
            </w:r>
            <w:r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intended, as defined in 9.28.3 (Link adaptation using the VHT</w:t>
            </w:r>
            <w:r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variant HT Control field). BW subfield is set to 0 for 20 MHz,</w:t>
            </w:r>
            <w:r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1 for 40 MHz, 2 for 80 MHz, 3 for 160 MHz and 80+80 </w:t>
            </w:r>
            <w:proofErr w:type="spellStart"/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MHz.</w:t>
            </w:r>
            <w:proofErr w:type="spellEnd"/>
            <w:r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If the Unsolicited MFB subfield is 0</w:t>
            </w:r>
            <w:r w:rsidRPr="008B59F7">
              <w:rPr>
                <w:rFonts w:ascii="TimesNewRomanPSMT" w:hAnsi="TimesNewRomanPSMT" w:cs="TimesNewRomanPSMT" w:hint="eastAsia"/>
                <w:color w:val="993300"/>
                <w:sz w:val="18"/>
                <w:szCs w:val="18"/>
                <w:lang w:val="en-US"/>
              </w:rPr>
              <w:t xml:space="preserve"> </w:t>
            </w:r>
            <w:r w:rsidRPr="008B59F7">
              <w:rPr>
                <w:rFonts w:ascii="TimesNewRomanPSMT" w:hAnsi="TimesNewRomanPSMT" w:cs="TimesNewRomanPSMT" w:hint="eastAsia"/>
                <w:color w:val="FF0000"/>
                <w:sz w:val="18"/>
                <w:szCs w:val="18"/>
                <w:lang w:val="en-US"/>
              </w:rPr>
              <w:t>and MCS = 15, N_STS = 7</w:t>
            </w:r>
            <w:r>
              <w:rPr>
                <w:rFonts w:ascii="TimesNewRomanPSMT" w:hAnsi="TimesNewRomanPSMT" w:cs="TimesNewRomanPSMT" w:hint="eastAsia"/>
                <w:color w:val="FF0000"/>
                <w:sz w:val="18"/>
                <w:szCs w:val="18"/>
                <w:lang w:val="en-US"/>
              </w:rPr>
              <w:t>, BW subfield is setting as defined in 9.28.3 (Link adaptation using the VHT variant HT Control field)</w:t>
            </w:r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NewRomanPSMT" w:hAnsi="TimesNewRomanPSMT" w:cs="TimesNewRomanPSMT" w:hint="eastAsia"/>
                <w:color w:val="FF0000"/>
                <w:sz w:val="18"/>
                <w:szCs w:val="18"/>
                <w:lang w:val="en-US"/>
              </w:rPr>
              <w:t xml:space="preserve">otherwise </w:t>
            </w:r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BW subfield is reserved.</w:t>
            </w:r>
          </w:p>
        </w:tc>
      </w:tr>
    </w:tbl>
    <w:p w:rsidR="00966B52" w:rsidRPr="008B59F7" w:rsidRDefault="00966B52" w:rsidP="00966B52">
      <w:pPr>
        <w:widowControl w:val="0"/>
        <w:autoSpaceDE w:val="0"/>
        <w:autoSpaceDN w:val="0"/>
        <w:adjustRightInd w:val="0"/>
        <w:spacing w:before="240"/>
        <w:rPr>
          <w:strike/>
          <w:color w:val="000000"/>
          <w:sz w:val="20"/>
          <w:lang w:val="en-US" w:eastAsia="zh-CN"/>
        </w:rPr>
      </w:pPr>
    </w:p>
    <w:p w:rsidR="00966B52" w:rsidRPr="008B59F7" w:rsidRDefault="00966B52" w:rsidP="00966B52">
      <w:pPr>
        <w:widowControl w:val="0"/>
        <w:autoSpaceDE w:val="0"/>
        <w:autoSpaceDN w:val="0"/>
        <w:adjustRightInd w:val="0"/>
        <w:spacing w:before="240"/>
        <w:rPr>
          <w:strike/>
          <w:color w:val="000000"/>
          <w:sz w:val="20"/>
          <w:lang w:val="en-US" w:eastAsia="zh-CN"/>
        </w:rPr>
      </w:pPr>
    </w:p>
    <w:p w:rsidR="00966B52" w:rsidRPr="00DB36C2" w:rsidRDefault="00966B52" w:rsidP="00966B52">
      <w:pPr>
        <w:widowControl w:val="0"/>
        <w:autoSpaceDE w:val="0"/>
        <w:autoSpaceDN w:val="0"/>
        <w:adjustRightInd w:val="0"/>
        <w:spacing w:before="240"/>
        <w:rPr>
          <w:color w:val="000000"/>
          <w:sz w:val="20"/>
          <w:lang w:val="en-US" w:eastAsia="zh-CN"/>
        </w:rPr>
      </w:pPr>
      <w:r w:rsidRPr="00DB36C2">
        <w:rPr>
          <w:rFonts w:hint="eastAsia"/>
          <w:color w:val="000000"/>
          <w:sz w:val="20"/>
          <w:lang w:val="en-US" w:eastAsia="zh-CN"/>
        </w:rPr>
        <w:t>9.28.3</w:t>
      </w:r>
      <w:r>
        <w:rPr>
          <w:rFonts w:hint="eastAsia"/>
          <w:color w:val="000000"/>
          <w:sz w:val="20"/>
          <w:lang w:val="en-US" w:eastAsia="zh-CN"/>
        </w:rPr>
        <w:t xml:space="preserve"> Link adaptation using the VHT variant HT Control field</w:t>
      </w:r>
    </w:p>
    <w:p w:rsidR="00966B52" w:rsidRDefault="00966B52" w:rsidP="00966B52">
      <w:pPr>
        <w:widowControl w:val="0"/>
        <w:autoSpaceDE w:val="0"/>
        <w:autoSpaceDN w:val="0"/>
        <w:adjustRightInd w:val="0"/>
        <w:spacing w:before="240"/>
        <w:rPr>
          <w:strike/>
          <w:color w:val="000000"/>
          <w:sz w:val="20"/>
          <w:lang w:val="en-US" w:eastAsia="zh-CN"/>
        </w:rPr>
      </w:pPr>
      <w:r>
        <w:rPr>
          <w:i/>
          <w:iCs/>
          <w:color w:val="000000"/>
          <w:sz w:val="20"/>
          <w:highlight w:val="yellow"/>
          <w:lang w:val="en-US" w:eastAsia="zh-CN"/>
        </w:rPr>
        <w:t>Change the</w:t>
      </w:r>
      <w:r w:rsidRPr="00B2695D">
        <w:rPr>
          <w:i/>
          <w:iCs/>
          <w:color w:val="000000"/>
          <w:sz w:val="20"/>
          <w:highlight w:val="yellow"/>
          <w:lang w:val="en-US" w:eastAsia="zh-CN"/>
        </w:rPr>
        <w:t xml:space="preserve"> </w:t>
      </w:r>
      <w:r>
        <w:rPr>
          <w:rFonts w:hint="eastAsia"/>
          <w:i/>
          <w:iCs/>
          <w:color w:val="000000"/>
          <w:sz w:val="20"/>
          <w:highlight w:val="yellow"/>
          <w:lang w:val="en-US" w:eastAsia="zh-CN"/>
        </w:rPr>
        <w:t xml:space="preserve">paragraph in page 122, line 31 </w:t>
      </w:r>
      <w:r w:rsidRPr="00B2695D">
        <w:rPr>
          <w:i/>
          <w:iCs/>
          <w:color w:val="000000"/>
          <w:sz w:val="20"/>
          <w:highlight w:val="yellow"/>
          <w:lang w:val="en-US" w:eastAsia="zh-CN"/>
        </w:rPr>
        <w:t>as follows:</w:t>
      </w:r>
    </w:p>
    <w:p w:rsidR="00966B52" w:rsidRDefault="00966B52" w:rsidP="00966B52">
      <w:pPr>
        <w:widowControl w:val="0"/>
        <w:autoSpaceDE w:val="0"/>
        <w:autoSpaceDN w:val="0"/>
        <w:adjustRightInd w:val="0"/>
        <w:jc w:val="both"/>
        <w:rPr>
          <w:strike/>
          <w:color w:val="000000"/>
          <w:sz w:val="20"/>
          <w:lang w:val="en-US" w:eastAsia="zh-CN"/>
        </w:rPr>
      </w:pPr>
      <w:r>
        <w:rPr>
          <w:rFonts w:ascii="TimesNewRomanPSMT" w:hAnsi="TimesNewRomanPSMT" w:cs="TimesNewRomanPSMT"/>
          <w:sz w:val="20"/>
          <w:lang w:val="en-US" w:eastAsia="zh-CN"/>
        </w:rPr>
        <w:t>The MFB requester may set the MRQ field to 1 in the VHT variant HT Control field of a frame to request a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 </w:t>
      </w:r>
      <w:r>
        <w:rPr>
          <w:rFonts w:ascii="TimesNewRomanPSMT" w:hAnsi="TimesNewRomanPSMT" w:cs="TimesNewRomanPSMT"/>
          <w:sz w:val="20"/>
          <w:lang w:val="en-US" w:eastAsia="zh-CN"/>
        </w:rPr>
        <w:t>STA to provide MCS, N_STS and SNR feedback. In each request, the MFB requester shall set the MSI field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 </w:t>
      </w:r>
      <w:r>
        <w:rPr>
          <w:rFonts w:ascii="TimesNewRomanPSMT" w:hAnsi="TimesNewRomanPSMT" w:cs="TimesNewRomanPSMT"/>
          <w:sz w:val="20"/>
          <w:lang w:val="en-US" w:eastAsia="zh-CN"/>
        </w:rPr>
        <w:t xml:space="preserve">to a value in the range 0 to </w:t>
      </w:r>
      <w:r w:rsidRPr="000332FC">
        <w:rPr>
          <w:rFonts w:ascii="TimesNewRomanPSMT" w:hAnsi="TimesNewRomanPSMT" w:cs="TimesNewRomanPSMT"/>
          <w:strike/>
          <w:sz w:val="20"/>
          <w:lang w:val="en-US" w:eastAsia="zh-CN"/>
        </w:rPr>
        <w:t>6</w:t>
      </w:r>
      <w:r w:rsidRPr="000332FC">
        <w:rPr>
          <w:rFonts w:ascii="TimesNewRomanPSMT" w:hAnsi="TimesNewRomanPSMT" w:cs="TimesNewRomanPSMT" w:hint="eastAsia"/>
          <w:strike/>
          <w:sz w:val="20"/>
          <w:lang w:val="en-US" w:eastAsia="zh-CN"/>
        </w:rPr>
        <w:t xml:space="preserve"> </w:t>
      </w:r>
      <w:r w:rsidRPr="000332FC">
        <w:rPr>
          <w:rFonts w:ascii="TimesNewRomanPSMT" w:hAnsi="TimesNewRomanPSMT" w:cs="TimesNewRomanPSMT" w:hint="eastAsia"/>
          <w:color w:val="FF0000"/>
          <w:sz w:val="20"/>
          <w:lang w:val="en-US" w:eastAsia="zh-CN"/>
        </w:rPr>
        <w:t>7</w:t>
      </w:r>
      <w:r>
        <w:rPr>
          <w:rFonts w:ascii="TimesNewRomanPSMT" w:hAnsi="TimesNewRomanPSMT" w:cs="TimesNewRomanPSMT"/>
          <w:sz w:val="20"/>
          <w:lang w:val="en-US" w:eastAsia="zh-CN"/>
        </w:rPr>
        <w:t>. The choice of MSI value is implementation dependent.</w:t>
      </w:r>
    </w:p>
    <w:p w:rsidR="00966B52" w:rsidRDefault="00966B52" w:rsidP="00966B52">
      <w:pPr>
        <w:widowControl w:val="0"/>
        <w:autoSpaceDE w:val="0"/>
        <w:autoSpaceDN w:val="0"/>
        <w:adjustRightInd w:val="0"/>
        <w:spacing w:before="240"/>
        <w:rPr>
          <w:strike/>
          <w:color w:val="000000"/>
          <w:sz w:val="20"/>
          <w:lang w:val="en-US" w:eastAsia="zh-CN"/>
        </w:rPr>
      </w:pPr>
    </w:p>
    <w:p w:rsidR="00966B52" w:rsidRDefault="00966B52" w:rsidP="00966B52">
      <w:pPr>
        <w:widowControl w:val="0"/>
        <w:autoSpaceDE w:val="0"/>
        <w:autoSpaceDN w:val="0"/>
        <w:adjustRightInd w:val="0"/>
        <w:spacing w:before="240"/>
        <w:rPr>
          <w:strike/>
          <w:color w:val="000000"/>
          <w:sz w:val="20"/>
          <w:lang w:val="en-US" w:eastAsia="zh-CN"/>
        </w:rPr>
      </w:pPr>
      <w:r>
        <w:rPr>
          <w:i/>
          <w:iCs/>
          <w:color w:val="000000"/>
          <w:sz w:val="20"/>
          <w:highlight w:val="yellow"/>
          <w:lang w:val="en-US" w:eastAsia="zh-CN"/>
        </w:rPr>
        <w:t>Change the</w:t>
      </w:r>
      <w:r w:rsidRPr="00B2695D">
        <w:rPr>
          <w:i/>
          <w:iCs/>
          <w:color w:val="000000"/>
          <w:sz w:val="20"/>
          <w:highlight w:val="yellow"/>
          <w:lang w:val="en-US" w:eastAsia="zh-CN"/>
        </w:rPr>
        <w:t xml:space="preserve"> </w:t>
      </w:r>
      <w:r>
        <w:rPr>
          <w:rFonts w:hint="eastAsia"/>
          <w:i/>
          <w:iCs/>
          <w:color w:val="000000"/>
          <w:sz w:val="20"/>
          <w:highlight w:val="yellow"/>
          <w:lang w:val="en-US" w:eastAsia="zh-CN"/>
        </w:rPr>
        <w:t xml:space="preserve">paragraphs in page 123, line 12 </w:t>
      </w:r>
      <w:r w:rsidRPr="00B2695D">
        <w:rPr>
          <w:i/>
          <w:iCs/>
          <w:color w:val="000000"/>
          <w:sz w:val="20"/>
          <w:highlight w:val="yellow"/>
          <w:lang w:val="en-US" w:eastAsia="zh-CN"/>
        </w:rPr>
        <w:t>as follows:</w:t>
      </w:r>
    </w:p>
    <w:p w:rsidR="00966B52" w:rsidRDefault="00966B52" w:rsidP="00966B52">
      <w:pPr>
        <w:rPr>
          <w:sz w:val="20"/>
          <w:lang w:val="en-US" w:eastAsia="zh-CN"/>
        </w:rPr>
      </w:pPr>
    </w:p>
    <w:p w:rsidR="00966B52" w:rsidRDefault="00966B52" w:rsidP="00966B52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/>
        </w:rPr>
      </w:pPr>
      <w:r w:rsidRPr="002D5A87">
        <w:rPr>
          <w:rFonts w:ascii="TimesNewRomanPSMT" w:hAnsi="TimesNewRomanPSMT" w:cs="TimesNewRomanPSMT"/>
          <w:sz w:val="20"/>
          <w:lang w:val="en-US" w:eastAsia="zh-CN"/>
        </w:rPr>
        <w:t>The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 </w:t>
      </w:r>
      <w:r>
        <w:rPr>
          <w:rFonts w:ascii="TimesNewRomanPSMT" w:hAnsi="TimesNewRomanPSMT" w:cs="TimesNewRomanPSMT"/>
          <w:sz w:val="20"/>
          <w:lang w:val="en-US" w:eastAsia="zh-CN"/>
        </w:rPr>
        <w:t xml:space="preserve">MFB responder may send a </w:t>
      </w:r>
      <w:r w:rsidRPr="00F24175">
        <w:rPr>
          <w:rFonts w:ascii="TimesNewRomanPSMT" w:hAnsi="TimesNewRomanPSMT" w:cs="TimesNewRomanPSMT"/>
          <w:sz w:val="20"/>
          <w:lang w:val="en-US" w:eastAsia="zh-CN"/>
        </w:rPr>
        <w:t>solicited</w:t>
      </w:r>
      <w:r>
        <w:rPr>
          <w:rFonts w:ascii="TimesNewRomanPSMT" w:hAnsi="TimesNewRomanPSMT" w:cs="TimesNewRomanPSMT"/>
          <w:sz w:val="20"/>
          <w:lang w:val="en-US" w:eastAsia="zh-CN"/>
        </w:rPr>
        <w:t xml:space="preserve"> response frame with any of the following combinations of MCS,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 </w:t>
      </w:r>
      <w:r>
        <w:rPr>
          <w:rFonts w:ascii="TimesNewRomanPSMT" w:hAnsi="TimesNewRomanPSMT" w:cs="TimesNewRomanPSMT"/>
          <w:sz w:val="20"/>
          <w:lang w:val="en-US" w:eastAsia="zh-CN"/>
        </w:rPr>
        <w:t>N_STS and MFSI:</w:t>
      </w:r>
    </w:p>
    <w:p w:rsidR="00966B52" w:rsidRDefault="00966B52" w:rsidP="00966B5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zh-CN"/>
        </w:rPr>
      </w:pPr>
      <w:r>
        <w:rPr>
          <w:rFonts w:ascii="TimesNewRomanPSMT" w:hAnsi="TimesNewRomanPSMT" w:cs="TimesNewRomanPSMT"/>
          <w:sz w:val="20"/>
          <w:lang w:val="en-US" w:eastAsia="zh-CN"/>
        </w:rPr>
        <w:t xml:space="preserve">MCS = 15, N_STS = 7 in the MFB subfield, </w:t>
      </w:r>
      <w:r w:rsidRPr="00435A91">
        <w:rPr>
          <w:rFonts w:ascii="TimesNewRomanPSMT" w:hAnsi="TimesNewRomanPSMT" w:cs="TimesNewRomanPSMT"/>
          <w:strike/>
          <w:sz w:val="20"/>
          <w:lang w:val="en-US" w:eastAsia="zh-CN"/>
        </w:rPr>
        <w:t>MFSI = 7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 </w:t>
      </w:r>
      <w:r>
        <w:rPr>
          <w:rFonts w:ascii="TimesNewRomanPSMT" w:hAnsi="TimesNewRomanPSMT" w:cs="TimesNewRomanPSMT" w:hint="eastAsia"/>
          <w:color w:val="FF0000"/>
          <w:sz w:val="20"/>
          <w:lang w:val="en-US" w:eastAsia="zh-CN"/>
        </w:rPr>
        <w:t>BW</w:t>
      </w:r>
      <w:r w:rsidRPr="00435A91">
        <w:rPr>
          <w:rFonts w:ascii="TimesNewRomanPSMT" w:hAnsi="TimesNewRomanPSMT" w:cs="TimesNewRomanPSMT" w:hint="eastAsia"/>
          <w:color w:val="FF0000"/>
          <w:sz w:val="20"/>
          <w:lang w:val="en-US" w:eastAsia="zh-CN"/>
        </w:rPr>
        <w:t xml:space="preserve"> = </w:t>
      </w:r>
      <w:r>
        <w:rPr>
          <w:rFonts w:ascii="TimesNewRomanPSMT" w:hAnsi="TimesNewRomanPSMT" w:cs="TimesNewRomanPSMT" w:hint="eastAsia"/>
          <w:color w:val="FF0000"/>
          <w:sz w:val="20"/>
          <w:lang w:val="en-US" w:eastAsia="zh-CN"/>
        </w:rPr>
        <w:t>3</w:t>
      </w:r>
      <w:r>
        <w:rPr>
          <w:rFonts w:ascii="TimesNewRomanPSMT" w:hAnsi="TimesNewRomanPSMT" w:cs="TimesNewRomanPSMT"/>
          <w:sz w:val="20"/>
          <w:lang w:val="en-US" w:eastAsia="zh-CN"/>
        </w:rPr>
        <w:t>: no information is provided for the immediately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 </w:t>
      </w:r>
      <w:r>
        <w:rPr>
          <w:rFonts w:ascii="TimesNewRomanPSMT" w:hAnsi="TimesNewRomanPSMT" w:cs="TimesNewRomanPSMT"/>
          <w:sz w:val="20"/>
          <w:lang w:val="en-US" w:eastAsia="zh-CN"/>
        </w:rPr>
        <w:t>preceding request or for any other pending request. This combination is used when the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 </w:t>
      </w:r>
      <w:r>
        <w:rPr>
          <w:rFonts w:ascii="TimesNewRomanPSMT" w:hAnsi="TimesNewRomanPSMT" w:cs="TimesNewRomanPSMT"/>
          <w:sz w:val="20"/>
          <w:lang w:val="en-US" w:eastAsia="zh-CN"/>
        </w:rPr>
        <w:t>responder is required to include a VHT variant HT Control field due to other protocols that use this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 </w:t>
      </w:r>
      <w:r>
        <w:rPr>
          <w:rFonts w:ascii="TimesNewRomanPSMT" w:hAnsi="TimesNewRomanPSMT" w:cs="TimesNewRomanPSMT"/>
          <w:sz w:val="20"/>
          <w:lang w:val="en-US" w:eastAsia="zh-CN"/>
        </w:rPr>
        <w:t>field (i.e., the Reverse Direction Protocol) and when no MFB is available. It has no effect on the status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 </w:t>
      </w:r>
      <w:r>
        <w:rPr>
          <w:rFonts w:ascii="TimesNewRomanPSMT" w:hAnsi="TimesNewRomanPSMT" w:cs="TimesNewRomanPSMT"/>
          <w:sz w:val="20"/>
          <w:lang w:val="en-US" w:eastAsia="zh-CN"/>
        </w:rPr>
        <w:t>of any pending MRQ.</w:t>
      </w:r>
    </w:p>
    <w:p w:rsidR="00966B52" w:rsidRDefault="00966B52" w:rsidP="00966B5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zh-CN"/>
        </w:rPr>
      </w:pPr>
      <w:r>
        <w:rPr>
          <w:rFonts w:ascii="TimesNewRomanPSMT" w:hAnsi="TimesNewRomanPSMT" w:cs="TimesNewRomanPSMT"/>
          <w:sz w:val="20"/>
          <w:lang w:val="en-US" w:eastAsia="zh-CN"/>
        </w:rPr>
        <w:t xml:space="preserve">MCS = 15, N_STS = 7 in the MFB subfield, MFSI in the range 0 to </w:t>
      </w:r>
      <w:r w:rsidRPr="00705F43">
        <w:rPr>
          <w:rFonts w:ascii="TimesNewRomanPSMT" w:hAnsi="TimesNewRomanPSMT" w:cs="TimesNewRomanPSMT"/>
          <w:strike/>
          <w:sz w:val="20"/>
          <w:lang w:val="en-US" w:eastAsia="zh-CN"/>
        </w:rPr>
        <w:t>6</w:t>
      </w:r>
      <w:r w:rsidRPr="00705F43">
        <w:rPr>
          <w:rFonts w:ascii="TimesNewRomanPSMT" w:hAnsi="TimesNewRomanPSMT" w:cs="TimesNewRomanPSMT" w:hint="eastAsia"/>
          <w:strike/>
          <w:sz w:val="20"/>
          <w:lang w:val="en-US" w:eastAsia="zh-CN"/>
        </w:rPr>
        <w:t xml:space="preserve"> </w:t>
      </w:r>
      <w:r w:rsidRPr="00705F43">
        <w:rPr>
          <w:rFonts w:ascii="TimesNewRomanPSMT" w:hAnsi="TimesNewRomanPSMT" w:cs="TimesNewRomanPSMT" w:hint="eastAsia"/>
          <w:color w:val="FF0000"/>
          <w:sz w:val="20"/>
          <w:lang w:val="en-US" w:eastAsia="zh-CN"/>
        </w:rPr>
        <w:t>7</w:t>
      </w:r>
      <w:r>
        <w:rPr>
          <w:rFonts w:ascii="TimesNewRomanPSMT" w:hAnsi="TimesNewRomanPSMT" w:cs="TimesNewRomanPSMT" w:hint="eastAsia"/>
          <w:color w:val="FF0000"/>
          <w:sz w:val="20"/>
          <w:lang w:val="en-US" w:eastAsia="zh-CN"/>
        </w:rPr>
        <w:t>, BW</w:t>
      </w:r>
      <w:r>
        <w:rPr>
          <w:rFonts w:ascii="SimSun" w:hAnsi="SimSun" w:cs="TimesNewRomanPSMT" w:hint="eastAsia"/>
          <w:color w:val="FF0000"/>
          <w:sz w:val="20"/>
          <w:lang w:val="en-US" w:eastAsia="zh-CN"/>
        </w:rPr>
        <w:t>≠</w:t>
      </w:r>
      <w:r>
        <w:rPr>
          <w:rFonts w:ascii="TimesNewRomanPSMT" w:hAnsi="TimesNewRomanPSMT" w:cs="TimesNewRomanPSMT" w:hint="eastAsia"/>
          <w:color w:val="FF0000"/>
          <w:sz w:val="20"/>
          <w:lang w:val="en-US" w:eastAsia="zh-CN"/>
        </w:rPr>
        <w:t>3</w:t>
      </w:r>
      <w:r>
        <w:rPr>
          <w:rFonts w:ascii="TimesNewRomanPSMT" w:hAnsi="TimesNewRomanPSMT" w:cs="TimesNewRomanPSMT"/>
          <w:sz w:val="20"/>
          <w:lang w:val="en-US" w:eastAsia="zh-CN"/>
        </w:rPr>
        <w:t>: the responder is not now providing,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 </w:t>
      </w:r>
      <w:r>
        <w:rPr>
          <w:rFonts w:ascii="TimesNewRomanPSMT" w:hAnsi="TimesNewRomanPSMT" w:cs="TimesNewRomanPSMT"/>
          <w:sz w:val="20"/>
          <w:lang w:val="en-US" w:eastAsia="zh-CN"/>
        </w:rPr>
        <w:t>and will never provide, feedback for the request that had the MSI value that matches the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 </w:t>
      </w:r>
      <w:r>
        <w:rPr>
          <w:rFonts w:ascii="TimesNewRomanPSMT" w:hAnsi="TimesNewRomanPSMT" w:cs="TimesNewRomanPSMT"/>
          <w:sz w:val="20"/>
          <w:lang w:val="en-US" w:eastAsia="zh-CN"/>
        </w:rPr>
        <w:t>MFSI value.</w:t>
      </w:r>
    </w:p>
    <w:p w:rsidR="00966B52" w:rsidRDefault="00966B52" w:rsidP="00966B5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zh-CN"/>
        </w:rPr>
      </w:pPr>
      <w:r>
        <w:rPr>
          <w:rFonts w:ascii="TimesNewRomanPSMT" w:hAnsi="TimesNewRomanPSMT" w:cs="TimesNewRomanPSMT"/>
          <w:sz w:val="20"/>
          <w:lang w:val="en-US" w:eastAsia="zh-CN"/>
        </w:rPr>
        <w:t xml:space="preserve">MFB contains valid MCS and N_STS, MFSI in the range 0 to </w:t>
      </w:r>
      <w:r w:rsidRPr="00705F43">
        <w:rPr>
          <w:rFonts w:ascii="TimesNewRomanPSMT" w:hAnsi="TimesNewRomanPSMT" w:cs="TimesNewRomanPSMT"/>
          <w:strike/>
          <w:sz w:val="20"/>
          <w:lang w:val="en-US" w:eastAsia="zh-CN"/>
        </w:rPr>
        <w:t>6</w:t>
      </w:r>
      <w:r w:rsidRPr="00705F43">
        <w:rPr>
          <w:rFonts w:ascii="TimesNewRomanPSMT" w:hAnsi="TimesNewRomanPSMT" w:cs="TimesNewRomanPSMT" w:hint="eastAsia"/>
          <w:strike/>
          <w:sz w:val="20"/>
          <w:lang w:val="en-US" w:eastAsia="zh-CN"/>
        </w:rPr>
        <w:t xml:space="preserve"> </w:t>
      </w:r>
      <w:r w:rsidRPr="00705F43">
        <w:rPr>
          <w:rFonts w:ascii="TimesNewRomanPSMT" w:hAnsi="TimesNewRomanPSMT" w:cs="TimesNewRomanPSMT" w:hint="eastAsia"/>
          <w:color w:val="FF0000"/>
          <w:sz w:val="20"/>
          <w:lang w:val="en-US" w:eastAsia="zh-CN"/>
        </w:rPr>
        <w:t>7</w:t>
      </w:r>
      <w:r>
        <w:rPr>
          <w:rFonts w:ascii="TimesNewRomanPSMT" w:hAnsi="TimesNewRomanPSMT" w:cs="TimesNewRomanPSMT"/>
          <w:sz w:val="20"/>
          <w:lang w:val="en-US" w:eastAsia="zh-CN"/>
        </w:rPr>
        <w:t>: the responder is providing feedback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 </w:t>
      </w:r>
      <w:r>
        <w:rPr>
          <w:rFonts w:ascii="TimesNewRomanPSMT" w:hAnsi="TimesNewRomanPSMT" w:cs="TimesNewRomanPSMT"/>
          <w:sz w:val="20"/>
          <w:lang w:val="en-US" w:eastAsia="zh-CN"/>
        </w:rPr>
        <w:t>for the request that had the MSI value that matches the MFSI value.</w:t>
      </w:r>
    </w:p>
    <w:p w:rsidR="00966B52" w:rsidRDefault="00966B52"/>
    <w:p w:rsidR="00966B52" w:rsidRDefault="00966B52"/>
    <w:p w:rsidR="00966B52" w:rsidRDefault="00966B52"/>
    <w:p w:rsidR="00966B52" w:rsidRDefault="00966B52"/>
    <w:p w:rsidR="00966B52" w:rsidRDefault="00966B5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 w:rsidSect="00B41363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D82" w:rsidRDefault="00552D82">
      <w:r>
        <w:separator/>
      </w:r>
    </w:p>
  </w:endnote>
  <w:endnote w:type="continuationSeparator" w:id="0">
    <w:p w:rsidR="00552D82" w:rsidRDefault="00552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'Times New Roman'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D81F8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317BD">
        <w:t>Submission</w:t>
      </w:r>
    </w:fldSimple>
    <w:r w:rsidR="0029020B">
      <w:tab/>
      <w:t xml:space="preserve">page </w:t>
    </w:r>
    <w:fldSimple w:instr="page ">
      <w:r w:rsidR="009B1BD1">
        <w:rPr>
          <w:noProof/>
        </w:rPr>
        <w:t>1</w:t>
      </w:r>
    </w:fldSimple>
    <w:r w:rsidR="0029020B">
      <w:tab/>
    </w:r>
    <w:r>
      <w:fldChar w:fldCharType="begin"/>
    </w:r>
    <w:r w:rsidR="000D71FC">
      <w:instrText xml:space="preserve"> COMMENTS  \* MERGEFORMAT </w:instrText>
    </w:r>
    <w:r>
      <w:fldChar w:fldCharType="separate"/>
    </w:r>
    <w:r w:rsidR="0089125F">
      <w:t>Osama Aboul-Magd</w:t>
    </w:r>
    <w:r w:rsidR="006317BD">
      <w:t xml:space="preserve">, </w:t>
    </w:r>
    <w:proofErr w:type="spellStart"/>
    <w:r w:rsidR="0089125F">
      <w:t>Huawei</w:t>
    </w:r>
    <w:proofErr w:type="spellEnd"/>
    <w:r w:rsidR="0089125F">
      <w:t xml:space="preserve"> Technologies</w:t>
    </w:r>
    <w:r>
      <w:fldChar w:fldCharType="end"/>
    </w:r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D82" w:rsidRDefault="00552D82">
      <w:r>
        <w:separator/>
      </w:r>
    </w:p>
  </w:footnote>
  <w:footnote w:type="continuationSeparator" w:id="0">
    <w:p w:rsidR="00552D82" w:rsidRDefault="00552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D81F8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 w:rsidR="000D71FC">
      <w:instrText xml:space="preserve"> KEYWORDS  \* MERGEFORMAT </w:instrText>
    </w:r>
    <w:r>
      <w:fldChar w:fldCharType="separate"/>
    </w:r>
    <w:r w:rsidR="0089125F">
      <w:t>April</w:t>
    </w:r>
    <w:r w:rsidR="006317BD">
      <w:t xml:space="preserve"> </w:t>
    </w:r>
    <w:r w:rsidR="0089125F">
      <w:t>2012</w:t>
    </w:r>
    <w:r>
      <w:fldChar w:fldCharType="end"/>
    </w:r>
    <w:r w:rsidR="0029020B">
      <w:tab/>
    </w:r>
    <w:r w:rsidR="0029020B">
      <w:tab/>
    </w:r>
    <w:fldSimple w:instr=" TITLE  \* MERGEFORMAT ">
      <w:r w:rsidR="0089125F">
        <w:t>doc.: IEEE 802.11-12</w:t>
      </w:r>
      <w:r w:rsidR="009B1BD1">
        <w:t>/0507</w:t>
      </w:r>
      <w:r w:rsidR="006317BD"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0623E"/>
    <w:multiLevelType w:val="hybridMultilevel"/>
    <w:tmpl w:val="1EBA2D9E"/>
    <w:lvl w:ilvl="0" w:tplc="94ECAD18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>
    <w:nsid w:val="64316A02"/>
    <w:multiLevelType w:val="hybridMultilevel"/>
    <w:tmpl w:val="B992BB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A757C7"/>
    <w:rsid w:val="000D71FC"/>
    <w:rsid w:val="001A2ED1"/>
    <w:rsid w:val="001D723B"/>
    <w:rsid w:val="0029020B"/>
    <w:rsid w:val="002D44BE"/>
    <w:rsid w:val="0037317F"/>
    <w:rsid w:val="00442037"/>
    <w:rsid w:val="00552D82"/>
    <w:rsid w:val="0062440B"/>
    <w:rsid w:val="006317BD"/>
    <w:rsid w:val="006C0727"/>
    <w:rsid w:val="006E145F"/>
    <w:rsid w:val="00760118"/>
    <w:rsid w:val="00770572"/>
    <w:rsid w:val="007D4A6F"/>
    <w:rsid w:val="00851ED2"/>
    <w:rsid w:val="0089125F"/>
    <w:rsid w:val="00966B52"/>
    <w:rsid w:val="009B1BD1"/>
    <w:rsid w:val="00A757C7"/>
    <w:rsid w:val="00AA427C"/>
    <w:rsid w:val="00B41363"/>
    <w:rsid w:val="00B476D2"/>
    <w:rsid w:val="00BE68C2"/>
    <w:rsid w:val="00C445DA"/>
    <w:rsid w:val="00CA09B2"/>
    <w:rsid w:val="00D81F8B"/>
    <w:rsid w:val="00DC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36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B4136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4136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B4136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4136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4136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41363"/>
    <w:pPr>
      <w:jc w:val="center"/>
    </w:pPr>
    <w:rPr>
      <w:b/>
      <w:sz w:val="28"/>
    </w:rPr>
  </w:style>
  <w:style w:type="paragraph" w:customStyle="1" w:styleId="T2">
    <w:name w:val="T2"/>
    <w:basedOn w:val="T1"/>
    <w:rsid w:val="00B41363"/>
    <w:pPr>
      <w:spacing w:after="240"/>
      <w:ind w:left="720" w:right="720"/>
    </w:pPr>
  </w:style>
  <w:style w:type="paragraph" w:customStyle="1" w:styleId="T3">
    <w:name w:val="T3"/>
    <w:basedOn w:val="T1"/>
    <w:rsid w:val="00B4136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41363"/>
    <w:pPr>
      <w:ind w:left="720" w:hanging="720"/>
    </w:pPr>
  </w:style>
  <w:style w:type="character" w:styleId="Hyperlink">
    <w:name w:val="Hyperlink"/>
    <w:basedOn w:val="DefaultParagraphFont"/>
    <w:rsid w:val="00B41363"/>
    <w:rPr>
      <w:color w:val="0000FF"/>
      <w:u w:val="single"/>
    </w:rPr>
  </w:style>
  <w:style w:type="paragraph" w:customStyle="1" w:styleId="Body">
    <w:name w:val="Body"/>
    <w:uiPriority w:val="99"/>
    <w:rsid w:val="007D4A6F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966B52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table" w:styleId="TableGrid">
    <w:name w:val="Table Grid"/>
    <w:basedOn w:val="TableNormal"/>
    <w:rsid w:val="00966B52"/>
    <w:rPr>
      <w:rFonts w:eastAsia="SimSu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00903653\Documents\IEEE%20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74</TotalTime>
  <Pages>5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o00903653</dc:creator>
  <cp:keywords>Month Year</cp:keywords>
  <dc:description>John Doe, Some Company</dc:description>
  <cp:lastModifiedBy>o00903653</cp:lastModifiedBy>
  <cp:revision>6</cp:revision>
  <cp:lastPrinted>2012-04-23T14:36:00Z</cp:lastPrinted>
  <dcterms:created xsi:type="dcterms:W3CDTF">2012-04-23T13:52:00Z</dcterms:created>
  <dcterms:modified xsi:type="dcterms:W3CDTF">2012-04-26T17:37:00Z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(2)+9Q50IhVulwsVMHg3ZzZxDOMdhMiVnDAP21Cz6F/QIoUxpB/fq70nsr0tYV0Hw/Sxz8QHTee
xAJtJgcbFNd6f8yUNs1/zRlXypYt2NzOLt78ZT8n337xX2yIAHL7NtqD7MP+tF6vOt1Kfa9W
Up79c8T2kQc686vxkkt9Ozqk7PAFyV77WWJVDaKfdKyxXxFgXnmxFuSf4OoagLbXFPj//8Vs
iX2wbde/Zhj0DsU3pszVL</vt:lpwstr>
  </property>
  <property fmtid="{D5CDD505-2E9C-101B-9397-08002B2CF9AE}" pid="3" name="_ms_pID_7253431">
    <vt:lpwstr>DKqvBthOqKvmSd+YICFv9qEhcB1MQKG6yVQlJngTijmjVgSzHe/
03FKqhxf/WTjsqlBppAgeslKv4AutDLr+pK0CH1I2aSye3pNbhQ4pg==</vt:lpwstr>
  </property>
</Properties>
</file>