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0B3E02">
              <w:rPr>
                <w:b w:val="0"/>
                <w:sz w:val="20"/>
                <w:lang w:val="en-US"/>
              </w:rPr>
              <w:t>6</w:t>
            </w:r>
            <w:r w:rsidRPr="00C46726">
              <w:rPr>
                <w:b w:val="0"/>
                <w:sz w:val="20"/>
                <w:lang w:val="en-US"/>
              </w:rPr>
              <w:t>-</w:t>
            </w:r>
            <w:r w:rsidR="000B3E02">
              <w:rPr>
                <w:b w:val="0"/>
                <w:sz w:val="20"/>
                <w:lang w:val="en-US"/>
              </w:rPr>
              <w:t>07</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C55BA2">
      <w:pPr>
        <w:pStyle w:val="T1"/>
        <w:spacing w:after="120"/>
        <w:rPr>
          <w:sz w:val="22"/>
          <w:lang w:val="en-US"/>
        </w:rPr>
      </w:pPr>
      <w:r w:rsidRPr="00C55BA2">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9540DE" w:rsidRDefault="009540DE">
                  <w:pPr>
                    <w:pStyle w:val="T1"/>
                    <w:spacing w:after="120"/>
                  </w:pPr>
                  <w:r>
                    <w:t>Abstract</w:t>
                  </w:r>
                </w:p>
                <w:p w:rsidR="009540DE" w:rsidRDefault="009540DE" w:rsidP="00EC5A01">
                  <w:pPr>
                    <w:jc w:val="both"/>
                    <w:rPr>
                      <w:szCs w:val="24"/>
                    </w:rPr>
                  </w:pPr>
                  <w:r>
                    <w:rPr>
                      <w:szCs w:val="24"/>
                    </w:rPr>
                    <w:t>TGad conference call minutes for 2012.</w:t>
                  </w:r>
                </w:p>
                <w:p w:rsidR="009540DE" w:rsidRDefault="009540DE"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Default="000B3E02" w:rsidP="000B3E02">
            <w:pPr>
              <w:spacing w:before="40" w:after="40"/>
              <w:ind w:left="-18"/>
              <w:rPr>
                <w:rFonts w:ascii="Arial" w:hAnsi="Arial" w:cs="Arial"/>
                <w:szCs w:val="22"/>
              </w:rPr>
            </w:pPr>
          </w:p>
        </w:tc>
        <w:tc>
          <w:tcPr>
            <w:tcW w:w="2520" w:type="dxa"/>
          </w:tcPr>
          <w:p w:rsidR="000B3E02" w:rsidRPr="003B3678" w:rsidRDefault="000B3E02" w:rsidP="009540DE">
            <w:pPr>
              <w:spacing w:before="40" w:after="40"/>
              <w:rPr>
                <w:rFonts w:ascii="Arial" w:hAnsi="Arial" w:cs="Arial"/>
                <w:szCs w:val="22"/>
              </w:rPr>
            </w:pPr>
          </w:p>
        </w:tc>
        <w:tc>
          <w:tcPr>
            <w:tcW w:w="2520" w:type="dxa"/>
          </w:tcPr>
          <w:p w:rsidR="000B3E02" w:rsidRPr="003B3678" w:rsidRDefault="000B3E02" w:rsidP="009540DE">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lastRenderedPageBreak/>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lastRenderedPageBreak/>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t>Slide 8</w:t>
      </w:r>
    </w:p>
    <w:p w:rsidR="005A6F7F" w:rsidRPr="005A6F7F" w:rsidRDefault="005A6F7F" w:rsidP="005A6F7F">
      <w:pPr>
        <w:numPr>
          <w:ilvl w:val="2"/>
          <w:numId w:val="15"/>
        </w:numPr>
        <w:rPr>
          <w:lang w:val="en-US"/>
        </w:rPr>
      </w:pPr>
      <w:r w:rsidRPr="005A6F7F">
        <w:rPr>
          <w:lang w:val="en-US"/>
        </w:rPr>
        <w:t xml:space="preserve">The problem with this approach is that the </w:t>
      </w:r>
      <w:proofErr w:type="spellStart"/>
      <w:r w:rsidRPr="005A6F7F">
        <w:rPr>
          <w:lang w:val="en-US"/>
        </w:rPr>
        <w:t>DBand</w:t>
      </w:r>
      <w:proofErr w:type="spellEnd"/>
      <w:r w:rsidRPr="005A6F7F">
        <w:rPr>
          <w:lang w:val="en-US"/>
        </w:rPr>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lastRenderedPageBreak/>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lastRenderedPageBreak/>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Gbps, there are use cases for these high speeds. 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lastRenderedPageBreak/>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Change WiGig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lastRenderedPageBreak/>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lastRenderedPageBreak/>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r>
        <w:lastRenderedPageBreak/>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lastRenderedPageBreak/>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lastRenderedPageBreak/>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lastRenderedPageBreak/>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lastRenderedPageBreak/>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lastRenderedPageBreak/>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lastRenderedPageBreak/>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lastRenderedPageBreak/>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lastRenderedPageBreak/>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lastRenderedPageBreak/>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lastRenderedPageBreak/>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lastRenderedPageBreak/>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lastRenderedPageBreak/>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lastRenderedPageBreak/>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lastRenderedPageBreak/>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lastRenderedPageBreak/>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lastRenderedPageBreak/>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lastRenderedPageBreak/>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lastRenderedPageBreak/>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lastRenderedPageBreak/>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lastRenderedPageBreak/>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lastRenderedPageBreak/>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lastRenderedPageBreak/>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lastRenderedPageBreak/>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lastRenderedPageBreak/>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lastRenderedPageBreak/>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lastRenderedPageBreak/>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lastRenderedPageBreak/>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lastRenderedPageBreak/>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lastRenderedPageBreak/>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lastRenderedPageBreak/>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lastRenderedPageBreak/>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r>
        <w:t>Motion on CIDs reviewed on April 19</w:t>
      </w:r>
    </w:p>
    <w:p w:rsidR="00C1583E" w:rsidRPr="00C1583E" w:rsidRDefault="00C1583E" w:rsidP="00C1583E">
      <w:pPr>
        <w:pStyle w:val="ListParagraph"/>
        <w:numPr>
          <w:ilvl w:val="0"/>
          <w:numId w:val="23"/>
        </w:numPr>
        <w:rPr>
          <w:highlight w:val="yellow"/>
        </w:rPr>
      </w:pPr>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Motion passes by unanimous consent</w:t>
      </w:r>
    </w:p>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B23B56">
      <w:pPr>
        <w:numPr>
          <w:ilvl w:val="0"/>
          <w:numId w:val="24"/>
        </w:numPr>
        <w:rPr>
          <w:highlight w:val="yellow"/>
          <w:lang w:val="en-US"/>
        </w:rPr>
      </w:pPr>
      <w:r w:rsidRPr="00C9643D">
        <w:rPr>
          <w:b/>
          <w:bCs/>
          <w:highlight w:val="yellow"/>
          <w:lang w:val="en-US"/>
        </w:rPr>
        <w:t xml:space="preserve">Having approved comment resolutions for all of the comments received from the </w:t>
      </w:r>
      <w:r w:rsidR="00B23B56" w:rsidRPr="00C9643D">
        <w:rPr>
          <w:b/>
          <w:bCs/>
          <w:highlight w:val="yellow"/>
          <w:lang w:val="en-US"/>
        </w:rPr>
        <w:t>First Recirculation</w:t>
      </w:r>
      <w:r w:rsidRPr="00C9643D">
        <w:rPr>
          <w:b/>
          <w:bCs/>
          <w:highlight w:val="yellow"/>
          <w:lang w:val="en-US"/>
        </w:rPr>
        <w:t xml:space="preserve"> Sponsor Ballot on P802.11ad D</w:t>
      </w:r>
      <w:r w:rsidR="00B23B56" w:rsidRPr="00C9643D">
        <w:rPr>
          <w:b/>
          <w:bCs/>
          <w:highlight w:val="yellow"/>
          <w:lang w:val="en-US"/>
        </w:rPr>
        <w:t>6</w:t>
      </w:r>
      <w:r w:rsidRPr="00C9643D">
        <w:rPr>
          <w:b/>
          <w:bCs/>
          <w:highlight w:val="yellow"/>
          <w:lang w:val="en-US"/>
        </w:rPr>
        <w:t>.0 as contained in document 802.11-12/0</w:t>
      </w:r>
      <w:r w:rsidR="00B23B56" w:rsidRPr="00C9643D">
        <w:rPr>
          <w:b/>
          <w:bCs/>
          <w:highlight w:val="yellow"/>
          <w:lang w:val="en-US"/>
        </w:rPr>
        <w:t>481</w:t>
      </w:r>
      <w:r w:rsidRPr="00C9643D">
        <w:rPr>
          <w:b/>
          <w:bCs/>
          <w:highlight w:val="yellow"/>
          <w:lang w:val="en-US"/>
        </w:rPr>
        <w:t>r</w:t>
      </w:r>
      <w:r w:rsidR="00B23B56" w:rsidRPr="00C9643D">
        <w:rPr>
          <w:b/>
          <w:bCs/>
          <w:highlight w:val="yellow"/>
          <w:lang w:val="en-US"/>
        </w:rPr>
        <w:t>4</w:t>
      </w:r>
      <w:r w:rsidRPr="00C9643D">
        <w:rPr>
          <w:b/>
          <w:bCs/>
          <w:highlight w:val="yellow"/>
          <w:lang w:val="en-US"/>
        </w:rPr>
        <w:t>,</w:t>
      </w:r>
    </w:p>
    <w:p w:rsidR="00C55BA2" w:rsidRPr="00C9643D" w:rsidRDefault="00AF5CE3" w:rsidP="00B23B56">
      <w:pPr>
        <w:numPr>
          <w:ilvl w:val="0"/>
          <w:numId w:val="24"/>
        </w:numPr>
        <w:rPr>
          <w:highlight w:val="yellow"/>
          <w:lang w:val="en-US"/>
        </w:rPr>
      </w:pPr>
      <w:r w:rsidRPr="00C9643D">
        <w:rPr>
          <w:b/>
          <w:bCs/>
          <w:highlight w:val="yellow"/>
          <w:lang w:val="en-US"/>
        </w:rPr>
        <w:t xml:space="preserve">Instruct the editor to prepare Draft </w:t>
      </w:r>
      <w:r w:rsidR="00B23B56" w:rsidRPr="00C9643D">
        <w:rPr>
          <w:b/>
          <w:bCs/>
          <w:highlight w:val="yellow"/>
          <w:lang w:val="en-US"/>
        </w:rPr>
        <w:t>7</w:t>
      </w:r>
      <w:r w:rsidRPr="00C9643D">
        <w:rPr>
          <w:b/>
          <w:bCs/>
          <w:highlight w:val="yellow"/>
          <w:lang w:val="en-US"/>
        </w:rPr>
        <w:t>.0 incorporating these resolutions and,</w:t>
      </w:r>
    </w:p>
    <w:p w:rsidR="00C55BA2" w:rsidRPr="00C9643D" w:rsidRDefault="00AF5CE3" w:rsidP="00B23B56">
      <w:pPr>
        <w:numPr>
          <w:ilvl w:val="0"/>
          <w:numId w:val="24"/>
        </w:numPr>
        <w:rPr>
          <w:highlight w:val="yellow"/>
          <w:lang w:val="en-US"/>
        </w:rPr>
      </w:pPr>
      <w:r w:rsidRPr="00C9643D">
        <w:rPr>
          <w:b/>
          <w:bCs/>
          <w:highlight w:val="yellow"/>
          <w:lang w:val="en-US"/>
        </w:rPr>
        <w:t>Approve a 15 day Sponsor Recirculation Ballot asking the question “Should P802.11ad D</w:t>
      </w:r>
      <w:r w:rsidR="00B23B56" w:rsidRPr="00C9643D">
        <w:rPr>
          <w:b/>
          <w:bCs/>
          <w:highlight w:val="yellow"/>
          <w:lang w:val="en-US"/>
        </w:rPr>
        <w:t>7</w:t>
      </w:r>
      <w:r w:rsidRPr="00C9643D">
        <w:rPr>
          <w:b/>
          <w:bCs/>
          <w:highlight w:val="yellow"/>
          <w:lang w:val="en-US"/>
        </w:rPr>
        <w:t xml:space="preserve">.0 be forwarded to </w:t>
      </w:r>
      <w:proofErr w:type="spellStart"/>
      <w:r w:rsidRPr="00C9643D">
        <w:rPr>
          <w:b/>
          <w:bCs/>
          <w:highlight w:val="yellow"/>
          <w:lang w:val="en-US"/>
        </w:rPr>
        <w:t>RevCom</w:t>
      </w:r>
      <w:proofErr w:type="spellEnd"/>
      <w:r w:rsidRPr="00C9643D">
        <w:rPr>
          <w:b/>
          <w:bCs/>
          <w:highlight w:val="yellow"/>
          <w:lang w:val="en-US"/>
        </w:rPr>
        <w:t>?”</w:t>
      </w:r>
    </w:p>
    <w:p w:rsidR="00C55BA2" w:rsidRPr="00C9643D" w:rsidRDefault="00AF5CE3" w:rsidP="00B23B56">
      <w:pPr>
        <w:numPr>
          <w:ilvl w:val="0"/>
          <w:numId w:val="24"/>
        </w:numPr>
        <w:rPr>
          <w:highlight w:val="yellow"/>
          <w:lang w:val="en-US"/>
        </w:rPr>
      </w:pPr>
      <w:r w:rsidRPr="00C9643D">
        <w:rPr>
          <w:b/>
          <w:bCs/>
          <w:highlight w:val="yellow"/>
          <w:lang w:val="en-US"/>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r>
        <w:lastRenderedPageBreak/>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r>
        <w:rPr>
          <w:sz w:val="20"/>
        </w:rPr>
        <w:t>James Gilb (</w:t>
      </w:r>
      <w:proofErr w:type="spellStart"/>
      <w:r>
        <w:rPr>
          <w:sz w:val="20"/>
        </w:rPr>
        <w:t>Tensorcom</w:t>
      </w:r>
      <w:proofErr w:type="spellEnd"/>
      <w:r>
        <w:rPr>
          <w:sz w:val="20"/>
        </w:rPr>
        <w:t>), 12/0730</w:t>
      </w:r>
      <w:r w:rsidR="009540DE">
        <w:rPr>
          <w:sz w:val="20"/>
        </w:rPr>
        <w:t xml:space="preserve">r0, </w:t>
      </w:r>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t>12/0730r0</w:t>
      </w:r>
      <w:r w:rsidRPr="00130627">
        <w:t xml:space="preserve">, </w:t>
      </w:r>
      <w:proofErr w:type="gramStart"/>
      <w:r>
        <w:t>Various</w:t>
      </w:r>
      <w:proofErr w:type="gramEnd"/>
      <w:r>
        <w:t xml:space="preserve"> comment resolutions</w:t>
      </w:r>
    </w:p>
    <w:p w:rsidR="00BA3EC4" w:rsidRDefault="00CE1220" w:rsidP="00BA3EC4">
      <w:pPr>
        <w:pStyle w:val="ListParagraph"/>
        <w:numPr>
          <w:ilvl w:val="0"/>
          <w:numId w:val="23"/>
        </w:numPr>
      </w:pPr>
      <w:r>
        <w:t xml:space="preserve">Correction to </w:t>
      </w:r>
      <w:r w:rsidR="001260B6">
        <w:t xml:space="preserve">TRN-R/T subfield description </w:t>
      </w:r>
    </w:p>
    <w:p w:rsidR="00F14B8F" w:rsidRDefault="00F14B8F" w:rsidP="00BA3EC4">
      <w:pPr>
        <w:pStyle w:val="ListParagraph"/>
        <w:numPr>
          <w:ilvl w:val="0"/>
          <w:numId w:val="23"/>
        </w:numPr>
      </w:pPr>
      <w:r>
        <w:t xml:space="preserve">Beam </w:t>
      </w:r>
      <w:r w:rsidR="001260B6">
        <w:t xml:space="preserve">tracking </w:t>
      </w:r>
      <w:r>
        <w:t xml:space="preserve"> figure correction</w:t>
      </w:r>
    </w:p>
    <w:p w:rsidR="00BA3EC4" w:rsidRDefault="00CE1220" w:rsidP="00F14B8F">
      <w:pPr>
        <w:pStyle w:val="ListParagraph"/>
        <w:numPr>
          <w:ilvl w:val="1"/>
          <w:numId w:val="23"/>
        </w:numPr>
      </w:pPr>
      <w:r>
        <w:t>Is it possible to have PSDU length of 0?</w:t>
      </w:r>
    </w:p>
    <w:p w:rsidR="00CE1220" w:rsidRDefault="00CE1220" w:rsidP="00F14B8F">
      <w:pPr>
        <w:pStyle w:val="ListParagraph"/>
        <w:numPr>
          <w:ilvl w:val="2"/>
          <w:numId w:val="23"/>
        </w:numPr>
      </w:pPr>
      <w:r>
        <w:t>There is padding fields to allow time for receiver</w:t>
      </w:r>
    </w:p>
    <w:p w:rsidR="00EF6624" w:rsidRDefault="00EF6624" w:rsidP="00EF6624">
      <w:pPr>
        <w:pStyle w:val="ListParagraph"/>
        <w:numPr>
          <w:ilvl w:val="0"/>
          <w:numId w:val="23"/>
        </w:numPr>
      </w:pPr>
      <w:r>
        <w:t xml:space="preserve">Corrections to </w:t>
      </w:r>
      <w:proofErr w:type="spellStart"/>
      <w:r>
        <w:t>pics</w:t>
      </w:r>
      <w:proofErr w:type="spellEnd"/>
    </w:p>
    <w:p w:rsidR="00F14B8F" w:rsidRDefault="00F14B8F" w:rsidP="00F14B8F">
      <w:pPr>
        <w:pStyle w:val="ListParagraph"/>
        <w:numPr>
          <w:ilvl w:val="1"/>
          <w:numId w:val="23"/>
        </w:numPr>
      </w:pPr>
      <w:r>
        <w:t xml:space="preserve">What’s the history behind </w:t>
      </w:r>
      <w:proofErr w:type="spellStart"/>
      <w:r>
        <w:t>pics</w:t>
      </w:r>
      <w:proofErr w:type="spellEnd"/>
      <w:r>
        <w:t xml:space="preserve"> for DCF?</w:t>
      </w:r>
    </w:p>
    <w:p w:rsidR="00F14B8F" w:rsidRDefault="00F14B8F" w:rsidP="00F14B8F">
      <w:pPr>
        <w:pStyle w:val="ListParagraph"/>
        <w:numPr>
          <w:ilvl w:val="2"/>
          <w:numId w:val="23"/>
        </w:numPr>
      </w:pPr>
      <w:r>
        <w:t>It really is mandatory for all STAs</w:t>
      </w:r>
    </w:p>
    <w:p w:rsidR="00F14B8F" w:rsidRDefault="00F14B8F" w:rsidP="00F14B8F">
      <w:pPr>
        <w:pStyle w:val="ListParagraph"/>
        <w:numPr>
          <w:ilvl w:val="0"/>
          <w:numId w:val="23"/>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1260B6">
      <w:pPr>
        <w:pStyle w:val="ListParagraph"/>
        <w:numPr>
          <w:ilvl w:val="0"/>
          <w:numId w:val="23"/>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1260B6">
      <w:pPr>
        <w:pStyle w:val="ListParagraph"/>
        <w:numPr>
          <w:ilvl w:val="0"/>
          <w:numId w:val="23"/>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lastRenderedPageBreak/>
        <w:t>12/0731r0</w:t>
      </w:r>
      <w:r w:rsidRPr="00130627">
        <w:t xml:space="preserve">, </w:t>
      </w:r>
      <w:r>
        <w:t>Multi-band element in GAS frames</w:t>
      </w:r>
    </w:p>
    <w:p w:rsidR="00BA3EC4" w:rsidRDefault="00F877E3" w:rsidP="00BA3EC4">
      <w:pPr>
        <w:pStyle w:val="ListParagraph"/>
        <w:numPr>
          <w:ilvl w:val="0"/>
          <w:numId w:val="23"/>
        </w:numPr>
      </w:pPr>
      <w:r w:rsidRPr="00F877E3">
        <w:t>Proposes to include the Multi-band element in GAS frames.</w:t>
      </w:r>
    </w:p>
    <w:p w:rsidR="00BA3EC4" w:rsidRDefault="00BA3EC4" w:rsidP="00BA3EC4"/>
    <w:p w:rsidR="00C07779" w:rsidRDefault="00C07779" w:rsidP="00C07779">
      <w:r>
        <w:t>No objection to the proposed draft changes.</w:t>
      </w:r>
    </w:p>
    <w:p w:rsidR="00C07779" w:rsidRPr="00DF01A0" w:rsidRDefault="00C07779" w:rsidP="00BA3EC4"/>
    <w:p w:rsidR="00FE3371" w:rsidRPr="00DF01A0" w:rsidRDefault="00FE3371" w:rsidP="00B23B56"/>
    <w:p w:rsidR="00D9783D" w:rsidRDefault="00D9783D" w:rsidP="00D9783D">
      <w:pPr>
        <w:pStyle w:val="Heading1"/>
      </w:pPr>
      <w:r>
        <w:t>Attendance</w:t>
      </w:r>
    </w:p>
    <w:p w:rsidR="00D7471B" w:rsidRDefault="00D7471B" w:rsidP="00D9783D">
      <w:bookmarkStart w:id="0" w:name="OLE_LINK13"/>
      <w:bookmarkStart w:id="1" w:name="OLE_LINK14"/>
    </w:p>
    <w:bookmarkEnd w:id="0"/>
    <w:bookmarkEnd w:id="1"/>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lastRenderedPageBreak/>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0"/>
      <w:footerReference w:type="default" r:id="rId21"/>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E2" w:rsidRDefault="00D60FE2">
      <w:r>
        <w:separator/>
      </w:r>
    </w:p>
  </w:endnote>
  <w:endnote w:type="continuationSeparator" w:id="0">
    <w:p w:rsidR="00D60FE2" w:rsidRDefault="00D60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DE" w:rsidRDefault="009540DE" w:rsidP="002676F0">
    <w:pPr>
      <w:pStyle w:val="Footer"/>
      <w:tabs>
        <w:tab w:val="clear" w:pos="6480"/>
        <w:tab w:val="center" w:pos="4680"/>
        <w:tab w:val="right" w:pos="9360"/>
      </w:tabs>
    </w:pPr>
    <w:fldSimple w:instr=" SUBJECT  \* MERGEFORMAT ">
      <w:r w:rsidRPr="004A1A01">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30110D">
      <w:rPr>
        <w:noProof/>
        <w:lang w:val="en-US"/>
      </w:rPr>
      <w:t>44</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9540DE" w:rsidRDefault="009540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E2" w:rsidRDefault="00D60FE2">
      <w:r>
        <w:separator/>
      </w:r>
    </w:p>
  </w:footnote>
  <w:footnote w:type="continuationSeparator" w:id="0">
    <w:p w:rsidR="00D60FE2" w:rsidRDefault="00D60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DE" w:rsidRDefault="009540DE" w:rsidP="00ED718D">
    <w:pPr>
      <w:pStyle w:val="Header"/>
      <w:tabs>
        <w:tab w:val="clear" w:pos="6480"/>
        <w:tab w:val="center" w:pos="4680"/>
        <w:tab w:val="right" w:pos="9360"/>
      </w:tabs>
    </w:pPr>
    <w:fldSimple w:instr=" KEYWORDS  \* MERGEFORMAT ">
      <w:r>
        <w:t>June 2012</w:t>
      </w:r>
    </w:fldSimple>
    <w:r>
      <w:tab/>
    </w:r>
    <w:r>
      <w:tab/>
    </w:r>
    <w:r>
      <w:tab/>
    </w:r>
    <w:fldSimple w:instr=" TITLE  \* MERGEFORMAT ">
      <w:r>
        <w:t>doc.: IEEE 802.11-12/0007r12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17849E6"/>
    <w:multiLevelType w:val="multilevel"/>
    <w:tmpl w:val="514A14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CBD30FA"/>
    <w:multiLevelType w:val="hybridMultilevel"/>
    <w:tmpl w:val="5C70C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2"/>
  </w:num>
  <w:num w:numId="2">
    <w:abstractNumId w:val="10"/>
  </w:num>
  <w:num w:numId="3">
    <w:abstractNumId w:val="23"/>
  </w:num>
  <w:num w:numId="4">
    <w:abstractNumId w:val="4"/>
  </w:num>
  <w:num w:numId="5">
    <w:abstractNumId w:val="19"/>
  </w:num>
  <w:num w:numId="6">
    <w:abstractNumId w:val="16"/>
  </w:num>
  <w:num w:numId="7">
    <w:abstractNumId w:val="1"/>
  </w:num>
  <w:num w:numId="8">
    <w:abstractNumId w:val="13"/>
  </w:num>
  <w:num w:numId="9">
    <w:abstractNumId w:val="8"/>
  </w:num>
  <w:num w:numId="10">
    <w:abstractNumId w:val="11"/>
  </w:num>
  <w:num w:numId="11">
    <w:abstractNumId w:val="17"/>
  </w:num>
  <w:num w:numId="12">
    <w:abstractNumId w:val="3"/>
  </w:num>
  <w:num w:numId="13">
    <w:abstractNumId w:val="21"/>
  </w:num>
  <w:num w:numId="14">
    <w:abstractNumId w:val="7"/>
  </w:num>
  <w:num w:numId="15">
    <w:abstractNumId w:val="5"/>
  </w:num>
  <w:num w:numId="16">
    <w:abstractNumId w:val="2"/>
  </w:num>
  <w:num w:numId="17">
    <w:abstractNumId w:val="20"/>
  </w:num>
  <w:num w:numId="18">
    <w:abstractNumId w:val="9"/>
  </w:num>
  <w:num w:numId="19">
    <w:abstractNumId w:val="22"/>
  </w:num>
  <w:num w:numId="20">
    <w:abstractNumId w:val="6"/>
  </w:num>
  <w:num w:numId="21">
    <w:abstractNumId w:val="18"/>
  </w:num>
  <w:num w:numId="22">
    <w:abstractNumId w:val="15"/>
  </w:num>
  <w:num w:numId="23">
    <w:abstractNumId w:val="1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8306"/>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51AC"/>
    <w:rsid w:val="004F5B60"/>
    <w:rsid w:val="004F5C8A"/>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52066"/>
    <w:rsid w:val="00953667"/>
    <w:rsid w:val="009540DE"/>
    <w:rsid w:val="0095421B"/>
    <w:rsid w:val="009548C1"/>
    <w:rsid w:val="00954FD7"/>
    <w:rsid w:val="00954FDE"/>
    <w:rsid w:val="0095683A"/>
    <w:rsid w:val="00957C83"/>
    <w:rsid w:val="00961F39"/>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1FE3"/>
    <w:rsid w:val="00B23123"/>
    <w:rsid w:val="00B23B56"/>
    <w:rsid w:val="00B24131"/>
    <w:rsid w:val="00B26738"/>
    <w:rsid w:val="00B27E24"/>
    <w:rsid w:val="00B32265"/>
    <w:rsid w:val="00B34F23"/>
    <w:rsid w:val="00B356F2"/>
    <w:rsid w:val="00B3660D"/>
    <w:rsid w:val="00B370C6"/>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D84"/>
    <w:rsid w:val="00BA1204"/>
    <w:rsid w:val="00BA1D8F"/>
    <w:rsid w:val="00BA1FBC"/>
    <w:rsid w:val="00BA267F"/>
    <w:rsid w:val="00BA2FB4"/>
    <w:rsid w:val="00BA343A"/>
    <w:rsid w:val="00BA3EC4"/>
    <w:rsid w:val="00BA49CA"/>
    <w:rsid w:val="00BA6428"/>
    <w:rsid w:val="00BA76AE"/>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AA"/>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3F1C"/>
    <w:rsid w:val="00E1451E"/>
    <w:rsid w:val="00E14F3B"/>
    <w:rsid w:val="00E17578"/>
    <w:rsid w:val="00E2031A"/>
    <w:rsid w:val="00E20963"/>
    <w:rsid w:val="00E21690"/>
    <w:rsid w:val="00E2199D"/>
    <w:rsid w:val="00E21DF4"/>
    <w:rsid w:val="00E24513"/>
    <w:rsid w:val="00E260B7"/>
    <w:rsid w:val="00E2622A"/>
    <w:rsid w:val="00E262C6"/>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2492"/>
    <w:rsid w:val="00F553EC"/>
    <w:rsid w:val="00F55BA4"/>
    <w:rsid w:val="00F56C39"/>
    <w:rsid w:val="00F57396"/>
    <w:rsid w:val="00F6017C"/>
    <w:rsid w:val="00F603C5"/>
    <w:rsid w:val="00F609CF"/>
    <w:rsid w:val="00F61F39"/>
    <w:rsid w:val="00F6237A"/>
    <w:rsid w:val="00F62BF2"/>
    <w:rsid w:val="00F62E8A"/>
    <w:rsid w:val="00F64AD2"/>
    <w:rsid w:val="00F64C60"/>
    <w:rsid w:val="00F64EE7"/>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877E3"/>
    <w:rsid w:val="00F904A5"/>
    <w:rsid w:val="00F90DD2"/>
    <w:rsid w:val="00F9264F"/>
    <w:rsid w:val="00F92885"/>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830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445D7F"/>
    <w:pPr>
      <w:keepNext/>
      <w:keepLines/>
      <w:numPr>
        <w:ilvl w:val="1"/>
        <w:numId w:val="2"/>
      </w:numPr>
      <w:tabs>
        <w:tab w:val="num" w:pos="1843"/>
      </w:tabs>
      <w:spacing w:before="280"/>
      <w:ind w:left="1843"/>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
    <w:name w:val="EmailStyle321"/>
    <w:aliases w:val="EmailStyle321"/>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theme" Target="theme/theme1.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1005</TotalTime>
  <Pages>45</Pages>
  <Words>8632</Words>
  <Characters>49209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57726</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22</cp:revision>
  <cp:lastPrinted>2011-02-16T18:45:00Z</cp:lastPrinted>
  <dcterms:created xsi:type="dcterms:W3CDTF">2012-04-25T23:41:00Z</dcterms:created>
  <dcterms:modified xsi:type="dcterms:W3CDTF">2012-06-08T00:48:00Z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-1223708752</vt:i4>
  </property>
  <property fmtid="{D5CDD505-2E9C-101B-9397-08002B2CF9AE}" pid="4" name="_EmailSubject">
    <vt:lpwstr>draft minutes from today</vt:lpwstr>
  </property>
  <property fmtid="{D5CDD505-2E9C-101B-9397-08002B2CF9AE}" pid="5" name="_AuthorEmail">
    <vt:lpwstr>chansen@broadcom.com</vt:lpwstr>
  </property>
  <property fmtid="{D5CDD505-2E9C-101B-9397-08002B2CF9AE}" pid="6" name="_AuthorEmailDisplayName">
    <vt:lpwstr>Christopher Hansen</vt:lpwstr>
  </property>
  <property fmtid="{D5CDD505-2E9C-101B-9397-08002B2CF9AE}" pid="7" name="_PreviousAdHocReviewCycleID">
    <vt:i4>-506926115</vt:i4>
  </property>
  <property fmtid="{D5CDD505-2E9C-101B-9397-08002B2CF9AE}" pid="8" name="_ReviewingToolsShownOnce">
    <vt:lpwstr/>
  </property>
</Properties>
</file>