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00"/>
        <w:gridCol w:w="2250"/>
        <w:gridCol w:w="1620"/>
        <w:gridCol w:w="2381"/>
      </w:tblGrid>
      <w:tr w:rsidR="00CA09B2" w14:paraId="57500EA9" w14:textId="77777777" w:rsidTr="00FA747E">
        <w:trPr>
          <w:trHeight w:val="485"/>
          <w:jc w:val="center"/>
        </w:trPr>
        <w:tc>
          <w:tcPr>
            <w:tcW w:w="9576" w:type="dxa"/>
            <w:gridSpan w:val="5"/>
            <w:vAlign w:val="center"/>
          </w:tcPr>
          <w:p w14:paraId="1702890A" w14:textId="77777777" w:rsidR="00CA09B2" w:rsidRDefault="009F7DAB">
            <w:pPr>
              <w:pStyle w:val="T2"/>
            </w:pPr>
            <w:r>
              <w:t xml:space="preserve">802.11 </w:t>
            </w:r>
            <w:r w:rsidR="00A243D7">
              <w:t>Style Guide</w:t>
            </w:r>
          </w:p>
        </w:tc>
      </w:tr>
      <w:tr w:rsidR="00CA09B2" w14:paraId="3F7987F3" w14:textId="77777777" w:rsidTr="009B2C51">
        <w:trPr>
          <w:trHeight w:val="314"/>
          <w:jc w:val="center"/>
        </w:trPr>
        <w:tc>
          <w:tcPr>
            <w:tcW w:w="9576" w:type="dxa"/>
            <w:gridSpan w:val="5"/>
            <w:vAlign w:val="center"/>
          </w:tcPr>
          <w:p w14:paraId="354F54EB" w14:textId="3008DD97" w:rsidR="00CA09B2" w:rsidRDefault="00CA09B2" w:rsidP="000A5E71">
            <w:pPr>
              <w:pStyle w:val="T2"/>
              <w:ind w:left="0"/>
              <w:rPr>
                <w:sz w:val="20"/>
              </w:rPr>
            </w:pPr>
            <w:r>
              <w:rPr>
                <w:sz w:val="20"/>
              </w:rPr>
              <w:t>Date:</w:t>
            </w:r>
            <w:r>
              <w:rPr>
                <w:b w:val="0"/>
                <w:sz w:val="20"/>
              </w:rPr>
              <w:t xml:space="preserve">  </w:t>
            </w:r>
            <w:r w:rsidR="002D45B5">
              <w:rPr>
                <w:b w:val="0"/>
                <w:sz w:val="20"/>
              </w:rPr>
              <w:t xml:space="preserve"> 202</w:t>
            </w:r>
            <w:r w:rsidR="006135B1">
              <w:rPr>
                <w:b w:val="0"/>
                <w:sz w:val="20"/>
              </w:rPr>
              <w:t>2</w:t>
            </w:r>
            <w:r w:rsidR="002D45B5">
              <w:rPr>
                <w:b w:val="0"/>
                <w:sz w:val="20"/>
              </w:rPr>
              <w:t>-</w:t>
            </w:r>
            <w:r w:rsidR="000A5E71">
              <w:rPr>
                <w:b w:val="0"/>
                <w:sz w:val="20"/>
              </w:rPr>
              <w:t>0</w:t>
            </w:r>
            <w:r w:rsidR="006135B1">
              <w:rPr>
                <w:b w:val="0"/>
                <w:sz w:val="20"/>
              </w:rPr>
              <w:t>3</w:t>
            </w:r>
            <w:r w:rsidR="000210A1">
              <w:rPr>
                <w:b w:val="0"/>
                <w:sz w:val="20"/>
              </w:rPr>
              <w:t>-</w:t>
            </w:r>
            <w:r w:rsidR="006135B1">
              <w:rPr>
                <w:b w:val="0"/>
                <w:sz w:val="20"/>
              </w:rPr>
              <w:t>07</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110919">
        <w:trPr>
          <w:jc w:val="center"/>
        </w:trPr>
        <w:tc>
          <w:tcPr>
            <w:tcW w:w="1525" w:type="dxa"/>
            <w:vAlign w:val="center"/>
          </w:tcPr>
          <w:p w14:paraId="4BDDE1C4" w14:textId="77777777" w:rsidR="00CA09B2" w:rsidRDefault="00CA09B2">
            <w:pPr>
              <w:pStyle w:val="T2"/>
              <w:spacing w:after="0"/>
              <w:ind w:left="0" w:right="0"/>
              <w:jc w:val="left"/>
              <w:rPr>
                <w:sz w:val="20"/>
              </w:rPr>
            </w:pPr>
            <w:r>
              <w:rPr>
                <w:sz w:val="20"/>
              </w:rPr>
              <w:t>Name</w:t>
            </w:r>
          </w:p>
        </w:tc>
        <w:tc>
          <w:tcPr>
            <w:tcW w:w="1800" w:type="dxa"/>
            <w:vAlign w:val="center"/>
          </w:tcPr>
          <w:p w14:paraId="1A2AF179" w14:textId="77777777" w:rsidR="00CA09B2" w:rsidRDefault="00CA09B2">
            <w:pPr>
              <w:pStyle w:val="T2"/>
              <w:spacing w:after="0"/>
              <w:ind w:left="0" w:right="0"/>
              <w:jc w:val="left"/>
              <w:rPr>
                <w:sz w:val="20"/>
              </w:rPr>
            </w:pPr>
            <w:r>
              <w:rPr>
                <w:sz w:val="20"/>
              </w:rPr>
              <w:t>Company</w:t>
            </w:r>
          </w:p>
        </w:tc>
        <w:tc>
          <w:tcPr>
            <w:tcW w:w="2250" w:type="dxa"/>
            <w:vAlign w:val="center"/>
          </w:tcPr>
          <w:p w14:paraId="7C7E7D8E" w14:textId="77777777" w:rsidR="00CA09B2" w:rsidRDefault="00CA09B2">
            <w:pPr>
              <w:pStyle w:val="T2"/>
              <w:spacing w:after="0"/>
              <w:ind w:left="0" w:right="0"/>
              <w:jc w:val="left"/>
              <w:rPr>
                <w:sz w:val="20"/>
              </w:rPr>
            </w:pPr>
            <w:r>
              <w:rPr>
                <w:sz w:val="20"/>
              </w:rPr>
              <w:t>Address</w:t>
            </w:r>
          </w:p>
        </w:tc>
        <w:tc>
          <w:tcPr>
            <w:tcW w:w="1620" w:type="dxa"/>
            <w:vAlign w:val="center"/>
          </w:tcPr>
          <w:p w14:paraId="1BA39F2F" w14:textId="77777777" w:rsidR="00CA09B2" w:rsidRDefault="00CA09B2">
            <w:pPr>
              <w:pStyle w:val="T2"/>
              <w:spacing w:after="0"/>
              <w:ind w:left="0" w:right="0"/>
              <w:jc w:val="left"/>
              <w:rPr>
                <w:sz w:val="20"/>
              </w:rPr>
            </w:pPr>
            <w:r>
              <w:rPr>
                <w:sz w:val="20"/>
              </w:rPr>
              <w:t>Phone</w:t>
            </w:r>
          </w:p>
        </w:tc>
        <w:tc>
          <w:tcPr>
            <w:tcW w:w="2381"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110919">
        <w:trPr>
          <w:jc w:val="center"/>
        </w:trPr>
        <w:tc>
          <w:tcPr>
            <w:tcW w:w="1525" w:type="dxa"/>
            <w:vAlign w:val="center"/>
          </w:tcPr>
          <w:p w14:paraId="6643A83C" w14:textId="5D79EF6C" w:rsidR="0036389B" w:rsidRPr="00110919" w:rsidRDefault="0036389B" w:rsidP="00110919">
            <w:pPr>
              <w:pStyle w:val="T2"/>
              <w:spacing w:after="0"/>
              <w:ind w:left="0" w:right="0"/>
              <w:jc w:val="left"/>
              <w:rPr>
                <w:b w:val="0"/>
                <w:sz w:val="18"/>
                <w:szCs w:val="18"/>
              </w:rPr>
            </w:pPr>
            <w:r w:rsidRPr="00110919">
              <w:rPr>
                <w:b w:val="0"/>
                <w:sz w:val="18"/>
                <w:szCs w:val="18"/>
              </w:rPr>
              <w:t>Robert Stacey</w:t>
            </w:r>
          </w:p>
        </w:tc>
        <w:tc>
          <w:tcPr>
            <w:tcW w:w="1800" w:type="dxa"/>
            <w:vAlign w:val="center"/>
          </w:tcPr>
          <w:p w14:paraId="4C9A021A" w14:textId="01AB395A" w:rsidR="0036389B" w:rsidRPr="00110919" w:rsidRDefault="0036389B" w:rsidP="00110919">
            <w:pPr>
              <w:pStyle w:val="T2"/>
              <w:spacing w:after="0"/>
              <w:ind w:left="0" w:right="0"/>
              <w:jc w:val="left"/>
              <w:rPr>
                <w:b w:val="0"/>
                <w:sz w:val="18"/>
                <w:szCs w:val="18"/>
              </w:rPr>
            </w:pPr>
            <w:r w:rsidRPr="00110919">
              <w:rPr>
                <w:b w:val="0"/>
                <w:sz w:val="18"/>
                <w:szCs w:val="18"/>
              </w:rPr>
              <w:t>Intel</w:t>
            </w:r>
          </w:p>
        </w:tc>
        <w:tc>
          <w:tcPr>
            <w:tcW w:w="2250" w:type="dxa"/>
            <w:vAlign w:val="center"/>
          </w:tcPr>
          <w:p w14:paraId="4B4F8665" w14:textId="77777777" w:rsidR="0036389B" w:rsidRPr="00110919" w:rsidRDefault="0036389B" w:rsidP="0036389B">
            <w:pPr>
              <w:pStyle w:val="T2"/>
              <w:spacing w:after="0"/>
              <w:ind w:left="0" w:right="0"/>
              <w:rPr>
                <w:b w:val="0"/>
                <w:sz w:val="18"/>
                <w:szCs w:val="18"/>
              </w:rPr>
            </w:pPr>
          </w:p>
        </w:tc>
        <w:tc>
          <w:tcPr>
            <w:tcW w:w="1620" w:type="dxa"/>
            <w:vAlign w:val="center"/>
          </w:tcPr>
          <w:p w14:paraId="44E3C08F" w14:textId="77777777" w:rsidR="0036389B" w:rsidRPr="00110919" w:rsidRDefault="0036389B" w:rsidP="0036389B">
            <w:pPr>
              <w:pStyle w:val="T2"/>
              <w:spacing w:after="0"/>
              <w:ind w:left="0" w:right="0"/>
              <w:rPr>
                <w:b w:val="0"/>
                <w:sz w:val="18"/>
                <w:szCs w:val="18"/>
              </w:rPr>
            </w:pPr>
          </w:p>
        </w:tc>
        <w:tc>
          <w:tcPr>
            <w:tcW w:w="2381" w:type="dxa"/>
            <w:vAlign w:val="center"/>
          </w:tcPr>
          <w:p w14:paraId="705F0F0E" w14:textId="455B0454" w:rsidR="0036389B" w:rsidRPr="00110919" w:rsidRDefault="0036389B" w:rsidP="0036389B">
            <w:pPr>
              <w:pStyle w:val="T2"/>
              <w:spacing w:after="0"/>
              <w:ind w:left="0" w:right="0"/>
              <w:rPr>
                <w:b w:val="0"/>
                <w:sz w:val="18"/>
                <w:szCs w:val="18"/>
              </w:rPr>
            </w:pPr>
            <w:r w:rsidRPr="00110919">
              <w:rPr>
                <w:b w:val="0"/>
                <w:sz w:val="18"/>
                <w:szCs w:val="18"/>
              </w:rPr>
              <w:t>robert.stacey@intel.com</w:t>
            </w:r>
          </w:p>
        </w:tc>
      </w:tr>
      <w:tr w:rsidR="00CA09B2" w14:paraId="0582E5D0" w14:textId="77777777" w:rsidTr="00110919">
        <w:trPr>
          <w:jc w:val="center"/>
        </w:trPr>
        <w:tc>
          <w:tcPr>
            <w:tcW w:w="1525" w:type="dxa"/>
            <w:vAlign w:val="center"/>
          </w:tcPr>
          <w:p w14:paraId="69EDE00B" w14:textId="77777777" w:rsidR="00CA09B2" w:rsidRPr="00110919" w:rsidRDefault="006301B0" w:rsidP="00110919">
            <w:pPr>
              <w:pStyle w:val="T2"/>
              <w:spacing w:after="0"/>
              <w:ind w:left="0" w:right="0"/>
              <w:jc w:val="left"/>
              <w:rPr>
                <w:b w:val="0"/>
                <w:sz w:val="18"/>
                <w:szCs w:val="18"/>
              </w:rPr>
            </w:pPr>
            <w:r w:rsidRPr="00110919">
              <w:rPr>
                <w:b w:val="0"/>
                <w:sz w:val="18"/>
                <w:szCs w:val="18"/>
              </w:rPr>
              <w:t>Adrian Stephens</w:t>
            </w:r>
          </w:p>
        </w:tc>
        <w:tc>
          <w:tcPr>
            <w:tcW w:w="1800" w:type="dxa"/>
            <w:vAlign w:val="center"/>
          </w:tcPr>
          <w:p w14:paraId="65B8F5A3" w14:textId="77777777" w:rsidR="00CA09B2" w:rsidRPr="00110919" w:rsidRDefault="006301B0" w:rsidP="00110919">
            <w:pPr>
              <w:pStyle w:val="T2"/>
              <w:spacing w:after="0"/>
              <w:ind w:left="0" w:right="0"/>
              <w:jc w:val="left"/>
              <w:rPr>
                <w:b w:val="0"/>
                <w:sz w:val="18"/>
                <w:szCs w:val="18"/>
              </w:rPr>
            </w:pPr>
            <w:r w:rsidRPr="00110919">
              <w:rPr>
                <w:b w:val="0"/>
                <w:sz w:val="18"/>
                <w:szCs w:val="18"/>
              </w:rPr>
              <w:t>Intel Corporation</w:t>
            </w:r>
          </w:p>
        </w:tc>
        <w:tc>
          <w:tcPr>
            <w:tcW w:w="2250" w:type="dxa"/>
            <w:vAlign w:val="center"/>
          </w:tcPr>
          <w:p w14:paraId="03B46C40" w14:textId="77777777" w:rsidR="00CA09B2" w:rsidRPr="00110919" w:rsidRDefault="00CA09B2">
            <w:pPr>
              <w:pStyle w:val="T2"/>
              <w:spacing w:after="0"/>
              <w:ind w:left="0" w:right="0"/>
              <w:rPr>
                <w:b w:val="0"/>
                <w:sz w:val="18"/>
                <w:szCs w:val="18"/>
              </w:rPr>
            </w:pPr>
          </w:p>
        </w:tc>
        <w:tc>
          <w:tcPr>
            <w:tcW w:w="1620" w:type="dxa"/>
            <w:vAlign w:val="center"/>
          </w:tcPr>
          <w:p w14:paraId="3BA9744B" w14:textId="77777777" w:rsidR="00CA09B2" w:rsidRPr="00110919" w:rsidRDefault="00CA09B2">
            <w:pPr>
              <w:pStyle w:val="T2"/>
              <w:spacing w:after="0"/>
              <w:ind w:left="0" w:right="0"/>
              <w:rPr>
                <w:b w:val="0"/>
                <w:sz w:val="18"/>
                <w:szCs w:val="18"/>
              </w:rPr>
            </w:pPr>
          </w:p>
        </w:tc>
        <w:tc>
          <w:tcPr>
            <w:tcW w:w="2381" w:type="dxa"/>
            <w:vAlign w:val="center"/>
          </w:tcPr>
          <w:p w14:paraId="6EDF3F0E" w14:textId="77777777" w:rsidR="00CA09B2" w:rsidRPr="00110919" w:rsidRDefault="006301B0">
            <w:pPr>
              <w:pStyle w:val="T2"/>
              <w:spacing w:after="0"/>
              <w:ind w:left="0" w:right="0"/>
              <w:rPr>
                <w:b w:val="0"/>
                <w:sz w:val="18"/>
                <w:szCs w:val="18"/>
              </w:rPr>
            </w:pPr>
            <w:r w:rsidRPr="00110919">
              <w:rPr>
                <w:b w:val="0"/>
                <w:sz w:val="18"/>
                <w:szCs w:val="18"/>
              </w:rPr>
              <w:t>Adrian.p.stephens@intel.com</w:t>
            </w:r>
          </w:p>
        </w:tc>
      </w:tr>
      <w:tr w:rsidR="00AE0463" w14:paraId="3920E00B" w14:textId="77777777" w:rsidTr="00110919">
        <w:trPr>
          <w:jc w:val="center"/>
        </w:trPr>
        <w:tc>
          <w:tcPr>
            <w:tcW w:w="1525" w:type="dxa"/>
            <w:vAlign w:val="center"/>
          </w:tcPr>
          <w:p w14:paraId="09B71B6E" w14:textId="77777777" w:rsidR="00AE0463" w:rsidRPr="00110919" w:rsidRDefault="00AE0463" w:rsidP="00110919">
            <w:pPr>
              <w:pStyle w:val="T2"/>
              <w:spacing w:after="0"/>
              <w:ind w:left="0" w:right="0"/>
              <w:jc w:val="left"/>
              <w:rPr>
                <w:b w:val="0"/>
                <w:sz w:val="18"/>
                <w:szCs w:val="18"/>
              </w:rPr>
            </w:pPr>
            <w:r w:rsidRPr="00110919">
              <w:rPr>
                <w:b w:val="0"/>
                <w:sz w:val="18"/>
                <w:szCs w:val="18"/>
              </w:rPr>
              <w:t>Peter Ecclesine</w:t>
            </w:r>
          </w:p>
        </w:tc>
        <w:tc>
          <w:tcPr>
            <w:tcW w:w="1800" w:type="dxa"/>
            <w:vAlign w:val="center"/>
          </w:tcPr>
          <w:p w14:paraId="50A40DA5" w14:textId="77777777" w:rsidR="00AE0463" w:rsidRPr="00110919" w:rsidRDefault="00AE0463" w:rsidP="00110919">
            <w:pPr>
              <w:pStyle w:val="T2"/>
              <w:spacing w:after="0"/>
              <w:ind w:left="0" w:right="0"/>
              <w:jc w:val="left"/>
              <w:rPr>
                <w:b w:val="0"/>
                <w:sz w:val="18"/>
                <w:szCs w:val="18"/>
              </w:rPr>
            </w:pPr>
            <w:r w:rsidRPr="00110919">
              <w:rPr>
                <w:b w:val="0"/>
                <w:sz w:val="18"/>
                <w:szCs w:val="18"/>
              </w:rPr>
              <w:t>Cisco Systems</w:t>
            </w:r>
          </w:p>
        </w:tc>
        <w:tc>
          <w:tcPr>
            <w:tcW w:w="2250" w:type="dxa"/>
            <w:vAlign w:val="center"/>
          </w:tcPr>
          <w:p w14:paraId="40AC661B" w14:textId="77777777" w:rsidR="00AE0463" w:rsidRPr="00110919" w:rsidRDefault="00AE0463" w:rsidP="0094285B">
            <w:pPr>
              <w:pStyle w:val="T2"/>
              <w:spacing w:after="0"/>
              <w:ind w:left="0" w:right="0"/>
              <w:rPr>
                <w:b w:val="0"/>
                <w:sz w:val="18"/>
                <w:szCs w:val="18"/>
              </w:rPr>
            </w:pPr>
            <w:r w:rsidRPr="00110919">
              <w:rPr>
                <w:b w:val="0"/>
                <w:sz w:val="18"/>
                <w:szCs w:val="18"/>
              </w:rPr>
              <w:t xml:space="preserve">170 W. Tasman </w:t>
            </w:r>
            <w:proofErr w:type="spellStart"/>
            <w:r w:rsidRPr="00110919">
              <w:rPr>
                <w:b w:val="0"/>
                <w:sz w:val="18"/>
                <w:szCs w:val="18"/>
              </w:rPr>
              <w:t>Dr.</w:t>
            </w:r>
            <w:proofErr w:type="spellEnd"/>
            <w:r w:rsidRPr="00110919">
              <w:rPr>
                <w:b w:val="0"/>
                <w:sz w:val="18"/>
                <w:szCs w:val="18"/>
              </w:rPr>
              <w:t>, San Jose, CA 95134-1706</w:t>
            </w:r>
          </w:p>
        </w:tc>
        <w:tc>
          <w:tcPr>
            <w:tcW w:w="1620" w:type="dxa"/>
            <w:vAlign w:val="center"/>
          </w:tcPr>
          <w:p w14:paraId="30D5FA9E" w14:textId="77777777" w:rsidR="00AE0463" w:rsidRPr="00110919" w:rsidRDefault="00AE0463" w:rsidP="0094285B">
            <w:pPr>
              <w:pStyle w:val="T2"/>
              <w:spacing w:after="0"/>
              <w:ind w:left="0" w:right="0"/>
              <w:rPr>
                <w:b w:val="0"/>
                <w:sz w:val="18"/>
                <w:szCs w:val="18"/>
              </w:rPr>
            </w:pPr>
            <w:r w:rsidRPr="00110919">
              <w:rPr>
                <w:b w:val="0"/>
                <w:sz w:val="18"/>
                <w:szCs w:val="18"/>
              </w:rPr>
              <w:t>+1-408-527-0815</w:t>
            </w:r>
          </w:p>
        </w:tc>
        <w:tc>
          <w:tcPr>
            <w:tcW w:w="2381" w:type="dxa"/>
            <w:vAlign w:val="center"/>
          </w:tcPr>
          <w:p w14:paraId="1BFC4CF4" w14:textId="77777777" w:rsidR="00AE0463" w:rsidRPr="00110919" w:rsidRDefault="00AE0463" w:rsidP="0094285B">
            <w:pPr>
              <w:pStyle w:val="T2"/>
              <w:spacing w:after="0"/>
              <w:ind w:left="0" w:right="0"/>
              <w:rPr>
                <w:b w:val="0"/>
                <w:sz w:val="18"/>
                <w:szCs w:val="18"/>
              </w:rPr>
            </w:pPr>
            <w:r w:rsidRPr="00110919">
              <w:rPr>
                <w:b w:val="0"/>
                <w:sz w:val="18"/>
                <w:szCs w:val="18"/>
              </w:rPr>
              <w:t>petere@cisco.com</w:t>
            </w:r>
          </w:p>
        </w:tc>
      </w:tr>
      <w:tr w:rsidR="009C34C8" w14:paraId="52A28B05" w14:textId="77777777" w:rsidTr="00110919">
        <w:trPr>
          <w:jc w:val="center"/>
        </w:trPr>
        <w:tc>
          <w:tcPr>
            <w:tcW w:w="1525" w:type="dxa"/>
            <w:vAlign w:val="center"/>
          </w:tcPr>
          <w:p w14:paraId="3D3FD0B3" w14:textId="77777777" w:rsidR="009C34C8" w:rsidRPr="00110919" w:rsidRDefault="00D26733" w:rsidP="00110919">
            <w:pPr>
              <w:pStyle w:val="T2"/>
              <w:spacing w:after="0"/>
              <w:ind w:left="0" w:right="0"/>
              <w:jc w:val="left"/>
              <w:rPr>
                <w:b w:val="0"/>
                <w:sz w:val="18"/>
                <w:szCs w:val="18"/>
              </w:rPr>
            </w:pPr>
            <w:r w:rsidRPr="00110919">
              <w:rPr>
                <w:b w:val="0"/>
                <w:sz w:val="18"/>
                <w:szCs w:val="18"/>
              </w:rPr>
              <w:t>William Marshall</w:t>
            </w:r>
          </w:p>
        </w:tc>
        <w:tc>
          <w:tcPr>
            <w:tcW w:w="1800" w:type="dxa"/>
            <w:vAlign w:val="center"/>
          </w:tcPr>
          <w:p w14:paraId="54364089" w14:textId="28AADD94" w:rsidR="009C34C8" w:rsidRPr="00110919" w:rsidRDefault="00110919" w:rsidP="00110919">
            <w:pPr>
              <w:pStyle w:val="T2"/>
              <w:spacing w:after="0"/>
              <w:ind w:left="0" w:right="0"/>
              <w:jc w:val="left"/>
              <w:rPr>
                <w:b w:val="0"/>
                <w:sz w:val="18"/>
                <w:szCs w:val="18"/>
              </w:rPr>
            </w:pPr>
            <w:r>
              <w:rPr>
                <w:b w:val="0"/>
                <w:sz w:val="18"/>
                <w:szCs w:val="18"/>
              </w:rPr>
              <w:t>AT&amp;</w:t>
            </w:r>
            <w:r w:rsidR="00D26733" w:rsidRPr="00110919">
              <w:rPr>
                <w:b w:val="0"/>
                <w:sz w:val="18"/>
                <w:szCs w:val="18"/>
              </w:rPr>
              <w:t>T</w:t>
            </w:r>
          </w:p>
        </w:tc>
        <w:tc>
          <w:tcPr>
            <w:tcW w:w="2250" w:type="dxa"/>
            <w:vAlign w:val="center"/>
          </w:tcPr>
          <w:p w14:paraId="4056BBFC" w14:textId="77777777" w:rsidR="009C34C8" w:rsidRPr="00110919" w:rsidRDefault="009C34C8" w:rsidP="00537C16">
            <w:pPr>
              <w:pStyle w:val="T2"/>
              <w:spacing w:after="0"/>
              <w:ind w:left="0" w:right="0"/>
              <w:rPr>
                <w:b w:val="0"/>
                <w:bCs/>
                <w:sz w:val="18"/>
                <w:szCs w:val="18"/>
                <w:lang w:val="it-IT"/>
              </w:rPr>
            </w:pPr>
          </w:p>
        </w:tc>
        <w:tc>
          <w:tcPr>
            <w:tcW w:w="1620" w:type="dxa"/>
            <w:vAlign w:val="center"/>
          </w:tcPr>
          <w:p w14:paraId="5A7681D2" w14:textId="77777777" w:rsidR="009C34C8" w:rsidRPr="00110919" w:rsidRDefault="009C34C8" w:rsidP="00537C16">
            <w:pPr>
              <w:pStyle w:val="T2"/>
              <w:spacing w:after="0"/>
              <w:ind w:left="0" w:right="0"/>
              <w:rPr>
                <w:b w:val="0"/>
                <w:sz w:val="18"/>
                <w:szCs w:val="18"/>
              </w:rPr>
            </w:pPr>
          </w:p>
        </w:tc>
        <w:tc>
          <w:tcPr>
            <w:tcW w:w="2381" w:type="dxa"/>
            <w:vAlign w:val="center"/>
          </w:tcPr>
          <w:p w14:paraId="0F5F35E0" w14:textId="77777777" w:rsidR="009C34C8" w:rsidRPr="00110919" w:rsidRDefault="00D26733" w:rsidP="00537C16">
            <w:pPr>
              <w:pStyle w:val="T2"/>
              <w:spacing w:after="0"/>
              <w:ind w:left="0" w:right="0"/>
              <w:rPr>
                <w:b w:val="0"/>
                <w:sz w:val="18"/>
                <w:szCs w:val="18"/>
                <w:lang w:val="en-US"/>
              </w:rPr>
            </w:pPr>
            <w:r w:rsidRPr="00110919">
              <w:rPr>
                <w:b w:val="0"/>
                <w:sz w:val="18"/>
                <w:szCs w:val="18"/>
                <w:lang w:val="en-US"/>
              </w:rPr>
              <w:t>wtm@research.att.com</w:t>
            </w:r>
          </w:p>
        </w:tc>
      </w:tr>
      <w:tr w:rsidR="00FA747E" w14:paraId="35A60772" w14:textId="77777777" w:rsidTr="00110919">
        <w:trPr>
          <w:jc w:val="center"/>
        </w:trPr>
        <w:tc>
          <w:tcPr>
            <w:tcW w:w="1525" w:type="dxa"/>
            <w:vAlign w:val="center"/>
          </w:tcPr>
          <w:p w14:paraId="5E25C84E" w14:textId="77777777" w:rsidR="00FA747E" w:rsidRPr="00110919" w:rsidRDefault="00FA747E" w:rsidP="00110919">
            <w:pPr>
              <w:pStyle w:val="T2"/>
              <w:spacing w:after="0"/>
              <w:ind w:left="0" w:right="0"/>
              <w:jc w:val="left"/>
              <w:rPr>
                <w:b w:val="0"/>
                <w:sz w:val="18"/>
                <w:szCs w:val="18"/>
              </w:rPr>
            </w:pPr>
            <w:r w:rsidRPr="00110919">
              <w:rPr>
                <w:b w:val="0"/>
                <w:sz w:val="18"/>
                <w:szCs w:val="18"/>
              </w:rPr>
              <w:t>Emily Qi</w:t>
            </w:r>
          </w:p>
        </w:tc>
        <w:tc>
          <w:tcPr>
            <w:tcW w:w="1800" w:type="dxa"/>
            <w:vAlign w:val="center"/>
          </w:tcPr>
          <w:p w14:paraId="6A8239E4" w14:textId="77777777" w:rsidR="00FA747E" w:rsidRPr="00110919" w:rsidRDefault="00FA747E" w:rsidP="00110919">
            <w:pPr>
              <w:pStyle w:val="T2"/>
              <w:spacing w:after="0"/>
              <w:ind w:left="0" w:right="0"/>
              <w:jc w:val="left"/>
              <w:rPr>
                <w:b w:val="0"/>
                <w:sz w:val="18"/>
                <w:szCs w:val="18"/>
              </w:rPr>
            </w:pPr>
            <w:r w:rsidRPr="00110919">
              <w:rPr>
                <w:b w:val="0"/>
                <w:sz w:val="18"/>
                <w:szCs w:val="18"/>
              </w:rPr>
              <w:t>Intel</w:t>
            </w:r>
          </w:p>
        </w:tc>
        <w:tc>
          <w:tcPr>
            <w:tcW w:w="2250" w:type="dxa"/>
            <w:vAlign w:val="center"/>
          </w:tcPr>
          <w:p w14:paraId="20F3CCB3" w14:textId="77777777" w:rsidR="00FA747E" w:rsidRPr="00110919" w:rsidRDefault="00FA747E" w:rsidP="00F0145C">
            <w:pPr>
              <w:pStyle w:val="T2"/>
              <w:spacing w:after="0"/>
              <w:ind w:left="0" w:right="0"/>
              <w:rPr>
                <w:b w:val="0"/>
                <w:bCs/>
                <w:sz w:val="18"/>
                <w:szCs w:val="18"/>
                <w:lang w:val="it-IT"/>
              </w:rPr>
            </w:pPr>
          </w:p>
        </w:tc>
        <w:tc>
          <w:tcPr>
            <w:tcW w:w="1620" w:type="dxa"/>
            <w:vAlign w:val="center"/>
          </w:tcPr>
          <w:p w14:paraId="4400C5F2" w14:textId="77777777" w:rsidR="00FA747E" w:rsidRPr="00110919" w:rsidRDefault="00FA747E" w:rsidP="00F0145C">
            <w:pPr>
              <w:pStyle w:val="T2"/>
              <w:spacing w:after="0"/>
              <w:ind w:left="0" w:right="0"/>
              <w:rPr>
                <w:b w:val="0"/>
                <w:sz w:val="18"/>
                <w:szCs w:val="18"/>
              </w:rPr>
            </w:pPr>
          </w:p>
        </w:tc>
        <w:tc>
          <w:tcPr>
            <w:tcW w:w="2381" w:type="dxa"/>
            <w:vAlign w:val="center"/>
          </w:tcPr>
          <w:p w14:paraId="6CB6A35D" w14:textId="00ABF243" w:rsidR="00FA747E" w:rsidRPr="00110919" w:rsidRDefault="00FA747E" w:rsidP="00F0145C">
            <w:pPr>
              <w:pStyle w:val="T2"/>
              <w:spacing w:after="0"/>
              <w:ind w:left="0" w:right="0"/>
              <w:rPr>
                <w:b w:val="0"/>
                <w:sz w:val="18"/>
                <w:szCs w:val="18"/>
                <w:lang w:val="en-US"/>
              </w:rPr>
            </w:pPr>
            <w:r w:rsidRPr="00110919">
              <w:rPr>
                <w:b w:val="0"/>
                <w:sz w:val="18"/>
                <w:szCs w:val="18"/>
                <w:lang w:val="en-US"/>
              </w:rPr>
              <w:t>Emily.h.qi@intel.com</w:t>
            </w:r>
          </w:p>
        </w:tc>
      </w:tr>
      <w:tr w:rsidR="00025CC4" w14:paraId="239EF7A9" w14:textId="77777777" w:rsidTr="00110919">
        <w:trPr>
          <w:jc w:val="center"/>
        </w:trPr>
        <w:tc>
          <w:tcPr>
            <w:tcW w:w="1525" w:type="dxa"/>
            <w:vAlign w:val="center"/>
          </w:tcPr>
          <w:p w14:paraId="1C371740" w14:textId="1F7594F6" w:rsidR="00025CC4" w:rsidRPr="00110919" w:rsidRDefault="00FA747E" w:rsidP="00110919">
            <w:pPr>
              <w:pStyle w:val="T2"/>
              <w:spacing w:after="0"/>
              <w:ind w:left="0" w:right="0"/>
              <w:jc w:val="left"/>
              <w:rPr>
                <w:b w:val="0"/>
                <w:sz w:val="18"/>
                <w:szCs w:val="18"/>
              </w:rPr>
            </w:pPr>
            <w:r w:rsidRPr="00110919">
              <w:rPr>
                <w:b w:val="0"/>
                <w:sz w:val="18"/>
                <w:szCs w:val="18"/>
              </w:rPr>
              <w:t>Edward Au</w:t>
            </w:r>
          </w:p>
        </w:tc>
        <w:tc>
          <w:tcPr>
            <w:tcW w:w="1800" w:type="dxa"/>
            <w:vAlign w:val="center"/>
          </w:tcPr>
          <w:p w14:paraId="0883A5F4" w14:textId="6DD7EBD0" w:rsidR="00025CC4" w:rsidRPr="00110919" w:rsidRDefault="00FA747E" w:rsidP="00110919">
            <w:pPr>
              <w:pStyle w:val="T2"/>
              <w:spacing w:after="0"/>
              <w:ind w:left="0" w:right="0"/>
              <w:jc w:val="left"/>
              <w:rPr>
                <w:b w:val="0"/>
                <w:sz w:val="18"/>
                <w:szCs w:val="18"/>
              </w:rPr>
            </w:pPr>
            <w:r w:rsidRPr="00110919">
              <w:rPr>
                <w:b w:val="0"/>
                <w:sz w:val="18"/>
                <w:szCs w:val="18"/>
              </w:rPr>
              <w:t>Huawei Technologies</w:t>
            </w:r>
          </w:p>
        </w:tc>
        <w:tc>
          <w:tcPr>
            <w:tcW w:w="2250" w:type="dxa"/>
            <w:vAlign w:val="center"/>
          </w:tcPr>
          <w:p w14:paraId="3D8241DB" w14:textId="77777777" w:rsidR="00025CC4" w:rsidRPr="00110919" w:rsidRDefault="00025CC4" w:rsidP="00537C16">
            <w:pPr>
              <w:pStyle w:val="T2"/>
              <w:spacing w:after="0"/>
              <w:ind w:left="0" w:right="0"/>
              <w:rPr>
                <w:b w:val="0"/>
                <w:bCs/>
                <w:sz w:val="18"/>
                <w:szCs w:val="18"/>
                <w:lang w:val="it-IT"/>
              </w:rPr>
            </w:pPr>
          </w:p>
        </w:tc>
        <w:tc>
          <w:tcPr>
            <w:tcW w:w="1620" w:type="dxa"/>
            <w:vAlign w:val="center"/>
          </w:tcPr>
          <w:p w14:paraId="49253B96" w14:textId="01E3132D" w:rsidR="00025CC4" w:rsidRPr="00110919" w:rsidRDefault="00025CC4" w:rsidP="00537C16">
            <w:pPr>
              <w:pStyle w:val="T2"/>
              <w:spacing w:after="0"/>
              <w:ind w:left="0" w:right="0"/>
              <w:rPr>
                <w:b w:val="0"/>
                <w:sz w:val="18"/>
                <w:szCs w:val="18"/>
              </w:rPr>
            </w:pPr>
          </w:p>
        </w:tc>
        <w:tc>
          <w:tcPr>
            <w:tcW w:w="2381" w:type="dxa"/>
            <w:vAlign w:val="center"/>
          </w:tcPr>
          <w:p w14:paraId="346BB8D8" w14:textId="08FD8A58" w:rsidR="00025CC4" w:rsidRPr="00110919" w:rsidRDefault="00FA747E" w:rsidP="00537C16">
            <w:pPr>
              <w:pStyle w:val="T2"/>
              <w:spacing w:after="0"/>
              <w:ind w:left="0" w:right="0"/>
              <w:rPr>
                <w:b w:val="0"/>
                <w:sz w:val="18"/>
                <w:szCs w:val="18"/>
                <w:lang w:val="en-US"/>
              </w:rPr>
            </w:pPr>
            <w:r w:rsidRPr="00110919">
              <w:rPr>
                <w:b w:val="0"/>
                <w:sz w:val="18"/>
                <w:szCs w:val="18"/>
                <w:lang w:val="en-US"/>
              </w:rPr>
              <w:t>edward.ks.au@gmail.com</w:t>
            </w:r>
          </w:p>
        </w:tc>
      </w:tr>
    </w:tbl>
    <w:p w14:paraId="40BC24F2" w14:textId="64BD58DC"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5C1BF34" wp14:editId="0161CFD5">
                <wp:simplePos x="0" y="0"/>
                <wp:positionH relativeFrom="margin">
                  <wp:align>right</wp:align>
                </wp:positionH>
                <wp:positionV relativeFrom="paragraph">
                  <wp:posOffset>205105</wp:posOffset>
                </wp:positionV>
                <wp:extent cx="6004560" cy="521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521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5B1896" w:rsidRDefault="005B1896">
                            <w:pPr>
                              <w:pStyle w:val="T1"/>
                              <w:spacing w:after="120"/>
                            </w:pPr>
                            <w:r>
                              <w:t>Abstract</w:t>
                            </w:r>
                          </w:p>
                          <w:p w14:paraId="1CB81322" w14:textId="77777777" w:rsidR="005B1896" w:rsidRDefault="005B1896">
                            <w:pPr>
                              <w:pStyle w:val="T1"/>
                              <w:spacing w:after="120"/>
                            </w:pPr>
                          </w:p>
                          <w:p w14:paraId="5CC2CB2D" w14:textId="77777777" w:rsidR="005B1896" w:rsidRDefault="005B1896" w:rsidP="00A243D7">
                            <w:r>
                              <w:t xml:space="preserve">This document contains a description of certain elements of style to be used in 802.11 Standards and Amendments, starting with </w:t>
                            </w:r>
                            <w:proofErr w:type="spellStart"/>
                            <w:r>
                              <w:t>REVmb</w:t>
                            </w:r>
                            <w:proofErr w:type="spellEnd"/>
                            <w:r>
                              <w:t xml:space="preserve"> (IEEE STD 802.11-2011) and its amendments.</w:t>
                            </w:r>
                          </w:p>
                          <w:p w14:paraId="37F976A8" w14:textId="77777777" w:rsidR="005B1896" w:rsidRDefault="005B1896" w:rsidP="00A243D7"/>
                          <w:p w14:paraId="7849E7CA" w14:textId="77777777" w:rsidR="005B1896" w:rsidRDefault="005B1896" w:rsidP="00A243D7">
                            <w:r>
                              <w:t xml:space="preserve">R1:  updated reflecting additional changes in </w:t>
                            </w:r>
                            <w:proofErr w:type="spellStart"/>
                            <w:r>
                              <w:t>REVmb</w:t>
                            </w:r>
                            <w:proofErr w:type="spellEnd"/>
                            <w:r>
                              <w:t>.  Numbering consistent with REVmb_D8.0.</w:t>
                            </w:r>
                          </w:p>
                          <w:p w14:paraId="464E2BA4" w14:textId="77777777" w:rsidR="005B1896" w:rsidRDefault="005B1896" w:rsidP="00A243D7">
                            <w:r>
                              <w:t>R2:  added comments about word usage from experience gained during 802.11aa 11MEC</w:t>
                            </w:r>
                          </w:p>
                          <w:p w14:paraId="3FED04C6" w14:textId="77777777" w:rsidR="005B1896" w:rsidRDefault="005B1896" w:rsidP="00A243D7">
                            <w:r>
                              <w:t>R3:  updated to include items from 11-11-0844r0.  Added section on “ensures”.</w:t>
                            </w:r>
                          </w:p>
                          <w:p w14:paraId="02DD03BD" w14:textId="77777777" w:rsidR="005B1896" w:rsidRDefault="005B1896" w:rsidP="00A243D7">
                            <w:r>
                              <w:t>R4:  updated following Std 802.11-2012 publication.</w:t>
                            </w:r>
                          </w:p>
                          <w:p w14:paraId="73E51B09" w14:textId="77777777" w:rsidR="005B1896" w:rsidRDefault="005B1896" w:rsidP="00A243D7">
                            <w:r>
                              <w:t>R5:  typos fixed.  Added “changes in IEEE-SA style guide” section</w:t>
                            </w:r>
                          </w:p>
                          <w:p w14:paraId="374B1D03" w14:textId="77777777" w:rsidR="005B1896" w:rsidRDefault="005B1896" w:rsidP="00A243D7">
                            <w:r>
                              <w:t>R6:  reviewed prior to 802.11ac MDR.</w:t>
                            </w:r>
                          </w:p>
                          <w:p w14:paraId="57A4C67E" w14:textId="77777777" w:rsidR="005B1896" w:rsidRDefault="005B1896" w:rsidP="00A243D7">
                            <w:r>
                              <w:t xml:space="preserve">R7:  updated based on </w:t>
                            </w:r>
                            <w:proofErr w:type="spellStart"/>
                            <w:r>
                              <w:t>REVmc</w:t>
                            </w:r>
                            <w:proofErr w:type="spellEnd"/>
                            <w:r>
                              <w:t xml:space="preserve"> pre-ballot comment resolutions.</w:t>
                            </w:r>
                          </w:p>
                          <w:p w14:paraId="5E4AC620" w14:textId="093907C1" w:rsidR="005B1896" w:rsidRDefault="005B1896" w:rsidP="00A243D7">
                            <w:r>
                              <w:t xml:space="preserve">R8:  updates from </w:t>
                            </w:r>
                            <w:proofErr w:type="spellStart"/>
                            <w:r>
                              <w:t>TGaf</w:t>
                            </w:r>
                            <w:proofErr w:type="spellEnd"/>
                            <w:r>
                              <w:t xml:space="preserve"> MDR</w:t>
                            </w:r>
                          </w:p>
                          <w:p w14:paraId="411EF2E3" w14:textId="5B58B532" w:rsidR="005B1896" w:rsidRDefault="005B1896" w:rsidP="00A243D7">
                            <w:r>
                              <w:t xml:space="preserve">R9:  updates from </w:t>
                            </w:r>
                            <w:proofErr w:type="spellStart"/>
                            <w:r>
                              <w:t>REVmc</w:t>
                            </w:r>
                            <w:proofErr w:type="spellEnd"/>
                            <w:r>
                              <w:t xml:space="preserve"> D1 comment resolution</w:t>
                            </w:r>
                          </w:p>
                          <w:p w14:paraId="3A48EBB9" w14:textId="29923EBB" w:rsidR="005B1896" w:rsidRDefault="005B1896" w:rsidP="00A243D7">
                            <w:r>
                              <w:t xml:space="preserve">R10: changes from </w:t>
                            </w:r>
                            <w:proofErr w:type="spellStart"/>
                            <w:r>
                              <w:t>REVmc</w:t>
                            </w:r>
                            <w:proofErr w:type="spellEnd"/>
                            <w:r>
                              <w:t xml:space="preserve"> D3 MDR (11-14/781r12) and reviewed</w:t>
                            </w:r>
                          </w:p>
                          <w:p w14:paraId="5663CEB4" w14:textId="1C578650" w:rsidR="005B1896" w:rsidRDefault="005B1896" w:rsidP="00A243D7">
                            <w:r>
                              <w:t xml:space="preserve">R11: changes from </w:t>
                            </w:r>
                            <w:proofErr w:type="spellStart"/>
                            <w:r>
                              <w:t>TGah</w:t>
                            </w:r>
                            <w:proofErr w:type="spellEnd"/>
                            <w:r>
                              <w:t xml:space="preserve"> and </w:t>
                            </w:r>
                            <w:proofErr w:type="spellStart"/>
                            <w:r>
                              <w:t>TGai</w:t>
                            </w:r>
                            <w:proofErr w:type="spellEnd"/>
                            <w:r>
                              <w:t xml:space="preserve"> MDR</w:t>
                            </w:r>
                          </w:p>
                          <w:p w14:paraId="347E71C1" w14:textId="0616A4CC" w:rsidR="005B1896" w:rsidRDefault="005B1896" w:rsidP="00A243D7">
                            <w:r>
                              <w:t>R12: new amendment style (top level clause for major MAC enhancements). Update following 802.11-2016 publication.</w:t>
                            </w:r>
                          </w:p>
                          <w:p w14:paraId="29C4493F" w14:textId="7BB82825" w:rsidR="005B1896" w:rsidRDefault="005B1896" w:rsidP="00A243D7">
                            <w:r>
                              <w:t xml:space="preserve">R13: added new recommendations on MIB objects. Changes from </w:t>
                            </w:r>
                            <w:proofErr w:type="spellStart"/>
                            <w:r>
                              <w:t>REVmd</w:t>
                            </w:r>
                            <w:proofErr w:type="spellEnd"/>
                            <w:r>
                              <w:t xml:space="preserve"> MDR.</w:t>
                            </w:r>
                          </w:p>
                          <w:p w14:paraId="3ED23825" w14:textId="16F28CB2" w:rsidR="005B1896" w:rsidRDefault="005B1896" w:rsidP="00A243D7">
                            <w:r>
                              <w:t>R14: update the list of exceptions in section 2.11</w:t>
                            </w:r>
                          </w:p>
                          <w:p w14:paraId="720C492D" w14:textId="4036FA59" w:rsidR="005B1896" w:rsidRDefault="005B1896" w:rsidP="00A243D7">
                            <w:r>
                              <w:t xml:space="preserve">R15: added section </w:t>
                            </w:r>
                            <w:proofErr w:type="gramStart"/>
                            <w:r>
                              <w:t>“ 2.4.3</w:t>
                            </w:r>
                            <w:proofErr w:type="gramEnd"/>
                            <w:r>
                              <w:t xml:space="preserve"> Element Inclusion Conventions” and the procedure of deprecating a MIB variable in 3.4.2. </w:t>
                            </w:r>
                          </w:p>
                          <w:p w14:paraId="690470BC" w14:textId="6142ABDB" w:rsidR="005B1896" w:rsidRDefault="005B1896" w:rsidP="00A243D7">
                            <w:r>
                              <w:t xml:space="preserve">R16: Added rule to capitalize prepositions and </w:t>
                            </w:r>
                            <w:proofErr w:type="spellStart"/>
                            <w:r>
                              <w:t>conjuctions</w:t>
                            </w:r>
                            <w:proofErr w:type="spellEnd"/>
                            <w:r>
                              <w:t xml:space="preserve"> in proper names</w:t>
                            </w:r>
                          </w:p>
                          <w:p w14:paraId="6EC31FDB" w14:textId="168BE733" w:rsidR="005B1896" w:rsidRDefault="005B1896" w:rsidP="00A243D7">
                            <w:r>
                              <w:t xml:space="preserve">R17: updates from </w:t>
                            </w:r>
                            <w:proofErr w:type="spellStart"/>
                            <w:r>
                              <w:t>REVmd</w:t>
                            </w:r>
                            <w:proofErr w:type="spellEnd"/>
                            <w:r>
                              <w:t xml:space="preserve"> 5.0. </w:t>
                            </w:r>
                          </w:p>
                          <w:p w14:paraId="46553C9A" w14:textId="7B0298BA" w:rsidR="005B1896" w:rsidRDefault="005B1896" w:rsidP="00A243D7">
                            <w:r>
                              <w:t>R18: update the grandfather list of capitalization</w:t>
                            </w:r>
                            <w:r w:rsidR="00C353DA">
                              <w:t xml:space="preserve"> to add “Tail”. Added clause 3.2 (Acronyms).</w:t>
                            </w:r>
                          </w:p>
                          <w:p w14:paraId="2DAA02DE" w14:textId="092D8385" w:rsidR="00494C2F" w:rsidRDefault="00494C2F" w:rsidP="00A243D7">
                            <w:r>
                              <w:t xml:space="preserve">R19: removed a reference to </w:t>
                            </w:r>
                            <w:proofErr w:type="spellStart"/>
                            <w:r>
                              <w:t>TGmd</w:t>
                            </w:r>
                            <w:proofErr w:type="spellEnd"/>
                            <w:r>
                              <w:t>.</w:t>
                            </w:r>
                          </w:p>
                          <w:p w14:paraId="321B38B8" w14:textId="39B7D591" w:rsidR="001865A3" w:rsidRDefault="001865A3" w:rsidP="00A243D7">
                            <w:r>
                              <w:t xml:space="preserve">R20: Added rule for prefix with </w:t>
                            </w:r>
                            <w:proofErr w:type="spellStart"/>
                            <w:r>
                              <w:t>compond</w:t>
                            </w:r>
                            <w:proofErr w:type="spellEnd"/>
                            <w:r>
                              <w:t xml:space="preserve"> term to the Hyphenation subclause</w:t>
                            </w:r>
                          </w:p>
                          <w:p w14:paraId="0F886027" w14:textId="7785D33C" w:rsidR="005B1896" w:rsidRPr="0091708F" w:rsidRDefault="005B1896" w:rsidP="00353CAA"/>
                          <w:p w14:paraId="661F886E" w14:textId="77777777" w:rsidR="005B1896" w:rsidRDefault="005B1896" w:rsidP="00A243D7"/>
                          <w:p w14:paraId="6B290FFB" w14:textId="51F8CE0D" w:rsidR="005B1896" w:rsidRDefault="005B1896"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421.6pt;margin-top:16.15pt;width:472.8pt;height:41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" o:allowincell="f" stroked="f">
                <v:textbox>
                  <w:txbxContent>
                    <w:p w14:paraId="5E772AF6" w14:textId="77777777" w:rsidR="005B1896" w:rsidRDefault="005B1896">
                      <w:pPr>
                        <w:pStyle w:val="T1"/>
                        <w:spacing w:after="120"/>
                      </w:pPr>
                      <w:r>
                        <w:t>Abstract</w:t>
                      </w:r>
                    </w:p>
                    <w:p w14:paraId="1CB81322" w14:textId="77777777" w:rsidR="005B1896" w:rsidRDefault="005B1896">
                      <w:pPr>
                        <w:pStyle w:val="T1"/>
                        <w:spacing w:after="120"/>
                      </w:pPr>
                    </w:p>
                    <w:p w14:paraId="5CC2CB2D" w14:textId="77777777" w:rsidR="005B1896" w:rsidRDefault="005B1896" w:rsidP="00A243D7">
                      <w:r>
                        <w:t xml:space="preserve">This document contains a description of certain elements of style to be used in 802.11 Standards and Amendments, starting with </w:t>
                      </w:r>
                      <w:proofErr w:type="spellStart"/>
                      <w:r>
                        <w:t>REVmb</w:t>
                      </w:r>
                      <w:proofErr w:type="spellEnd"/>
                      <w:r>
                        <w:t xml:space="preserve"> (IEEE STD 802.11-2011) and its amendments.</w:t>
                      </w:r>
                    </w:p>
                    <w:p w14:paraId="37F976A8" w14:textId="77777777" w:rsidR="005B1896" w:rsidRDefault="005B1896" w:rsidP="00A243D7"/>
                    <w:p w14:paraId="7849E7CA" w14:textId="77777777" w:rsidR="005B1896" w:rsidRDefault="005B1896" w:rsidP="00A243D7">
                      <w:r>
                        <w:t xml:space="preserve">R1:  updated reflecting additional changes in </w:t>
                      </w:r>
                      <w:proofErr w:type="spellStart"/>
                      <w:r>
                        <w:t>REVmb</w:t>
                      </w:r>
                      <w:proofErr w:type="spellEnd"/>
                      <w:r>
                        <w:t>.  Numbering consistent with REVmb_D8.0.</w:t>
                      </w:r>
                    </w:p>
                    <w:p w14:paraId="464E2BA4" w14:textId="77777777" w:rsidR="005B1896" w:rsidRDefault="005B1896" w:rsidP="00A243D7">
                      <w:r>
                        <w:t>R2:  added comments about word usage from experience gained during 802.11aa 11MEC</w:t>
                      </w:r>
                    </w:p>
                    <w:p w14:paraId="3FED04C6" w14:textId="77777777" w:rsidR="005B1896" w:rsidRDefault="005B1896" w:rsidP="00A243D7">
                      <w:r>
                        <w:t>R3:  updated to include items from 11-11-0844r0.  Added section on “ensures”.</w:t>
                      </w:r>
                    </w:p>
                    <w:p w14:paraId="02DD03BD" w14:textId="77777777" w:rsidR="005B1896" w:rsidRDefault="005B1896" w:rsidP="00A243D7">
                      <w:r>
                        <w:t>R4:  updated following Std 802.11-2012 publication.</w:t>
                      </w:r>
                    </w:p>
                    <w:p w14:paraId="73E51B09" w14:textId="77777777" w:rsidR="005B1896" w:rsidRDefault="005B1896" w:rsidP="00A243D7">
                      <w:r>
                        <w:t>R5:  typos fixed.  Added “changes in IEEE-SA style guide” section</w:t>
                      </w:r>
                    </w:p>
                    <w:p w14:paraId="374B1D03" w14:textId="77777777" w:rsidR="005B1896" w:rsidRDefault="005B1896" w:rsidP="00A243D7">
                      <w:r>
                        <w:t>R6:  reviewed prior to 802.11ac MDR.</w:t>
                      </w:r>
                    </w:p>
                    <w:p w14:paraId="57A4C67E" w14:textId="77777777" w:rsidR="005B1896" w:rsidRDefault="005B1896" w:rsidP="00A243D7">
                      <w:r>
                        <w:t xml:space="preserve">R7:  updated based on </w:t>
                      </w:r>
                      <w:proofErr w:type="spellStart"/>
                      <w:r>
                        <w:t>REVmc</w:t>
                      </w:r>
                      <w:proofErr w:type="spellEnd"/>
                      <w:r>
                        <w:t xml:space="preserve"> pre-ballot comment resolutions.</w:t>
                      </w:r>
                    </w:p>
                    <w:p w14:paraId="5E4AC620" w14:textId="093907C1" w:rsidR="005B1896" w:rsidRDefault="005B1896" w:rsidP="00A243D7">
                      <w:r>
                        <w:t xml:space="preserve">R8:  updates from </w:t>
                      </w:r>
                      <w:proofErr w:type="spellStart"/>
                      <w:r>
                        <w:t>TGaf</w:t>
                      </w:r>
                      <w:proofErr w:type="spellEnd"/>
                      <w:r>
                        <w:t xml:space="preserve"> MDR</w:t>
                      </w:r>
                    </w:p>
                    <w:p w14:paraId="411EF2E3" w14:textId="5B58B532" w:rsidR="005B1896" w:rsidRDefault="005B1896" w:rsidP="00A243D7">
                      <w:r>
                        <w:t xml:space="preserve">R9:  updates from </w:t>
                      </w:r>
                      <w:proofErr w:type="spellStart"/>
                      <w:r>
                        <w:t>REVmc</w:t>
                      </w:r>
                      <w:proofErr w:type="spellEnd"/>
                      <w:r>
                        <w:t xml:space="preserve"> D1 comment resolution</w:t>
                      </w:r>
                    </w:p>
                    <w:p w14:paraId="3A48EBB9" w14:textId="29923EBB" w:rsidR="005B1896" w:rsidRDefault="005B1896" w:rsidP="00A243D7">
                      <w:r>
                        <w:t xml:space="preserve">R10: changes from </w:t>
                      </w:r>
                      <w:proofErr w:type="spellStart"/>
                      <w:r>
                        <w:t>REVmc</w:t>
                      </w:r>
                      <w:proofErr w:type="spellEnd"/>
                      <w:r>
                        <w:t xml:space="preserve"> D3 MDR (11-14/781r12) and reviewed</w:t>
                      </w:r>
                    </w:p>
                    <w:p w14:paraId="5663CEB4" w14:textId="1C578650" w:rsidR="005B1896" w:rsidRDefault="005B1896" w:rsidP="00A243D7">
                      <w:r>
                        <w:t xml:space="preserve">R11: changes from </w:t>
                      </w:r>
                      <w:proofErr w:type="spellStart"/>
                      <w:r>
                        <w:t>TGah</w:t>
                      </w:r>
                      <w:proofErr w:type="spellEnd"/>
                      <w:r>
                        <w:t xml:space="preserve"> and </w:t>
                      </w:r>
                      <w:proofErr w:type="spellStart"/>
                      <w:r>
                        <w:t>TGai</w:t>
                      </w:r>
                      <w:proofErr w:type="spellEnd"/>
                      <w:r>
                        <w:t xml:space="preserve"> MDR</w:t>
                      </w:r>
                    </w:p>
                    <w:p w14:paraId="347E71C1" w14:textId="0616A4CC" w:rsidR="005B1896" w:rsidRDefault="005B1896" w:rsidP="00A243D7">
                      <w:r>
                        <w:t>R12: new amendment style (top level clause for major MAC enhancements). Update following 802.11-2016 publication.</w:t>
                      </w:r>
                    </w:p>
                    <w:p w14:paraId="29C4493F" w14:textId="7BB82825" w:rsidR="005B1896" w:rsidRDefault="005B1896" w:rsidP="00A243D7">
                      <w:r>
                        <w:t xml:space="preserve">R13: added new recommendations on MIB objects. Changes from </w:t>
                      </w:r>
                      <w:proofErr w:type="spellStart"/>
                      <w:r>
                        <w:t>REVmd</w:t>
                      </w:r>
                      <w:proofErr w:type="spellEnd"/>
                      <w:r>
                        <w:t xml:space="preserve"> MDR.</w:t>
                      </w:r>
                    </w:p>
                    <w:p w14:paraId="3ED23825" w14:textId="16F28CB2" w:rsidR="005B1896" w:rsidRDefault="005B1896" w:rsidP="00A243D7">
                      <w:r>
                        <w:t>R14: update the list of exceptions in section 2.11</w:t>
                      </w:r>
                    </w:p>
                    <w:p w14:paraId="720C492D" w14:textId="4036FA59" w:rsidR="005B1896" w:rsidRDefault="005B1896" w:rsidP="00A243D7">
                      <w:r>
                        <w:t xml:space="preserve">R15: added section </w:t>
                      </w:r>
                      <w:proofErr w:type="gramStart"/>
                      <w:r>
                        <w:t>“ 2.4.3</w:t>
                      </w:r>
                      <w:proofErr w:type="gramEnd"/>
                      <w:r>
                        <w:t xml:space="preserve"> Element Inclusion Conventions” and the procedure of deprecating a MIB variable in 3.4.2. </w:t>
                      </w:r>
                    </w:p>
                    <w:p w14:paraId="690470BC" w14:textId="6142ABDB" w:rsidR="005B1896" w:rsidRDefault="005B1896" w:rsidP="00A243D7">
                      <w:r>
                        <w:t xml:space="preserve">R16: Added rule to capitalize prepositions and </w:t>
                      </w:r>
                      <w:proofErr w:type="spellStart"/>
                      <w:r>
                        <w:t>conjuctions</w:t>
                      </w:r>
                      <w:proofErr w:type="spellEnd"/>
                      <w:r>
                        <w:t xml:space="preserve"> in proper names</w:t>
                      </w:r>
                    </w:p>
                    <w:p w14:paraId="6EC31FDB" w14:textId="168BE733" w:rsidR="005B1896" w:rsidRDefault="005B1896" w:rsidP="00A243D7">
                      <w:r>
                        <w:t xml:space="preserve">R17: updates from </w:t>
                      </w:r>
                      <w:proofErr w:type="spellStart"/>
                      <w:r>
                        <w:t>REVmd</w:t>
                      </w:r>
                      <w:proofErr w:type="spellEnd"/>
                      <w:r>
                        <w:t xml:space="preserve"> 5.0. </w:t>
                      </w:r>
                    </w:p>
                    <w:p w14:paraId="46553C9A" w14:textId="7B0298BA" w:rsidR="005B1896" w:rsidRDefault="005B1896" w:rsidP="00A243D7">
                      <w:r>
                        <w:t>R18: update the grandfather list of capitalization</w:t>
                      </w:r>
                      <w:r w:rsidR="00C353DA">
                        <w:t xml:space="preserve"> to add “Tail”. Added clause 3.2 (Acronyms).</w:t>
                      </w:r>
                    </w:p>
                    <w:p w14:paraId="2DAA02DE" w14:textId="092D8385" w:rsidR="00494C2F" w:rsidRDefault="00494C2F" w:rsidP="00A243D7">
                      <w:r>
                        <w:t xml:space="preserve">R19: removed a reference to </w:t>
                      </w:r>
                      <w:proofErr w:type="spellStart"/>
                      <w:r>
                        <w:t>TGmd</w:t>
                      </w:r>
                      <w:proofErr w:type="spellEnd"/>
                      <w:r>
                        <w:t>.</w:t>
                      </w:r>
                    </w:p>
                    <w:p w14:paraId="321B38B8" w14:textId="39B7D591" w:rsidR="001865A3" w:rsidRDefault="001865A3" w:rsidP="00A243D7">
                      <w:r>
                        <w:t xml:space="preserve">R20: Added rule for prefix with </w:t>
                      </w:r>
                      <w:proofErr w:type="spellStart"/>
                      <w:r>
                        <w:t>compond</w:t>
                      </w:r>
                      <w:proofErr w:type="spellEnd"/>
                      <w:r>
                        <w:t xml:space="preserve"> term to the Hyphenation subclause</w:t>
                      </w:r>
                    </w:p>
                    <w:p w14:paraId="0F886027" w14:textId="7785D33C" w:rsidR="005B1896" w:rsidRPr="0091708F" w:rsidRDefault="005B1896" w:rsidP="00353CAA"/>
                    <w:p w14:paraId="661F886E" w14:textId="77777777" w:rsidR="005B1896" w:rsidRDefault="005B1896" w:rsidP="00A243D7"/>
                    <w:p w14:paraId="6B290FFB" w14:textId="51F8CE0D" w:rsidR="005B1896" w:rsidRDefault="005B1896" w:rsidP="00A243D7"/>
                  </w:txbxContent>
                </v:textbox>
                <w10:wrap anchorx="margin"/>
              </v:shape>
            </w:pict>
          </mc:Fallback>
        </mc:AlternateContent>
      </w:r>
    </w:p>
    <w:p w14:paraId="0CE2217F" w14:textId="77777777" w:rsidR="00BD4F35" w:rsidRPr="005F0788" w:rsidRDefault="00BD4F35" w:rsidP="00167F24"/>
    <w:p w14:paraId="5A2BC6D9" w14:textId="77777777" w:rsidR="000817C1" w:rsidRDefault="00A243D7" w:rsidP="006922F0">
      <w:pPr>
        <w:pStyle w:val="Heading1"/>
      </w:pPr>
      <w:bookmarkStart w:id="0" w:name="_Ref3264598"/>
      <w:r>
        <w:lastRenderedPageBreak/>
        <w:t>Introduction</w:t>
      </w:r>
      <w:bookmarkEnd w:id="0"/>
    </w:p>
    <w:p w14:paraId="0FDA005F" w14:textId="77777777" w:rsidR="006922F0" w:rsidRDefault="006922F0" w:rsidP="006922F0">
      <w:pPr>
        <w:pStyle w:val="Heading2"/>
      </w:pPr>
      <w:r>
        <w:t>Purpose</w:t>
      </w:r>
    </w:p>
    <w:p w14:paraId="394D0531" w14:textId="1F2F169D" w:rsidR="00A243D7" w:rsidRDefault="00A243D7" w:rsidP="00110919">
      <w:pPr>
        <w:jc w:val="both"/>
      </w:pPr>
      <w:r>
        <w:t xml:space="preserve">The purpose of this document is to describe certain elements of style to be used in IEEE </w:t>
      </w:r>
      <w:r w:rsidR="00D26733">
        <w:t xml:space="preserve">802.11 Standards and </w:t>
      </w:r>
      <w:r w:rsidR="00F71AF7">
        <w:t xml:space="preserve">Amendments starting with IEEE Std </w:t>
      </w:r>
      <w:proofErr w:type="gramStart"/>
      <w:r w:rsidR="00F71AF7">
        <w:t>802.11-</w:t>
      </w:r>
      <w:r w:rsidR="0036389B">
        <w:t>2016</w:t>
      </w:r>
      <w:r w:rsidR="002B577F">
        <w:t>,</w:t>
      </w:r>
      <w:r w:rsidR="00D26733">
        <w:t xml:space="preserve"> and</w:t>
      </w:r>
      <w:proofErr w:type="gramEnd"/>
      <w:r w:rsidR="00D26733">
        <w:t xml:space="preserve"> including its amendments.</w:t>
      </w:r>
    </w:p>
    <w:p w14:paraId="5ACD09FB" w14:textId="77777777" w:rsidR="00A243D7" w:rsidRDefault="00A243D7" w:rsidP="00110919">
      <w:pPr>
        <w:jc w:val="both"/>
      </w:pPr>
    </w:p>
    <w:p w14:paraId="0704D294" w14:textId="77777777" w:rsidR="00A243D7" w:rsidRDefault="00A243D7" w:rsidP="00110919">
      <w:pPr>
        <w:jc w:val="both"/>
      </w:pPr>
      <w:r>
        <w:t>There are two benefits from using this style:</w:t>
      </w:r>
    </w:p>
    <w:p w14:paraId="5F0F3CEC" w14:textId="10D3CEE1" w:rsidR="00A243D7" w:rsidRDefault="00A243D7" w:rsidP="00B36AEC">
      <w:pPr>
        <w:numPr>
          <w:ilvl w:val="0"/>
          <w:numId w:val="1"/>
        </w:numPr>
        <w:jc w:val="both"/>
      </w:pPr>
      <w:r>
        <w:t xml:space="preserve">Uniformity/consistency </w:t>
      </w:r>
      <w:r w:rsidR="00BA693C">
        <w:t xml:space="preserve">internally and </w:t>
      </w:r>
      <w:r w:rsidR="00110919">
        <w:t xml:space="preserve">between different documents. </w:t>
      </w:r>
      <w:r>
        <w:t xml:space="preserve"> Don’t forget that amendments eventually are edited into the baseline in the next revision standard.  If the amendment uses styles that are inconsistent with the baseline, we either </w:t>
      </w:r>
      <w:proofErr w:type="gramStart"/>
      <w:r>
        <w:t>have to</w:t>
      </w:r>
      <w:proofErr w:type="gramEnd"/>
      <w:r>
        <w:t xml:space="preserve"> tolerate an inconsistent revision, or the editor/comment resolution committee have to resolve those inconsistencies.</w:t>
      </w:r>
    </w:p>
    <w:p w14:paraId="66A11CAC" w14:textId="77777777" w:rsidR="00A243D7" w:rsidRDefault="00A243D7" w:rsidP="00B36AEC">
      <w:pPr>
        <w:numPr>
          <w:ilvl w:val="0"/>
          <w:numId w:val="1"/>
        </w:numPr>
        <w:jc w:val="both"/>
      </w:pPr>
      <w:r>
        <w:t>To reduce the amount of work in committee – i.e.</w:t>
      </w:r>
      <w:r w:rsidR="00382DFC">
        <w:t>,</w:t>
      </w:r>
      <w:r>
        <w:t xml:space="preserve"> these decisions have already been taken</w:t>
      </w:r>
      <w:r w:rsidR="00E87A6A">
        <w:t>, and</w:t>
      </w:r>
      <w:r>
        <w:t xml:space="preserve"> there is no need for the editor/comment resolution committee of a new document to have to re-invent the wheel.</w:t>
      </w:r>
    </w:p>
    <w:p w14:paraId="4DD5E4C0" w14:textId="77777777" w:rsidR="00A243D7" w:rsidRDefault="00A243D7" w:rsidP="00A243D7"/>
    <w:p w14:paraId="21B573AB" w14:textId="3DB2605D" w:rsidR="00A243D7" w:rsidRDefault="00FE5953" w:rsidP="00110919">
      <w:pPr>
        <w:jc w:val="both"/>
      </w:pPr>
      <w:r>
        <w:t xml:space="preserve">In addition, </w:t>
      </w:r>
      <w:r w:rsidR="00A243D7">
        <w:t xml:space="preserve">it is expected that this document may be cited in comment resolutions where a standard/amendment does not comply </w:t>
      </w:r>
      <w:r w:rsidR="00BA693C">
        <w:t>with</w:t>
      </w:r>
      <w:r w:rsidR="00A243D7">
        <w:t xml:space="preserve"> this style.</w:t>
      </w:r>
    </w:p>
    <w:p w14:paraId="49231966" w14:textId="77777777" w:rsidR="006D09F7" w:rsidRDefault="006D09F7" w:rsidP="00A243D7"/>
    <w:p w14:paraId="1DC7C5C1" w14:textId="77777777" w:rsidR="006D09F7" w:rsidRDefault="006922F0" w:rsidP="006D09F7">
      <w:pPr>
        <w:pStyle w:val="Heading2"/>
      </w:pPr>
      <w:r>
        <w:t>WG802.11 style vs IEEE-SA style</w:t>
      </w:r>
    </w:p>
    <w:p w14:paraId="13FA4559" w14:textId="77777777" w:rsidR="006D09F7" w:rsidRDefault="006D09F7" w:rsidP="00110919">
      <w:pPr>
        <w:jc w:val="both"/>
      </w:pPr>
      <w:r>
        <w:t>What right do we have to define an 802.11 Style?   Surely the IEEE-SA Style guide is all we need?</w:t>
      </w:r>
    </w:p>
    <w:p w14:paraId="03431EB5" w14:textId="77777777" w:rsidR="006D09F7" w:rsidRDefault="006D09F7" w:rsidP="00110919">
      <w:pPr>
        <w:jc w:val="both"/>
      </w:pPr>
    </w:p>
    <w:p w14:paraId="40FDC225" w14:textId="77777777" w:rsidR="006D09F7" w:rsidRDefault="006D09F7" w:rsidP="00110919">
      <w:pPr>
        <w:jc w:val="both"/>
      </w:pPr>
      <w:r>
        <w:t>There are many elements of convention that are not addressed in the IEEE-SA Style guide where we benefit from consistency in 802.11.</w:t>
      </w:r>
    </w:p>
    <w:p w14:paraId="620DEEB7" w14:textId="77777777" w:rsidR="006D09F7" w:rsidRDefault="006D09F7" w:rsidP="00110919">
      <w:pPr>
        <w:jc w:val="both"/>
      </w:pPr>
    </w:p>
    <w:p w14:paraId="4B8BDB31" w14:textId="77777777" w:rsidR="006D09F7" w:rsidRDefault="006D09F7" w:rsidP="00110919">
      <w:pPr>
        <w:jc w:val="both"/>
      </w:pPr>
      <w:r>
        <w:t>There are also elements of style in 802.11 that fail to comply with the IEEE-SA Style guide.  The fact that this material has been through IEEE-SA publication editing and approved multiple times shows that slavish consistency to the IEEE-SA Style Guide is not a requirement of the IEEE-SA standards development process.</w:t>
      </w:r>
    </w:p>
    <w:p w14:paraId="4F64B22E" w14:textId="77777777" w:rsidR="006D09F7" w:rsidRDefault="006D09F7" w:rsidP="00110919">
      <w:pPr>
        <w:jc w:val="both"/>
      </w:pPr>
    </w:p>
    <w:p w14:paraId="65145E35" w14:textId="77777777" w:rsidR="006D09F7" w:rsidRDefault="006D09F7" w:rsidP="00110919">
      <w:pPr>
        <w:jc w:val="both"/>
      </w:pPr>
      <w:r>
        <w:t>However, gratuitous deviation from the IEEE-SA Style Guide is not a good idea.</w:t>
      </w:r>
    </w:p>
    <w:p w14:paraId="596F0CBE" w14:textId="77777777" w:rsidR="006D09F7" w:rsidRDefault="006D09F7" w:rsidP="00110919">
      <w:pPr>
        <w:jc w:val="both"/>
      </w:pPr>
    </w:p>
    <w:p w14:paraId="1448A7AC" w14:textId="77777777" w:rsidR="006D09F7" w:rsidRDefault="006D09F7" w:rsidP="00110919">
      <w:pPr>
        <w:jc w:val="both"/>
      </w:pPr>
      <w:r>
        <w:t>These principles are embodied in the following requirement:</w:t>
      </w:r>
    </w:p>
    <w:p w14:paraId="4255325F" w14:textId="77777777" w:rsidR="006D09F7" w:rsidRDefault="006D09F7" w:rsidP="00110919">
      <w:pPr>
        <w:jc w:val="both"/>
      </w:pPr>
    </w:p>
    <w:p w14:paraId="597A4BE3" w14:textId="77777777" w:rsidR="006D09F7" w:rsidRDefault="00F71AF7" w:rsidP="00B36AEC">
      <w:pPr>
        <w:numPr>
          <w:ilvl w:val="0"/>
          <w:numId w:val="2"/>
        </w:numPr>
        <w:jc w:val="both"/>
      </w:pPr>
      <w:r>
        <w:t>An 802.11 Revision</w:t>
      </w:r>
      <w:r w:rsidR="006D09F7">
        <w:t xml:space="preserve"> or Amendment shall comply </w:t>
      </w:r>
      <w:r w:rsidR="00E87A6A">
        <w:t>with</w:t>
      </w:r>
      <w:r w:rsidR="006D09F7">
        <w:t xml:space="preserve"> th</w:t>
      </w:r>
      <w:r>
        <w:t>is document.  An 802.11 Revision</w:t>
      </w:r>
      <w:r w:rsidR="006D09F7">
        <w:t xml:space="preserve"> or Amendment shall comply </w:t>
      </w:r>
      <w:r w:rsidR="00E87A6A">
        <w:t>with</w:t>
      </w:r>
      <w:r w:rsidR="006D09F7">
        <w:t xml:space="preserve"> the IEEE-SA Style Guide.  </w:t>
      </w:r>
    </w:p>
    <w:p w14:paraId="43BE3A73" w14:textId="77777777" w:rsidR="006D09F7" w:rsidRDefault="006D09F7" w:rsidP="00B36AEC">
      <w:pPr>
        <w:numPr>
          <w:ilvl w:val="1"/>
          <w:numId w:val="2"/>
        </w:numPr>
        <w:jc w:val="both"/>
      </w:pPr>
      <w:r>
        <w:t>Where there is a conflict between these two documents, this document takes precedence.</w:t>
      </w:r>
    </w:p>
    <w:p w14:paraId="73D538B2" w14:textId="77777777" w:rsidR="006D09F7" w:rsidRPr="006D09F7" w:rsidRDefault="006D09F7" w:rsidP="00B36AEC">
      <w:pPr>
        <w:numPr>
          <w:ilvl w:val="1"/>
          <w:numId w:val="2"/>
        </w:numPr>
        <w:jc w:val="both"/>
      </w:pPr>
      <w:r>
        <w:t xml:space="preserve">Where there is a </w:t>
      </w:r>
      <w:r w:rsidR="008E15A6">
        <w:t xml:space="preserve">clear and consistent </w:t>
      </w:r>
      <w:r>
        <w:t>conflict between the IEEE-SA Style Guide and the 802.11 baseline standard</w:t>
      </w:r>
      <w:r w:rsidR="008E15A6">
        <w:t>, this should be discussed (e.g.</w:t>
      </w:r>
      <w:r w:rsidR="00382DFC">
        <w:t>,</w:t>
      </w:r>
      <w:r w:rsidR="008E15A6">
        <w:t xml:space="preserve"> in the Editors’ meeting or </w:t>
      </w:r>
      <w:proofErr w:type="spellStart"/>
      <w:r w:rsidR="008E15A6">
        <w:t>TGm</w:t>
      </w:r>
      <w:proofErr w:type="spellEnd"/>
      <w:r w:rsidR="008E15A6">
        <w:t>&lt;letter&gt;) and this document updated.</w:t>
      </w:r>
    </w:p>
    <w:p w14:paraId="55ED0C95" w14:textId="77777777" w:rsidR="006D09F7" w:rsidRDefault="006D09F7" w:rsidP="00110919">
      <w:pPr>
        <w:jc w:val="both"/>
      </w:pPr>
    </w:p>
    <w:p w14:paraId="02089D27" w14:textId="77777777" w:rsidR="008E15A6" w:rsidRDefault="008E15A6" w:rsidP="00110919">
      <w:pPr>
        <w:jc w:val="both"/>
      </w:pPr>
      <w:r>
        <w:t xml:space="preserve">This document should also be updated by the Editors’ or </w:t>
      </w:r>
      <w:proofErr w:type="spellStart"/>
      <w:r>
        <w:t>TGm</w:t>
      </w:r>
      <w:proofErr w:type="spellEnd"/>
      <w:r>
        <w:t>&lt;letter&gt; when new editorial conventions are decided.</w:t>
      </w:r>
    </w:p>
    <w:p w14:paraId="1F819FA9" w14:textId="77777777" w:rsidR="00D26733" w:rsidRDefault="00D26733" w:rsidP="00A243D7"/>
    <w:p w14:paraId="4AD6DC9B" w14:textId="77777777" w:rsidR="006922F0" w:rsidRDefault="00F71AF7" w:rsidP="006922F0">
      <w:pPr>
        <w:pStyle w:val="Heading2"/>
      </w:pPr>
      <w:r>
        <w:t>WG 802.11 MDR</w:t>
      </w:r>
    </w:p>
    <w:p w14:paraId="2FD9F85B" w14:textId="77777777" w:rsidR="006922F0" w:rsidRDefault="006922F0" w:rsidP="00110919">
      <w:pPr>
        <w:jc w:val="both"/>
      </w:pPr>
      <w:r>
        <w:t>802.11 will conduct a mandat</w:t>
      </w:r>
      <w:r w:rsidR="00F71AF7">
        <w:t>ory draft review (MDR)</w:t>
      </w:r>
      <w:r>
        <w:t xml:space="preserve"> between the document editor and the WG802.11 technical editor(s).</w:t>
      </w:r>
    </w:p>
    <w:p w14:paraId="581990ED" w14:textId="77777777" w:rsidR="00522458" w:rsidRDefault="00522458" w:rsidP="006922F0"/>
    <w:p w14:paraId="67D9B414" w14:textId="77777777" w:rsidR="00522458" w:rsidRDefault="00F71AF7" w:rsidP="006922F0">
      <w:r>
        <w:t>One</w:t>
      </w:r>
      <w:r w:rsidR="00522458">
        <w:t xml:space="preserve"> p</w:t>
      </w:r>
      <w:r>
        <w:t>urpose of this MDR</w:t>
      </w:r>
      <w:r w:rsidR="00522458">
        <w:t xml:space="preserve"> is to ensure compliance with the requirements of this document.</w:t>
      </w:r>
    </w:p>
    <w:p w14:paraId="25DE5742" w14:textId="77777777" w:rsidR="00F71AF7" w:rsidRDefault="00F71AF7" w:rsidP="006922F0"/>
    <w:p w14:paraId="5DC63958" w14:textId="77777777" w:rsidR="00F71AF7" w:rsidRDefault="00F71AF7" w:rsidP="006922F0">
      <w:r>
        <w:t>The MDR is described in 11-11/0615.</w:t>
      </w:r>
    </w:p>
    <w:p w14:paraId="27B633FD" w14:textId="6C833762" w:rsidR="00BA693C" w:rsidRPr="006922F0" w:rsidRDefault="00BA693C" w:rsidP="006922F0"/>
    <w:p w14:paraId="1892D1EB" w14:textId="77777777" w:rsidR="006922F0" w:rsidRDefault="006922F0" w:rsidP="006922F0">
      <w:pPr>
        <w:pStyle w:val="Heading2"/>
      </w:pPr>
      <w:r>
        <w:t>ANA Process</w:t>
      </w:r>
    </w:p>
    <w:p w14:paraId="538BDBE4" w14:textId="77777777" w:rsidR="006922F0" w:rsidRDefault="006922F0" w:rsidP="00110919">
      <w:pPr>
        <w:jc w:val="both"/>
      </w:pPr>
      <w:r>
        <w:t xml:space="preserve">Documents that need numbers from namespaces administered by the ANA should insert &lt;ANA&gt; into their document in place of a number rather than choosing a number.  </w:t>
      </w:r>
    </w:p>
    <w:p w14:paraId="377FAA85" w14:textId="77777777" w:rsidR="006922F0" w:rsidRDefault="006922F0" w:rsidP="00110919">
      <w:pPr>
        <w:jc w:val="both"/>
      </w:pPr>
    </w:p>
    <w:p w14:paraId="37BD9159" w14:textId="77777777" w:rsidR="006922F0" w:rsidRDefault="006922F0" w:rsidP="00110919">
      <w:pPr>
        <w:jc w:val="both"/>
      </w:pPr>
      <w:r>
        <w:t>The editor will then ask the ANA for numbers to be assigned (see 802.11 Operati</w:t>
      </w:r>
      <w:r w:rsidR="00F71AF7">
        <w:t>ons Manual for full procedure),</w:t>
      </w:r>
      <w:r>
        <w:t xml:space="preserve"> and w</w:t>
      </w:r>
      <w:r w:rsidR="00B32CF0">
        <w:t>hen numbers have been assigned,</w:t>
      </w:r>
      <w:r>
        <w:t xml:space="preserve"> the editor should replace the &lt;ANA&gt; flags with the allocated values.</w:t>
      </w:r>
    </w:p>
    <w:p w14:paraId="7E7DE5C9" w14:textId="77777777" w:rsidR="006922F0" w:rsidRDefault="006922F0" w:rsidP="00110919">
      <w:pPr>
        <w:jc w:val="both"/>
      </w:pPr>
    </w:p>
    <w:p w14:paraId="3EE543C9" w14:textId="6CC38709" w:rsidR="006922F0" w:rsidRDefault="00522458" w:rsidP="00110919">
      <w:pPr>
        <w:jc w:val="both"/>
      </w:pPr>
      <w:r>
        <w:t>A</w:t>
      </w:r>
      <w:r w:rsidR="006922F0">
        <w:t xml:space="preserve">ll &lt;ANA&gt; flags </w:t>
      </w:r>
      <w:r>
        <w:t xml:space="preserve">must </w:t>
      </w:r>
      <w:r w:rsidR="006922F0">
        <w:t xml:space="preserve">have been replaced before entry to </w:t>
      </w:r>
      <w:r w:rsidR="00CF722A" w:rsidRPr="005B1896">
        <w:t xml:space="preserve">IEEE Standards </w:t>
      </w:r>
      <w:proofErr w:type="spellStart"/>
      <w:r w:rsidR="00CF722A" w:rsidRPr="005B1896">
        <w:t>Assoaciation</w:t>
      </w:r>
      <w:proofErr w:type="spellEnd"/>
      <w:r w:rsidR="00CF722A" w:rsidRPr="005B1896">
        <w:t xml:space="preserve"> (SA)</w:t>
      </w:r>
      <w:r w:rsidR="006922F0">
        <w:t xml:space="preserve"> ballot.</w:t>
      </w:r>
    </w:p>
    <w:p w14:paraId="7C6641EB" w14:textId="77777777" w:rsidR="00B32CF0" w:rsidRDefault="00B32CF0" w:rsidP="00110919">
      <w:pPr>
        <w:jc w:val="both"/>
      </w:pPr>
    </w:p>
    <w:p w14:paraId="79FBD4A5" w14:textId="77777777" w:rsidR="00B32CF0" w:rsidRDefault="00B32CF0" w:rsidP="00B32CF0">
      <w:pPr>
        <w:pStyle w:val="Heading2"/>
      </w:pPr>
      <w:r>
        <w:t>Why can’t I leave all this to the publication editor?</w:t>
      </w:r>
    </w:p>
    <w:p w14:paraId="6F726541" w14:textId="7F2793BE" w:rsidR="00B32CF0" w:rsidRDefault="00B32CF0" w:rsidP="00110919">
      <w:pPr>
        <w:jc w:val="both"/>
      </w:pPr>
      <w:r>
        <w:t xml:space="preserve">The argument goes that seeing that the IEEE-SA pays for a professional editor to clean-up the document prior to publication, we </w:t>
      </w:r>
      <w:r w:rsidR="0062280C">
        <w:t xml:space="preserve">(i.e., contributors to drafts and their TG editors) </w:t>
      </w:r>
      <w:r>
        <w:t>don’t need to worry about elements of “style” in the draft</w:t>
      </w:r>
      <w:r w:rsidR="0062280C">
        <w:t>,</w:t>
      </w:r>
      <w:r>
        <w:t xml:space="preserve"> particularly as we are engineers and not </w:t>
      </w:r>
      <w:r w:rsidR="0062280C">
        <w:t xml:space="preserve">professional </w:t>
      </w:r>
      <w:r>
        <w:t>editors, and can’t be expected to understand or care about obscure rules of grammar.</w:t>
      </w:r>
    </w:p>
    <w:p w14:paraId="12A36A8C" w14:textId="77777777" w:rsidR="00B32CF0" w:rsidRDefault="00B32CF0" w:rsidP="00110919">
      <w:pPr>
        <w:jc w:val="both"/>
      </w:pPr>
    </w:p>
    <w:p w14:paraId="223B411F" w14:textId="77777777" w:rsidR="00B32CF0" w:rsidRDefault="0062280C" w:rsidP="00110919">
      <w:pPr>
        <w:jc w:val="both"/>
      </w:pPr>
      <w:r>
        <w:t>But if you do this:</w:t>
      </w:r>
    </w:p>
    <w:p w14:paraId="563E07F2" w14:textId="77777777" w:rsidR="0062280C" w:rsidRDefault="0062280C" w:rsidP="00B36AEC">
      <w:pPr>
        <w:numPr>
          <w:ilvl w:val="0"/>
          <w:numId w:val="11"/>
        </w:numPr>
        <w:jc w:val="both"/>
      </w:pPr>
      <w:r>
        <w:t>The WG MDR will be a painful experience (for all concerned)</w:t>
      </w:r>
    </w:p>
    <w:p w14:paraId="24C3A5E8" w14:textId="77777777" w:rsidR="0062280C" w:rsidRDefault="0062280C" w:rsidP="00B36AEC">
      <w:pPr>
        <w:numPr>
          <w:ilvl w:val="0"/>
          <w:numId w:val="11"/>
        </w:numPr>
        <w:jc w:val="both"/>
      </w:pPr>
      <w:r>
        <w:t xml:space="preserve">You may </w:t>
      </w:r>
      <w:r w:rsidR="00FA1C78">
        <w:t xml:space="preserve">continually </w:t>
      </w:r>
      <w:r>
        <w:t xml:space="preserve">get lots of </w:t>
      </w:r>
      <w:r w:rsidR="00FA1C78">
        <w:t xml:space="preserve">editorial comments, </w:t>
      </w:r>
      <w:r>
        <w:t>which take more effort to deal with than getting things right earlier in the process</w:t>
      </w:r>
    </w:p>
    <w:p w14:paraId="00C08AB4" w14:textId="77777777" w:rsidR="0062280C" w:rsidRDefault="0062280C" w:rsidP="00B36AEC">
      <w:pPr>
        <w:numPr>
          <w:ilvl w:val="0"/>
          <w:numId w:val="11"/>
        </w:numPr>
        <w:jc w:val="both"/>
      </w:pPr>
      <w:r>
        <w:t xml:space="preserve">Publication editing will be a painful and slow experience (for the TG </w:t>
      </w:r>
      <w:proofErr w:type="gramStart"/>
      <w:r>
        <w:t>editor,  who</w:t>
      </w:r>
      <w:proofErr w:type="gramEnd"/>
      <w:r>
        <w:t xml:space="preserve"> bears the burden of review)</w:t>
      </w:r>
    </w:p>
    <w:p w14:paraId="7595D190" w14:textId="77777777" w:rsidR="0062280C" w:rsidRDefault="0062280C" w:rsidP="00B36AEC">
      <w:pPr>
        <w:numPr>
          <w:ilvl w:val="0"/>
          <w:numId w:val="11"/>
        </w:numPr>
        <w:jc w:val="both"/>
      </w:pPr>
      <w:r>
        <w:t>Publication editors vary in the degree of diligence they apply to the task, particularly related to uniformity of style with the baseline.</w:t>
      </w:r>
    </w:p>
    <w:p w14:paraId="0F9567AB" w14:textId="77777777" w:rsidR="0062280C" w:rsidRDefault="0062280C" w:rsidP="00B36AEC">
      <w:pPr>
        <w:numPr>
          <w:ilvl w:val="0"/>
          <w:numId w:val="11"/>
        </w:numPr>
        <w:jc w:val="both"/>
      </w:pPr>
      <w:r>
        <w:t>Adopting a uniform style creates “least surprise” amongst your readers.</w:t>
      </w:r>
    </w:p>
    <w:p w14:paraId="71B6CEC7" w14:textId="77777777" w:rsidR="0062280C" w:rsidRDefault="0062280C" w:rsidP="00B36AEC">
      <w:pPr>
        <w:numPr>
          <w:ilvl w:val="0"/>
          <w:numId w:val="11"/>
        </w:numPr>
        <w:jc w:val="both"/>
      </w:pPr>
      <w:r>
        <w:t>Poor and broken English creates the w</w:t>
      </w:r>
      <w:r w:rsidR="00382DFC">
        <w:t>rong impression for your voters related to completeness or technical accuracy</w:t>
      </w:r>
      <w:r>
        <w:t>.</w:t>
      </w:r>
    </w:p>
    <w:p w14:paraId="0D27A953" w14:textId="77777777" w:rsidR="0062280C" w:rsidRPr="00B32CF0" w:rsidRDefault="0062280C" w:rsidP="00B36AEC">
      <w:pPr>
        <w:numPr>
          <w:ilvl w:val="0"/>
          <w:numId w:val="11"/>
        </w:numPr>
        <w:jc w:val="both"/>
      </w:pPr>
      <w:r>
        <w:t>Rules about</w:t>
      </w:r>
      <w:r w:rsidR="00382DFC">
        <w:t>,</w:t>
      </w:r>
      <w:r>
        <w:t xml:space="preserve"> punctuation and</w:t>
      </w:r>
      <w:r w:rsidR="00382DFC">
        <w:t>.</w:t>
      </w:r>
      <w:r>
        <w:t xml:space="preserve"> syntax matter – they can</w:t>
      </w:r>
      <w:r w:rsidR="00382DFC">
        <w:t xml:space="preserve"> modify the meaning of the </w:t>
      </w:r>
      <w:proofErr w:type="gramStart"/>
      <w:r w:rsidR="00382DFC">
        <w:t>text;</w:t>
      </w:r>
      <w:proofErr w:type="gramEnd"/>
    </w:p>
    <w:p w14:paraId="45978089" w14:textId="77777777" w:rsidR="006922F0" w:rsidRDefault="006922F0" w:rsidP="006922F0"/>
    <w:p w14:paraId="602AE820" w14:textId="77777777" w:rsidR="006922F0" w:rsidRPr="00480424" w:rsidRDefault="006922F0" w:rsidP="006922F0"/>
    <w:p w14:paraId="69180417" w14:textId="77777777" w:rsidR="008E15A6" w:rsidRPr="00A243D7" w:rsidRDefault="008E15A6" w:rsidP="00A243D7"/>
    <w:p w14:paraId="5961D8D8" w14:textId="77777777" w:rsidR="00A243D7" w:rsidRDefault="00E87A6A" w:rsidP="00A243D7">
      <w:pPr>
        <w:pStyle w:val="Heading1"/>
      </w:pPr>
      <w:r>
        <w:lastRenderedPageBreak/>
        <w:t>General</w:t>
      </w:r>
      <w:r w:rsidR="00A243D7">
        <w:t xml:space="preserve"> 802.11 Style</w:t>
      </w:r>
    </w:p>
    <w:p w14:paraId="46457429" w14:textId="77777777" w:rsidR="003A1404" w:rsidRDefault="00A243D7" w:rsidP="00A243D7">
      <w:pPr>
        <w:pStyle w:val="Heading2"/>
      </w:pPr>
      <w:r>
        <w:t>Frame</w:t>
      </w:r>
      <w:r w:rsidR="003A1404">
        <w:t>s</w:t>
      </w:r>
    </w:p>
    <w:p w14:paraId="71861F49" w14:textId="77777777" w:rsidR="00A243D7" w:rsidRDefault="003A1404" w:rsidP="003A1404">
      <w:pPr>
        <w:pStyle w:val="Heading3"/>
      </w:pPr>
      <w:r>
        <w:t>Frame</w:t>
      </w:r>
      <w:r w:rsidR="00A243D7">
        <w:t xml:space="preserve"> Format Figures</w:t>
      </w:r>
    </w:p>
    <w:p w14:paraId="416B1DEB" w14:textId="77777777" w:rsidR="00A243D7" w:rsidRDefault="00A243D7" w:rsidP="00A243D7"/>
    <w:p w14:paraId="45679783" w14:textId="77777777" w:rsidR="00A243D7" w:rsidRDefault="00A243D7" w:rsidP="00110919">
      <w:pPr>
        <w:jc w:val="both"/>
      </w:pPr>
      <w:r>
        <w:t xml:space="preserve">See </w:t>
      </w:r>
      <w:r w:rsidRPr="00A243D7">
        <w:t>11-09-0714-02-000m-big-ed-issues.doc</w:t>
      </w:r>
      <w:r w:rsidR="006D09F7">
        <w:t xml:space="preserve"> for more detail and background.</w:t>
      </w:r>
    </w:p>
    <w:p w14:paraId="322C5FF2" w14:textId="77777777" w:rsidR="006D09F7" w:rsidRDefault="006D09F7" w:rsidP="00110919">
      <w:pPr>
        <w:jc w:val="both"/>
      </w:pPr>
    </w:p>
    <w:p w14:paraId="6B699B35" w14:textId="5D6BDC08" w:rsidR="006D09F7" w:rsidRDefault="006D09F7" w:rsidP="00110919">
      <w:pPr>
        <w:jc w:val="both"/>
      </w:pPr>
      <w:proofErr w:type="gramStart"/>
      <w:r>
        <w:t>Generally</w:t>
      </w:r>
      <w:proofErr w:type="gramEnd"/>
      <w:r>
        <w:t xml:space="preserve"> frame format figures should be either an “octet aligned” or a “bit aligned” structure.  If a mixture of the two is required, it is recommended to break the figure into two or more parts.  Arrows should not be used, except where labelling parts of the structure (e.g., </w:t>
      </w:r>
      <w:r w:rsidR="0006226E">
        <w:t xml:space="preserve">the </w:t>
      </w:r>
      <w:r>
        <w:t>MAC Header</w:t>
      </w:r>
      <w:r w:rsidR="0006226E">
        <w:t xml:space="preserve"> in the top-level frame format</w:t>
      </w:r>
      <w:r>
        <w:t>).</w:t>
      </w:r>
      <w:r w:rsidR="007A45FF">
        <w:t xml:space="preserve"> </w:t>
      </w:r>
    </w:p>
    <w:p w14:paraId="4D74275B" w14:textId="77777777" w:rsidR="008E15A6" w:rsidRDefault="008E15A6" w:rsidP="00110919">
      <w:pPr>
        <w:jc w:val="both"/>
      </w:pPr>
    </w:p>
    <w:p w14:paraId="7C16A57F" w14:textId="71E32160" w:rsidR="008E15A6" w:rsidRDefault="008E15A6" w:rsidP="00110919">
      <w:pPr>
        <w:jc w:val="both"/>
      </w:pPr>
      <w:r>
        <w:t>Figures should be drawn using tables with each part of the figure in its own cell, along with custom ruling.</w:t>
      </w:r>
      <w:r w:rsidR="00D82AB4">
        <w:t xml:space="preserve"> The bit labels above a cell can be created by inserting a right tab marker at the right margin (e.g., using the </w:t>
      </w:r>
      <w:proofErr w:type="spellStart"/>
      <w:r w:rsidR="00D82AB4">
        <w:t>Framemaker</w:t>
      </w:r>
      <w:proofErr w:type="spellEnd"/>
      <w:r w:rsidR="00D82AB4">
        <w:t xml:space="preserve"> ruler bar), then inserting “B&lt;number&gt;&lt;tab&gt;B&lt;number&gt;” and set the justification to left.  This is preferred to using spaces.  The ruling can be created in frame by selecting all the cells and applying custom ruling “none”, then select the cells containing the fields and apply custom ruling “thin”.</w:t>
      </w:r>
    </w:p>
    <w:p w14:paraId="0BD7F85E" w14:textId="77777777" w:rsidR="008E15A6" w:rsidRDefault="008E15A6" w:rsidP="00A243D7"/>
    <w:p w14:paraId="775FF21B" w14:textId="77777777" w:rsidR="008E15A6" w:rsidRDefault="008E15A6" w:rsidP="00A243D7">
      <w:r>
        <w:t>An example of the octet-aligned figure follows:</w:t>
      </w:r>
    </w:p>
    <w:p w14:paraId="36D7EC59" w14:textId="569E067D" w:rsidR="008E15A6" w:rsidRPr="008E15A6" w:rsidRDefault="002E0D5D" w:rsidP="002E0D5D">
      <w:pPr>
        <w:jc w:val="center"/>
      </w:pPr>
      <w:r>
        <w:rPr>
          <w:noProof/>
          <w:lang w:val="en-US" w:eastAsia="zh-CN"/>
        </w:rPr>
        <w:drawing>
          <wp:inline distT="0" distB="0" distL="0" distR="0" wp14:anchorId="47E470D7" wp14:editId="4445CAF7">
            <wp:extent cx="3178629" cy="906385"/>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7972" cy="914752"/>
                    </a:xfrm>
                    <a:prstGeom prst="rect">
                      <a:avLst/>
                    </a:prstGeom>
                  </pic:spPr>
                </pic:pic>
              </a:graphicData>
            </a:graphic>
          </wp:inline>
        </w:drawing>
      </w:r>
    </w:p>
    <w:p w14:paraId="1492D399" w14:textId="77777777" w:rsidR="008E15A6" w:rsidRDefault="008E15A6" w:rsidP="00A243D7"/>
    <w:p w14:paraId="5FCC5013" w14:textId="77777777" w:rsidR="00382DFC" w:rsidRDefault="001002CA" w:rsidP="00110919">
      <w:pPr>
        <w:jc w:val="both"/>
      </w:pPr>
      <w:r>
        <w:t>Another used format is those</w:t>
      </w:r>
      <w:r w:rsidR="00382DFC">
        <w:t xml:space="preserve"> figures where the “octets” row goes above the structure boxes to allow for arrows and labelling below the structure boxes.</w:t>
      </w:r>
      <w:r>
        <w:t xml:space="preserve">   Such uses should be minimized in new material.</w:t>
      </w:r>
    </w:p>
    <w:p w14:paraId="3C28CB49" w14:textId="77777777" w:rsidR="008E15A6" w:rsidRDefault="008E15A6" w:rsidP="00A243D7"/>
    <w:p w14:paraId="3DB3306D" w14:textId="77777777" w:rsidR="008E15A6" w:rsidRDefault="008E15A6" w:rsidP="00A243D7">
      <w:r>
        <w:t>An example of the bit-aligned figure follows:</w:t>
      </w:r>
    </w:p>
    <w:p w14:paraId="1E55A5E2" w14:textId="33DC6F30" w:rsidR="008E15A6" w:rsidRDefault="002E0D5D" w:rsidP="002E0D5D">
      <w:pPr>
        <w:jc w:val="center"/>
      </w:pPr>
      <w:r>
        <w:rPr>
          <w:noProof/>
          <w:lang w:val="en-US" w:eastAsia="zh-CN"/>
        </w:rPr>
        <w:drawing>
          <wp:inline distT="0" distB="0" distL="0" distR="0" wp14:anchorId="2AA2598F" wp14:editId="39195401">
            <wp:extent cx="2612571" cy="90580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9271" cy="915060"/>
                    </a:xfrm>
                    <a:prstGeom prst="rect">
                      <a:avLst/>
                    </a:prstGeom>
                  </pic:spPr>
                </pic:pic>
              </a:graphicData>
            </a:graphic>
          </wp:inline>
        </w:drawing>
      </w:r>
    </w:p>
    <w:p w14:paraId="56C9923C" w14:textId="076BC341" w:rsidR="008E15A6" w:rsidRDefault="008E15A6" w:rsidP="00A243D7"/>
    <w:p w14:paraId="783697EB" w14:textId="77777777" w:rsidR="002E0D5D" w:rsidRDefault="00DB7A3B" w:rsidP="00110919">
      <w:pPr>
        <w:jc w:val="both"/>
      </w:pPr>
      <w:r>
        <w:t xml:space="preserve">The title of </w:t>
      </w:r>
      <w:r w:rsidR="002E6B44">
        <w:t>the figure should use the form</w:t>
      </w:r>
      <w:r>
        <w:t xml:space="preserve"> “</w:t>
      </w:r>
      <w:r w:rsidR="002E6B44">
        <w:t>Figure &lt;number&gt;</w:t>
      </w:r>
      <w:r w:rsidR="002E0D5D">
        <w:t>--</w:t>
      </w:r>
      <w:r w:rsidR="002E6B44">
        <w:t>Name</w:t>
      </w:r>
      <w:r w:rsidR="0007726F">
        <w:t xml:space="preserve"> </w:t>
      </w:r>
      <w:r w:rsidR="002E6B44">
        <w:t xml:space="preserve">[frame, </w:t>
      </w:r>
      <w:r>
        <w:t xml:space="preserve">element, field, </w:t>
      </w:r>
      <w:proofErr w:type="spellStart"/>
      <w:r>
        <w:t>subelement</w:t>
      </w:r>
      <w:proofErr w:type="spellEnd"/>
      <w:r>
        <w:t xml:space="preserve"> or subfield</w:t>
      </w:r>
      <w:r w:rsidR="002E6B44">
        <w:t>]</w:t>
      </w:r>
      <w:r>
        <w:t xml:space="preserve"> format”. </w:t>
      </w:r>
    </w:p>
    <w:p w14:paraId="175BCA3A" w14:textId="2768E388" w:rsidR="00BE1FA8" w:rsidRDefault="00DB7A3B" w:rsidP="004B307D">
      <w:pPr>
        <w:pStyle w:val="Heading4"/>
      </w:pPr>
      <w:r>
        <w:t xml:space="preserve"> </w:t>
      </w:r>
      <w:r w:rsidR="00BE1FA8">
        <w:t>Optional Fields</w:t>
      </w:r>
    </w:p>
    <w:p w14:paraId="3769E2DF" w14:textId="2C5BD690" w:rsidR="00BE1FA8" w:rsidRDefault="00BE1FA8" w:rsidP="00110919">
      <w:pPr>
        <w:jc w:val="both"/>
      </w:pPr>
      <w:r>
        <w:t>Where an octet field is optional (i.e., may or may not be present), it shall be shown as “0 or &lt;n&gt;”</w:t>
      </w:r>
      <w:r w:rsidR="00BA693C">
        <w:t>, or “variable”</w:t>
      </w:r>
      <w:r>
        <w:t xml:space="preserve"> in the “Octets:” entry.</w:t>
      </w:r>
    </w:p>
    <w:p w14:paraId="28167367" w14:textId="704FF54C" w:rsidR="00B35E1A" w:rsidRDefault="00B35E1A" w:rsidP="002E0D5D">
      <w:pPr>
        <w:pStyle w:val="Heading4"/>
      </w:pPr>
      <w:r>
        <w:t>Repeating Fields</w:t>
      </w:r>
    </w:p>
    <w:p w14:paraId="49115F0B" w14:textId="3E625985" w:rsidR="00020F54" w:rsidRDefault="00B35E1A" w:rsidP="00110919">
      <w:pPr>
        <w:jc w:val="both"/>
      </w:pPr>
      <w:r>
        <w:t>Repeating fields should be avoided in the frame</w:t>
      </w:r>
      <w:r w:rsidR="00EE040F">
        <w:t>/element/field</w:t>
      </w:r>
      <w:r>
        <w:t xml:space="preserve"> format figure. If a field need</w:t>
      </w:r>
      <w:r w:rsidR="00020F54">
        <w:t>s</w:t>
      </w:r>
      <w:r>
        <w:t xml:space="preserve"> </w:t>
      </w:r>
      <w:r w:rsidR="00440303">
        <w:t xml:space="preserve">to be </w:t>
      </w:r>
      <w:r>
        <w:t xml:space="preserve">repeated, </w:t>
      </w:r>
      <w:r w:rsidR="002E0D5D">
        <w:t xml:space="preserve">create a container field with “List” in the </w:t>
      </w:r>
      <w:r>
        <w:t>name</w:t>
      </w:r>
      <w:r w:rsidR="002E0D5D">
        <w:t>, e.g., Name List field</w:t>
      </w:r>
      <w:r>
        <w:t xml:space="preserve">. </w:t>
      </w:r>
    </w:p>
    <w:p w14:paraId="2A92CC16" w14:textId="77777777" w:rsidR="00020F54" w:rsidRDefault="00020F54" w:rsidP="00110919">
      <w:pPr>
        <w:jc w:val="both"/>
      </w:pPr>
    </w:p>
    <w:p w14:paraId="3AE64010" w14:textId="29C97559" w:rsidR="00440303" w:rsidRDefault="002E0D5D" w:rsidP="00110919">
      <w:pPr>
        <w:jc w:val="both"/>
      </w:pPr>
      <w:r>
        <w:t xml:space="preserve">Describe the list field as follows: </w:t>
      </w:r>
      <w:r w:rsidR="00020F54">
        <w:t xml:space="preserve">The </w:t>
      </w:r>
      <w:r>
        <w:t>Name</w:t>
      </w:r>
      <w:r w:rsidR="00020F54">
        <w:t xml:space="preserve"> List</w:t>
      </w:r>
      <w:r w:rsidR="00440303">
        <w:t xml:space="preserve"> field contains </w:t>
      </w:r>
      <w:r>
        <w:t>{</w:t>
      </w:r>
      <w:r w:rsidR="00440303">
        <w:t>one</w:t>
      </w:r>
      <w:r>
        <w:t>, zero}</w:t>
      </w:r>
      <w:r w:rsidR="00440303">
        <w:t xml:space="preserve"> or more </w:t>
      </w:r>
      <w:r>
        <w:t>Name</w:t>
      </w:r>
      <w:r w:rsidR="00440303">
        <w:t xml:space="preserve"> field</w:t>
      </w:r>
      <w:r w:rsidR="002E6B44">
        <w:t>s</w:t>
      </w:r>
      <w:r w:rsidR="00440303">
        <w:t xml:space="preserve">. </w:t>
      </w:r>
    </w:p>
    <w:p w14:paraId="7E0ADB13" w14:textId="71FA4FFC" w:rsidR="00440303" w:rsidRDefault="00440303" w:rsidP="00110919">
      <w:pPr>
        <w:jc w:val="both"/>
      </w:pPr>
    </w:p>
    <w:p w14:paraId="0F935F0E" w14:textId="17A5BA93" w:rsidR="00EE040F" w:rsidRDefault="00020F54" w:rsidP="00110919">
      <w:pPr>
        <w:jc w:val="both"/>
      </w:pPr>
      <w:r>
        <w:lastRenderedPageBreak/>
        <w:t>Two</w:t>
      </w:r>
      <w:r w:rsidR="00EE040F">
        <w:t xml:space="preserve"> example</w:t>
      </w:r>
      <w:r>
        <w:t>s</w:t>
      </w:r>
      <w:r w:rsidR="00EE040F">
        <w:t xml:space="preserve"> of the repeating field follow:</w:t>
      </w:r>
    </w:p>
    <w:p w14:paraId="7EBCE7E6" w14:textId="77777777" w:rsidR="00020F54" w:rsidRDefault="00020F54" w:rsidP="00110919">
      <w:pPr>
        <w:jc w:val="both"/>
      </w:pPr>
    </w:p>
    <w:p w14:paraId="178824A8" w14:textId="77777777" w:rsidR="00020F54" w:rsidRDefault="00020F54" w:rsidP="00EE040F"/>
    <w:p w14:paraId="5CF2F3E8" w14:textId="3475CA0E" w:rsidR="00020F54" w:rsidRDefault="00020F54" w:rsidP="00EE040F">
      <w:r>
        <w:rPr>
          <w:noProof/>
          <w:lang w:val="en-US" w:eastAsia="zh-CN"/>
        </w:rPr>
        <w:drawing>
          <wp:inline distT="0" distB="0" distL="0" distR="0" wp14:anchorId="25D54EC8" wp14:editId="033C2461">
            <wp:extent cx="4991533" cy="22099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1533" cy="2209992"/>
                    </a:xfrm>
                    <a:prstGeom prst="rect">
                      <a:avLst/>
                    </a:prstGeom>
                  </pic:spPr>
                </pic:pic>
              </a:graphicData>
            </a:graphic>
          </wp:inline>
        </w:drawing>
      </w:r>
    </w:p>
    <w:p w14:paraId="30195E56" w14:textId="3DA50440" w:rsidR="00020F54" w:rsidRDefault="00020F54" w:rsidP="00EE040F">
      <w:r>
        <w:rPr>
          <w:noProof/>
          <w:lang w:val="en-US" w:eastAsia="zh-CN"/>
        </w:rPr>
        <w:drawing>
          <wp:inline distT="0" distB="0" distL="0" distR="0" wp14:anchorId="7EA0ED8D" wp14:editId="7EC64669">
            <wp:extent cx="4976291" cy="283488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6291" cy="2834886"/>
                    </a:xfrm>
                    <a:prstGeom prst="rect">
                      <a:avLst/>
                    </a:prstGeom>
                  </pic:spPr>
                </pic:pic>
              </a:graphicData>
            </a:graphic>
          </wp:inline>
        </w:drawing>
      </w:r>
    </w:p>
    <w:p w14:paraId="65D03CB4" w14:textId="38620E09" w:rsidR="00EE040F" w:rsidRDefault="00EE040F" w:rsidP="00EE040F"/>
    <w:p w14:paraId="27BF5618" w14:textId="3293F14E" w:rsidR="00E23AD1" w:rsidRDefault="00E23AD1" w:rsidP="00E23AD1">
      <w:pPr>
        <w:pStyle w:val="Heading4"/>
      </w:pPr>
      <w:r>
        <w:t xml:space="preserve">Bit Position </w:t>
      </w:r>
    </w:p>
    <w:p w14:paraId="51348839" w14:textId="6564ABCB" w:rsidR="00E23AD1" w:rsidRDefault="00E23AD1" w:rsidP="00110919">
      <w:pPr>
        <w:jc w:val="both"/>
      </w:pPr>
      <w:r>
        <w:t xml:space="preserve">In </w:t>
      </w:r>
      <w:r w:rsidR="0006226E">
        <w:t>a</w:t>
      </w:r>
      <w:r>
        <w:t xml:space="preserve"> bit-aligned figure, the bit position should always start with B0. </w:t>
      </w:r>
    </w:p>
    <w:p w14:paraId="1261CDA2" w14:textId="77777777" w:rsidR="00E23AD1" w:rsidRDefault="00E23AD1" w:rsidP="00110919">
      <w:pPr>
        <w:jc w:val="both"/>
      </w:pPr>
    </w:p>
    <w:p w14:paraId="0C006781" w14:textId="1E5035F0" w:rsidR="00E23AD1" w:rsidRDefault="00E23AD1" w:rsidP="00110919">
      <w:pPr>
        <w:jc w:val="both"/>
      </w:pPr>
      <w:r>
        <w:t>For example, the bit position in the Sequence Number field format should start with B0</w:t>
      </w:r>
      <w:r w:rsidR="003A202A">
        <w:t xml:space="preserve">, </w:t>
      </w:r>
      <w:r>
        <w:t>although the Sequence Number field</w:t>
      </w:r>
      <w:r w:rsidR="003A202A">
        <w:t xml:space="preserve"> shown</w:t>
      </w:r>
      <w:r>
        <w:t xml:space="preserve"> in the Sequence Control field </w:t>
      </w:r>
      <w:r w:rsidR="003A202A">
        <w:t xml:space="preserve">format </w:t>
      </w:r>
      <w:r>
        <w:t xml:space="preserve">starts with B4. </w:t>
      </w:r>
    </w:p>
    <w:p w14:paraId="37B0EE90" w14:textId="19BCD791" w:rsidR="00E23AD1" w:rsidRDefault="00E23AD1" w:rsidP="00110919">
      <w:pPr>
        <w:jc w:val="both"/>
      </w:pPr>
    </w:p>
    <w:p w14:paraId="7CA69390" w14:textId="54559DD3" w:rsidR="00E23AD1" w:rsidRDefault="00E23AD1" w:rsidP="00EE040F">
      <w:r>
        <w:rPr>
          <w:noProof/>
          <w:lang w:val="en-US" w:eastAsia="zh-CN"/>
        </w:rPr>
        <w:drawing>
          <wp:inline distT="0" distB="0" distL="0" distR="0" wp14:anchorId="73948B01" wp14:editId="24A5A006">
            <wp:extent cx="5212532" cy="111261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2532" cy="1112616"/>
                    </a:xfrm>
                    <a:prstGeom prst="rect">
                      <a:avLst/>
                    </a:prstGeom>
                  </pic:spPr>
                </pic:pic>
              </a:graphicData>
            </a:graphic>
          </wp:inline>
        </w:drawing>
      </w:r>
    </w:p>
    <w:p w14:paraId="24C153FA" w14:textId="285CD266" w:rsidR="00E23AD1" w:rsidRDefault="00E23AD1" w:rsidP="00EE040F">
      <w:r>
        <w:t xml:space="preserve"> </w:t>
      </w:r>
    </w:p>
    <w:p w14:paraId="1F3C5C0C" w14:textId="5BB0ABDA" w:rsidR="00E23AD1" w:rsidRDefault="00E23AD1" w:rsidP="00EE040F">
      <w:r>
        <w:rPr>
          <w:noProof/>
          <w:lang w:val="en-US" w:eastAsia="zh-CN"/>
        </w:rPr>
        <w:lastRenderedPageBreak/>
        <w:drawing>
          <wp:inline distT="0" distB="0" distL="0" distR="0" wp14:anchorId="23BDBE43" wp14:editId="4138D1AD">
            <wp:extent cx="4572396" cy="1112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396" cy="1112616"/>
                    </a:xfrm>
                    <a:prstGeom prst="rect">
                      <a:avLst/>
                    </a:prstGeom>
                  </pic:spPr>
                </pic:pic>
              </a:graphicData>
            </a:graphic>
          </wp:inline>
        </w:drawing>
      </w:r>
    </w:p>
    <w:p w14:paraId="743149A5" w14:textId="77777777" w:rsidR="00BE1FA8" w:rsidRDefault="00BE1FA8" w:rsidP="00BE1FA8">
      <w:pPr>
        <w:pStyle w:val="Heading3"/>
      </w:pPr>
      <w:r>
        <w:t>Naming Frames</w:t>
      </w:r>
    </w:p>
    <w:p w14:paraId="21E32778" w14:textId="77777777" w:rsidR="00BE1FA8" w:rsidRDefault="00BE1FA8" w:rsidP="00110919">
      <w:pPr>
        <w:jc w:val="both"/>
      </w:pPr>
      <w:r>
        <w:t>A “formal” reference to a frame (i.e., that used in any normative statement) should follow the pattern “&lt;name of frame&gt; frame”, with the name Initial Caps and “frame” in lower caps.</w:t>
      </w:r>
    </w:p>
    <w:p w14:paraId="226DE90F" w14:textId="77777777" w:rsidR="00BE1FA8" w:rsidRDefault="00BE1FA8" w:rsidP="00110919">
      <w:pPr>
        <w:jc w:val="both"/>
      </w:pPr>
      <w:r>
        <w:t>So, “shall transmit an Association Request frame” is correct.   But the following are incorrect:</w:t>
      </w:r>
    </w:p>
    <w:p w14:paraId="6D929C58" w14:textId="77777777" w:rsidR="00BE1FA8" w:rsidRDefault="00BE1FA8" w:rsidP="00B36AEC">
      <w:pPr>
        <w:pStyle w:val="ListParagraph"/>
        <w:numPr>
          <w:ilvl w:val="0"/>
          <w:numId w:val="2"/>
        </w:numPr>
        <w:jc w:val="both"/>
      </w:pPr>
      <w:r>
        <w:t>shall transmit an Association Request</w:t>
      </w:r>
    </w:p>
    <w:p w14:paraId="2C84C924" w14:textId="77777777" w:rsidR="00BE1FA8" w:rsidRDefault="00BE1FA8" w:rsidP="00B36AEC">
      <w:pPr>
        <w:pStyle w:val="ListParagraph"/>
        <w:numPr>
          <w:ilvl w:val="0"/>
          <w:numId w:val="2"/>
        </w:numPr>
        <w:jc w:val="both"/>
      </w:pPr>
      <w:r>
        <w:t>… Association request frame</w:t>
      </w:r>
    </w:p>
    <w:p w14:paraId="7D253694" w14:textId="77777777" w:rsidR="00BE1FA8" w:rsidRDefault="00BE1FA8" w:rsidP="00B36AEC">
      <w:pPr>
        <w:pStyle w:val="ListParagraph"/>
        <w:numPr>
          <w:ilvl w:val="0"/>
          <w:numId w:val="2"/>
        </w:numPr>
        <w:jc w:val="both"/>
      </w:pPr>
      <w:r>
        <w:t>… Association Request Management frame</w:t>
      </w:r>
    </w:p>
    <w:p w14:paraId="17ABB711" w14:textId="77777777" w:rsidR="00BE1FA8" w:rsidRDefault="00BE1FA8" w:rsidP="00B36AEC">
      <w:pPr>
        <w:pStyle w:val="ListParagraph"/>
        <w:numPr>
          <w:ilvl w:val="0"/>
          <w:numId w:val="2"/>
        </w:numPr>
        <w:jc w:val="both"/>
      </w:pPr>
      <w:r>
        <w:t>shall transmit a Management frame of subtype Association Request</w:t>
      </w:r>
    </w:p>
    <w:p w14:paraId="319ABED9" w14:textId="77777777" w:rsidR="00BE1FA8" w:rsidRDefault="00BE1FA8" w:rsidP="00110919">
      <w:pPr>
        <w:jc w:val="both"/>
      </w:pPr>
    </w:p>
    <w:p w14:paraId="1898631A" w14:textId="6BEB3620" w:rsidR="00BE1FA8" w:rsidRDefault="00BE1FA8" w:rsidP="00110919">
      <w:pPr>
        <w:jc w:val="both"/>
      </w:pPr>
      <w:r>
        <w:t>Unless “request”, “response”, “Man</w:t>
      </w:r>
      <w:r w:rsidR="004B307D">
        <w:t>a</w:t>
      </w:r>
      <w:r>
        <w:t>gement”, “Data”, “Action” are part of the name of the frame, they should not be included.</w:t>
      </w:r>
    </w:p>
    <w:p w14:paraId="291E8EE0" w14:textId="77777777" w:rsidR="00BE1FA8" w:rsidRDefault="00BE1FA8" w:rsidP="00110919">
      <w:pPr>
        <w:jc w:val="both"/>
      </w:pPr>
      <w:r>
        <w:t>Note, the following correct uses:</w:t>
      </w:r>
    </w:p>
    <w:p w14:paraId="145BE438" w14:textId="77777777" w:rsidR="00BE1FA8" w:rsidRDefault="00BE1FA8" w:rsidP="00B36AEC">
      <w:pPr>
        <w:pStyle w:val="ListParagraph"/>
        <w:numPr>
          <w:ilvl w:val="0"/>
          <w:numId w:val="18"/>
        </w:numPr>
        <w:jc w:val="both"/>
      </w:pPr>
      <w:r>
        <w:t xml:space="preserve">a Management </w:t>
      </w:r>
      <w:proofErr w:type="gramStart"/>
      <w:r>
        <w:t>frame</w:t>
      </w:r>
      <w:proofErr w:type="gramEnd"/>
    </w:p>
    <w:p w14:paraId="244EFEB4" w14:textId="77777777" w:rsidR="00BE1FA8" w:rsidRDefault="00BE1FA8" w:rsidP="00B36AEC">
      <w:pPr>
        <w:pStyle w:val="ListParagraph"/>
        <w:numPr>
          <w:ilvl w:val="0"/>
          <w:numId w:val="18"/>
        </w:numPr>
        <w:jc w:val="both"/>
      </w:pPr>
      <w:r>
        <w:t xml:space="preserve">a Data </w:t>
      </w:r>
      <w:proofErr w:type="gramStart"/>
      <w:r>
        <w:t>frame</w:t>
      </w:r>
      <w:proofErr w:type="gramEnd"/>
    </w:p>
    <w:p w14:paraId="058E0860" w14:textId="77777777" w:rsidR="00BE1FA8" w:rsidRDefault="00BE1FA8" w:rsidP="00B36AEC">
      <w:pPr>
        <w:pStyle w:val="ListParagraph"/>
        <w:numPr>
          <w:ilvl w:val="0"/>
          <w:numId w:val="18"/>
        </w:numPr>
        <w:jc w:val="both"/>
      </w:pPr>
      <w:r>
        <w:t xml:space="preserve">a Control </w:t>
      </w:r>
      <w:proofErr w:type="gramStart"/>
      <w:r>
        <w:t>frame</w:t>
      </w:r>
      <w:proofErr w:type="gramEnd"/>
    </w:p>
    <w:p w14:paraId="34E3FB34" w14:textId="77777777" w:rsidR="00BE1FA8" w:rsidRDefault="00BE1FA8" w:rsidP="00B36AEC">
      <w:pPr>
        <w:pStyle w:val="ListParagraph"/>
        <w:numPr>
          <w:ilvl w:val="0"/>
          <w:numId w:val="18"/>
        </w:numPr>
        <w:jc w:val="both"/>
      </w:pPr>
      <w:r>
        <w:t xml:space="preserve">an Extension </w:t>
      </w:r>
      <w:proofErr w:type="gramStart"/>
      <w:r>
        <w:t>frame</w:t>
      </w:r>
      <w:proofErr w:type="gramEnd"/>
    </w:p>
    <w:p w14:paraId="2928D9CD" w14:textId="77777777" w:rsidR="00BE1FA8" w:rsidRPr="003A1404" w:rsidRDefault="00BE1FA8" w:rsidP="00B36AEC">
      <w:pPr>
        <w:pStyle w:val="ListParagraph"/>
        <w:numPr>
          <w:ilvl w:val="0"/>
          <w:numId w:val="18"/>
        </w:numPr>
        <w:jc w:val="both"/>
      </w:pPr>
      <w:r>
        <w:t xml:space="preserve">an Action </w:t>
      </w:r>
      <w:proofErr w:type="gramStart"/>
      <w:r>
        <w:t>frame</w:t>
      </w:r>
      <w:proofErr w:type="gramEnd"/>
    </w:p>
    <w:p w14:paraId="1F385422" w14:textId="77777777" w:rsidR="008E15A6" w:rsidRDefault="008E15A6" w:rsidP="00110919">
      <w:pPr>
        <w:jc w:val="both"/>
      </w:pPr>
    </w:p>
    <w:p w14:paraId="72071DB7" w14:textId="7C2B2561" w:rsidR="00DB7A3B" w:rsidRDefault="00BA693C" w:rsidP="00110919">
      <w:pPr>
        <w:jc w:val="both"/>
      </w:pPr>
      <w:r>
        <w:t xml:space="preserve">Note that </w:t>
      </w:r>
      <w:r w:rsidR="00AE70FC">
        <w:t xml:space="preserve">the full name of the frame shall always </w:t>
      </w:r>
      <w:r>
        <w:t xml:space="preserve">be </w:t>
      </w:r>
      <w:r w:rsidR="00AE70FC">
        <w:t>used</w:t>
      </w:r>
      <w:r>
        <w:t>.  So “An ADDBA frame”</w:t>
      </w:r>
      <w:r w:rsidR="00AE70FC">
        <w:t xml:space="preserve"> is </w:t>
      </w:r>
      <w:proofErr w:type="gramStart"/>
      <w:r w:rsidR="00AE70FC">
        <w:t>incorrect,</w:t>
      </w:r>
      <w:r>
        <w:t xml:space="preserve"> because</w:t>
      </w:r>
      <w:proofErr w:type="gramEnd"/>
      <w:r>
        <w:t xml:space="preserve"> the actual names of the frames are ADDBA Request and ADDBA Response.  If you need to indicate both types of </w:t>
      </w:r>
      <w:proofErr w:type="gramStart"/>
      <w:r>
        <w:t>frame</w:t>
      </w:r>
      <w:proofErr w:type="gramEnd"/>
      <w:r>
        <w:t>, explicitly cite both frames.</w:t>
      </w:r>
    </w:p>
    <w:p w14:paraId="4F005AD7" w14:textId="77777777" w:rsidR="005476DD" w:rsidRDefault="005476DD" w:rsidP="001762F3">
      <w:pPr>
        <w:pStyle w:val="Heading2"/>
      </w:pPr>
      <w:r>
        <w:t>Case of true/false</w:t>
      </w:r>
    </w:p>
    <w:p w14:paraId="1D9D8C42" w14:textId="77777777" w:rsidR="005476DD" w:rsidRDefault="005476DD" w:rsidP="00110919">
      <w:pPr>
        <w:jc w:val="both"/>
      </w:pPr>
      <w:r>
        <w:t xml:space="preserve">All “true” and “false” should be lower case, except where they </w:t>
      </w:r>
      <w:r w:rsidR="002B577F">
        <w:t>are part of pseudo-code or code.</w:t>
      </w:r>
    </w:p>
    <w:p w14:paraId="401A788C" w14:textId="77777777" w:rsidR="002B577F" w:rsidRDefault="007C0203" w:rsidP="00110919">
      <w:pPr>
        <w:jc w:val="both"/>
      </w:pPr>
      <w:r>
        <w:t>Note that</w:t>
      </w:r>
      <w:r w:rsidR="002B577F">
        <w:t xml:space="preserve"> MIB variables take “true” and “false” even in pseudo-code.</w:t>
      </w:r>
    </w:p>
    <w:p w14:paraId="528F7204" w14:textId="1E45EA7C" w:rsidR="005476DD" w:rsidRDefault="003441F2" w:rsidP="00110919">
      <w:pPr>
        <w:jc w:val="both"/>
      </w:pPr>
      <w:r>
        <w:t xml:space="preserve">Note that the </w:t>
      </w:r>
      <w:proofErr w:type="spellStart"/>
      <w:r>
        <w:t>REVmc</w:t>
      </w:r>
      <w:proofErr w:type="spellEnd"/>
      <w:r>
        <w:t xml:space="preserve"> D3.0 MDR determines that the 802.1X state machine description can use “true” and “false” as 802.1X is itself inconsistent about whether its state machine variables are upper or lower case.</w:t>
      </w:r>
    </w:p>
    <w:p w14:paraId="6415F784" w14:textId="77777777" w:rsidR="005476DD" w:rsidRDefault="005476DD" w:rsidP="001762F3">
      <w:pPr>
        <w:pStyle w:val="Heading2"/>
      </w:pPr>
      <w:r>
        <w:t>“Is set to”</w:t>
      </w:r>
    </w:p>
    <w:p w14:paraId="39C56AA8" w14:textId="77777777" w:rsidR="005476DD" w:rsidRDefault="005476DD" w:rsidP="00110919">
      <w:pPr>
        <w:jc w:val="both"/>
      </w:pPr>
      <w:r>
        <w:t>The verb “set” should only be used when describing how a field obtains a value, e.g. “</w:t>
      </w:r>
      <w:r w:rsidRPr="005476DD">
        <w:t>The Measurement Duration field is set to the preferred or mandatory duration of the requested measurement,</w:t>
      </w:r>
      <w:r>
        <w:t xml:space="preserve"> </w:t>
      </w:r>
      <w:r w:rsidRPr="005476DD">
        <w:t>ex</w:t>
      </w:r>
      <w:r>
        <w:t>pressed in units of TUs.”</w:t>
      </w:r>
    </w:p>
    <w:p w14:paraId="6599717E" w14:textId="77777777" w:rsidR="005476DD" w:rsidRDefault="005476DD" w:rsidP="00110919">
      <w:pPr>
        <w:jc w:val="both"/>
      </w:pPr>
      <w:r>
        <w:t xml:space="preserve">Where the </w:t>
      </w:r>
      <w:r w:rsidR="00691AD3">
        <w:t>value of the field is read</w:t>
      </w:r>
      <w:r>
        <w:t xml:space="preserve"> or referenced, (e.g., in the context of a condition), “is set to” shall not be used</w:t>
      </w:r>
      <w:r w:rsidR="00691AD3">
        <w:t>.</w:t>
      </w:r>
    </w:p>
    <w:p w14:paraId="48FD3D9C" w14:textId="77777777" w:rsidR="005B4009" w:rsidRDefault="005B4009" w:rsidP="00110919">
      <w:pPr>
        <w:jc w:val="both"/>
      </w:pPr>
    </w:p>
    <w:p w14:paraId="4AA3CD08" w14:textId="6962BA06" w:rsidR="005476DD" w:rsidRDefault="005B4009" w:rsidP="00110919">
      <w:pPr>
        <w:jc w:val="both"/>
      </w:pPr>
      <w:r>
        <w:t xml:space="preserve">Note that when a field value is tested in order to construct another field </w:t>
      </w:r>
      <w:proofErr w:type="gramStart"/>
      <w:r>
        <w:t xml:space="preserve">value,   </w:t>
      </w:r>
      <w:proofErr w:type="gramEnd"/>
      <w:r>
        <w:t>“e</w:t>
      </w:r>
      <w:r w:rsidR="00110919">
        <w:t xml:space="preserve">qual to” is used for the test, </w:t>
      </w:r>
      <w:r>
        <w:t xml:space="preserve">and “set to” for the constructed field.  “If </w:t>
      </w:r>
      <w:r w:rsidR="00110919">
        <w:t>the &lt;</w:t>
      </w:r>
      <w:proofErr w:type="spellStart"/>
      <w:r w:rsidR="00110919">
        <w:t>xyz</w:t>
      </w:r>
      <w:proofErr w:type="spellEnd"/>
      <w:r w:rsidR="00110919">
        <w:t xml:space="preserve">&gt; field is equal to 0, </w:t>
      </w:r>
      <w:r>
        <w:t>the &lt;</w:t>
      </w:r>
      <w:proofErr w:type="spellStart"/>
      <w:r>
        <w:t>abc</w:t>
      </w:r>
      <w:proofErr w:type="spellEnd"/>
      <w:r>
        <w:t>&gt; field shall be set to 1.”</w:t>
      </w:r>
    </w:p>
    <w:p w14:paraId="08FD9915" w14:textId="752C0A66" w:rsidR="005476DD" w:rsidRDefault="001762F3" w:rsidP="001762F3">
      <w:pPr>
        <w:pStyle w:val="Heading2"/>
      </w:pPr>
      <w:r>
        <w:t xml:space="preserve">Information </w:t>
      </w:r>
      <w:r w:rsidR="00691AD3">
        <w:t>Elements</w:t>
      </w:r>
      <w:r w:rsidR="004B307D">
        <w:t>/</w:t>
      </w:r>
      <w:proofErr w:type="spellStart"/>
      <w:r w:rsidR="004B307D">
        <w:t>Subelements</w:t>
      </w:r>
      <w:proofErr w:type="spellEnd"/>
    </w:p>
    <w:p w14:paraId="636BA88B" w14:textId="057BF65B" w:rsidR="004B307D" w:rsidRDefault="004B307D" w:rsidP="00110919">
      <w:pPr>
        <w:jc w:val="both"/>
      </w:pPr>
      <w:r>
        <w:t>Note that statements in this section also apply (with appropriate adjustment t</w:t>
      </w:r>
      <w:r w:rsidR="003430D2">
        <w:t xml:space="preserve">o wording and reference) to </w:t>
      </w:r>
      <w:proofErr w:type="spellStart"/>
      <w:r w:rsidR="003430D2">
        <w:t>sub</w:t>
      </w:r>
      <w:r>
        <w:t>elements</w:t>
      </w:r>
      <w:proofErr w:type="spellEnd"/>
      <w:r>
        <w:t>.</w:t>
      </w:r>
    </w:p>
    <w:p w14:paraId="38184AA1" w14:textId="77777777" w:rsidR="002922A0" w:rsidRDefault="002922A0" w:rsidP="004B307D">
      <w:pPr>
        <w:pStyle w:val="Heading3"/>
      </w:pPr>
      <w:r>
        <w:lastRenderedPageBreak/>
        <w:t>Naming</w:t>
      </w:r>
    </w:p>
    <w:p w14:paraId="16F3E4A6" w14:textId="31845A9C" w:rsidR="00691AD3" w:rsidRDefault="00691AD3" w:rsidP="00110919">
      <w:pPr>
        <w:jc w:val="both"/>
      </w:pPr>
      <w:r>
        <w:t>Elements should be called the “&lt;Purpose&gt; element”</w:t>
      </w:r>
      <w:r w:rsidR="00E87A6A">
        <w:t>, where</w:t>
      </w:r>
      <w:r>
        <w:t xml:space="preserve"> &lt;Purpose&gt; does not include the word “information” (e.g.</w:t>
      </w:r>
      <w:r w:rsidR="00D82AB4">
        <w:t>,</w:t>
      </w:r>
      <w:r>
        <w:t xml:space="preserve"> the “QoS Capability element”).    References to the structure from the text should include the word “element” at the end.   </w:t>
      </w:r>
    </w:p>
    <w:p w14:paraId="259765D6" w14:textId="77777777" w:rsidR="00691AD3" w:rsidRDefault="00691AD3" w:rsidP="00110919">
      <w:pPr>
        <w:jc w:val="both"/>
      </w:pPr>
    </w:p>
    <w:p w14:paraId="3C2A78B1" w14:textId="1259CDDC" w:rsidR="00691AD3" w:rsidRDefault="00691AD3" w:rsidP="00110919">
      <w:pPr>
        <w:jc w:val="both"/>
      </w:pPr>
      <w:r>
        <w:t>The phrase “information element” shall not appear</w:t>
      </w:r>
      <w:r w:rsidR="00AE70FC">
        <w:t>.</w:t>
      </w:r>
    </w:p>
    <w:p w14:paraId="4464EFBF" w14:textId="77777777" w:rsidR="002B577F" w:rsidRDefault="002B577F" w:rsidP="00110919">
      <w:pPr>
        <w:jc w:val="both"/>
      </w:pPr>
    </w:p>
    <w:p w14:paraId="2C5BA163" w14:textId="136A41A1" w:rsidR="002922A0" w:rsidRDefault="002B577F" w:rsidP="00110919">
      <w:pPr>
        <w:jc w:val="both"/>
      </w:pPr>
      <w:r>
        <w:t>The same convention exists for “</w:t>
      </w:r>
      <w:proofErr w:type="spellStart"/>
      <w:r>
        <w:t>subelements</w:t>
      </w:r>
      <w:proofErr w:type="spellEnd"/>
      <w:r>
        <w:t>”.</w:t>
      </w:r>
    </w:p>
    <w:p w14:paraId="524B1DAB" w14:textId="77777777" w:rsidR="002922A0" w:rsidRDefault="002922A0" w:rsidP="004B307D">
      <w:pPr>
        <w:pStyle w:val="Heading3"/>
      </w:pPr>
      <w:r>
        <w:t>Definition Conventions</w:t>
      </w:r>
    </w:p>
    <w:p w14:paraId="26BE06A2" w14:textId="09D3D8BC" w:rsidR="002922A0" w:rsidRDefault="002922A0" w:rsidP="00110919">
      <w:pPr>
        <w:jc w:val="both"/>
      </w:pPr>
      <w:r>
        <w:t>The structure of an element is defined to include an Element ID and Length field, common to all elements.  Different groups found increasingly bizarre and tortuous ways of repeating this information per</w:t>
      </w:r>
      <w:r w:rsidR="00142C2B">
        <w:t xml:space="preserve">-element, </w:t>
      </w:r>
      <w:r>
        <w:t>such as:</w:t>
      </w:r>
    </w:p>
    <w:p w14:paraId="631142B3" w14:textId="77777777" w:rsidR="002922A0" w:rsidRDefault="002922A0" w:rsidP="00B36AEC">
      <w:pPr>
        <w:pStyle w:val="ListParagraph"/>
        <w:numPr>
          <w:ilvl w:val="0"/>
          <w:numId w:val="19"/>
        </w:numPr>
        <w:jc w:val="both"/>
      </w:pPr>
      <w:r>
        <w:t>The value of the Element ID field is set to the value of the value column from the row from Table 8-26 whose name matches “</w:t>
      </w:r>
      <w:proofErr w:type="spellStart"/>
      <w:r>
        <w:t>xyz</w:t>
      </w:r>
      <w:proofErr w:type="spellEnd"/>
      <w:r>
        <w:t>”.</w:t>
      </w:r>
    </w:p>
    <w:p w14:paraId="2838C2AB" w14:textId="77777777" w:rsidR="002922A0" w:rsidRDefault="002922A0" w:rsidP="00110919">
      <w:pPr>
        <w:jc w:val="both"/>
      </w:pPr>
    </w:p>
    <w:p w14:paraId="2490D458" w14:textId="77777777" w:rsidR="002922A0" w:rsidRDefault="002922A0" w:rsidP="00110919">
      <w:pPr>
        <w:jc w:val="both"/>
      </w:pPr>
      <w:r>
        <w:t>There is no need to specify any value for the Element ID field.</w:t>
      </w:r>
    </w:p>
    <w:p w14:paraId="632EEC9D" w14:textId="77777777" w:rsidR="002922A0" w:rsidRDefault="002922A0" w:rsidP="00110919">
      <w:pPr>
        <w:jc w:val="both"/>
      </w:pPr>
    </w:p>
    <w:p w14:paraId="1A38292A" w14:textId="77777777" w:rsidR="002922A0" w:rsidRDefault="002922A0" w:rsidP="00110919">
      <w:pPr>
        <w:jc w:val="both"/>
      </w:pPr>
      <w:r>
        <w:t xml:space="preserve">There is no need to specify any value for the Length </w:t>
      </w:r>
      <w:proofErr w:type="gramStart"/>
      <w:r>
        <w:t>f</w:t>
      </w:r>
      <w:r w:rsidR="00B36719">
        <w:t xml:space="preserve">ield, </w:t>
      </w:r>
      <w:r>
        <w:t>unless</w:t>
      </w:r>
      <w:proofErr w:type="gramEnd"/>
      <w:r>
        <w:t xml:space="preserve"> it is necessary to convey semantics over and above that stated for the generic format.  An example might be if the value of the Length field is always a prime number less the phase of the moon.</w:t>
      </w:r>
    </w:p>
    <w:p w14:paraId="778FF9D6" w14:textId="77777777" w:rsidR="00B36719" w:rsidRDefault="00B36719" w:rsidP="00110919">
      <w:pPr>
        <w:jc w:val="both"/>
      </w:pPr>
    </w:p>
    <w:p w14:paraId="2FBB43A8" w14:textId="4251BBFF" w:rsidR="00E87A6A" w:rsidRDefault="00B36719" w:rsidP="00110919">
      <w:pPr>
        <w:jc w:val="both"/>
      </w:pPr>
      <w:r>
        <w:t>The following statement</w:t>
      </w:r>
      <w:proofErr w:type="gramStart"/>
      <w:r>
        <w:t>:  “</w:t>
      </w:r>
      <w:proofErr w:type="gramEnd"/>
      <w:r w:rsidRPr="00A124BD">
        <w:rPr>
          <w:rFonts w:ascii="Arial" w:hAnsi="Arial" w:cs="Arial"/>
          <w:color w:val="000000"/>
          <w:sz w:val="20"/>
          <w:lang w:eastAsia="en-GB"/>
        </w:rPr>
        <w:t>The Element ID and Length fields are defined in 8.4.2.1 (General).</w:t>
      </w:r>
      <w:r>
        <w:t>” just after the element figure might be helpful to readers, and might for</w:t>
      </w:r>
      <w:r w:rsidR="004B307D">
        <w:t>e</w:t>
      </w:r>
      <w:r>
        <w:t>stall ill-advised letter ballot comments “the Length field needs a definition”.</w:t>
      </w:r>
    </w:p>
    <w:p w14:paraId="6822F676" w14:textId="5CC49CAB" w:rsidR="00F0145C" w:rsidRDefault="00CD709D" w:rsidP="00F0145C">
      <w:pPr>
        <w:pStyle w:val="Heading3"/>
      </w:pPr>
      <w:r>
        <w:t>Element Inclusion</w:t>
      </w:r>
      <w:r w:rsidR="00F0145C">
        <w:t xml:space="preserve"> Conventions</w:t>
      </w:r>
    </w:p>
    <w:p w14:paraId="5E302151" w14:textId="77777777" w:rsidR="00F0145C" w:rsidRDefault="00F0145C" w:rsidP="00110919">
      <w:pPr>
        <w:jc w:val="both"/>
        <w:rPr>
          <w:lang w:val="en-US"/>
        </w:rPr>
      </w:pPr>
      <w:r>
        <w:t xml:space="preserve">When defining a new element, </w:t>
      </w:r>
      <w:proofErr w:type="gramStart"/>
      <w:r>
        <w:t>as a general rule</w:t>
      </w:r>
      <w:proofErr w:type="gramEnd"/>
      <w:r>
        <w:t>,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p w14:paraId="777B1AC8" w14:textId="7DBB3A7D" w:rsidR="00F0145C" w:rsidRDefault="00F0145C" w:rsidP="00110919">
      <w:pPr>
        <w:jc w:val="both"/>
      </w:pPr>
    </w:p>
    <w:p w14:paraId="48BF5C3F" w14:textId="06CDBF8F" w:rsidR="00F0145C" w:rsidRDefault="005462D3" w:rsidP="00110919">
      <w:pPr>
        <w:jc w:val="both"/>
        <w:rPr>
          <w:szCs w:val="22"/>
        </w:rPr>
      </w:pPr>
      <w:r>
        <w:rPr>
          <w:szCs w:val="22"/>
        </w:rPr>
        <w:t>E</w:t>
      </w:r>
      <w:r w:rsidR="00F0145C" w:rsidRPr="00CD709D">
        <w:rPr>
          <w:szCs w:val="22"/>
        </w:rPr>
        <w:t>xample</w:t>
      </w:r>
      <w:r>
        <w:rPr>
          <w:szCs w:val="22"/>
        </w:rPr>
        <w:t xml:space="preserve">s from </w:t>
      </w:r>
      <w:proofErr w:type="spellStart"/>
      <w:r>
        <w:rPr>
          <w:szCs w:val="22"/>
        </w:rPr>
        <w:t>REVmd</w:t>
      </w:r>
      <w:proofErr w:type="spellEnd"/>
      <w:r>
        <w:rPr>
          <w:szCs w:val="22"/>
        </w:rPr>
        <w:t xml:space="preserve"> draft 2.4</w:t>
      </w:r>
    </w:p>
    <w:p w14:paraId="17414AAD" w14:textId="44364A53" w:rsidR="008741F6" w:rsidRPr="00CD709D" w:rsidRDefault="008741F6" w:rsidP="00110919">
      <w:pPr>
        <w:jc w:val="both"/>
        <w:rPr>
          <w:szCs w:val="22"/>
        </w:rPr>
      </w:pPr>
    </w:p>
    <w:p w14:paraId="7042C4CF" w14:textId="381D8C15" w:rsidR="00F0145C" w:rsidRDefault="005462D3" w:rsidP="00110919">
      <w:pPr>
        <w:jc w:val="both"/>
      </w:pPr>
      <w:r>
        <w:t xml:space="preserve">Good </w:t>
      </w:r>
      <w:proofErr w:type="gramStart"/>
      <w:r>
        <w:t>style;</w:t>
      </w:r>
      <w:proofErr w:type="gramEnd"/>
      <w:r>
        <w:t xml:space="preserve"> no mention of frames that can carry the element.</w:t>
      </w:r>
    </w:p>
    <w:p w14:paraId="6093C13E" w14:textId="77777777" w:rsidR="005462D3" w:rsidRPr="00CD709D" w:rsidRDefault="005462D3" w:rsidP="00F0145C">
      <w:pPr>
        <w:rPr>
          <w:szCs w:val="22"/>
        </w:rPr>
      </w:pPr>
    </w:p>
    <w:p w14:paraId="4C8536EE" w14:textId="77777777" w:rsidR="00F0145C" w:rsidRPr="008741F6" w:rsidRDefault="00F0145C">
      <w:pPr>
        <w:pStyle w:val="p1"/>
        <w:ind w:left="720"/>
        <w:rPr>
          <w:rFonts w:ascii="Times New Roman" w:hAnsi="Times New Roman"/>
          <w:b/>
          <w:sz w:val="22"/>
          <w:szCs w:val="22"/>
        </w:rPr>
      </w:pPr>
      <w:r w:rsidRPr="008741F6">
        <w:rPr>
          <w:rFonts w:ascii="Times New Roman" w:hAnsi="Times New Roman"/>
          <w:b/>
          <w:bCs/>
          <w:sz w:val="22"/>
          <w:szCs w:val="22"/>
        </w:rPr>
        <w:t>9.4.2.161 Transmit Power Envelope element</w:t>
      </w:r>
    </w:p>
    <w:p w14:paraId="2D991A82"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Transmit Power Envelope element conveys the local maximum transmit power for various transmission bandwidths. The format of the Transmit Power Envelope element is shown in Figure 9-614 (Transmit Power Envelope element format).</w:t>
      </w:r>
    </w:p>
    <w:p w14:paraId="659AC318" w14:textId="3778E0AA" w:rsidR="00F0145C" w:rsidRDefault="00F0145C" w:rsidP="00F0145C"/>
    <w:p w14:paraId="676D7A04" w14:textId="5D98CF3A" w:rsidR="00F0145C" w:rsidRDefault="005462D3" w:rsidP="00110919">
      <w:pPr>
        <w:jc w:val="both"/>
      </w:pPr>
      <w:r w:rsidRPr="00CD709D">
        <w:t>Bad style; redundant and potentially inconsistent information. Listing Wide Bandwidth Channel Switch element in each of the frames mentioned in the paragraph is suffi</w:t>
      </w:r>
      <w:r>
        <w:t>cient.</w:t>
      </w:r>
    </w:p>
    <w:p w14:paraId="4A52BAFD" w14:textId="77777777" w:rsidR="005462D3" w:rsidRPr="008741F6" w:rsidRDefault="005462D3" w:rsidP="005462D3"/>
    <w:p w14:paraId="7D1C1404" w14:textId="77777777" w:rsidR="00F0145C" w:rsidRPr="008741F6" w:rsidRDefault="00F0145C">
      <w:pPr>
        <w:pStyle w:val="p1"/>
        <w:ind w:left="720"/>
        <w:rPr>
          <w:rFonts w:ascii="Times New Roman" w:hAnsi="Times New Roman"/>
          <w:sz w:val="22"/>
          <w:szCs w:val="22"/>
        </w:rPr>
      </w:pPr>
      <w:r w:rsidRPr="008741F6">
        <w:rPr>
          <w:rFonts w:ascii="Times New Roman" w:hAnsi="Times New Roman"/>
          <w:b/>
          <w:bCs/>
          <w:sz w:val="22"/>
          <w:szCs w:val="22"/>
        </w:rPr>
        <w:t>9.4.2.160 Wide Bandwidth Channel Switch element</w:t>
      </w:r>
    </w:p>
    <w:p w14:paraId="3938E1DA"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Wide Bandwidth Channel Switch element is included in Channel Switch Announcement frames, as described in 9.6.2.6 (Channel Switch Announcement frame format), Extended Channel Switch Announcement frames, as described in 9.6.7.7 (Extended Channel Switch Announcement frame format), and TDLS Channel Switch Request frames, as described in 9.6.12.7 (TDLS Channel Switch Request Action field format).</w:t>
      </w:r>
    </w:p>
    <w:p w14:paraId="563D4089" w14:textId="2B6C164E" w:rsidR="00F0145C" w:rsidRPr="00CD709D" w:rsidRDefault="00F0145C" w:rsidP="00F0145C">
      <w:pPr>
        <w:rPr>
          <w:szCs w:val="22"/>
        </w:rPr>
      </w:pPr>
    </w:p>
    <w:p w14:paraId="3E1F4A8A" w14:textId="77777777" w:rsidR="00E87A6A" w:rsidRDefault="00E87A6A" w:rsidP="00110919">
      <w:pPr>
        <w:pStyle w:val="Heading2"/>
        <w:jc w:val="both"/>
      </w:pPr>
      <w:r>
        <w:lastRenderedPageBreak/>
        <w:t>Removal of functions and features</w:t>
      </w:r>
    </w:p>
    <w:p w14:paraId="517B670D" w14:textId="77777777" w:rsidR="00E87A6A" w:rsidRDefault="00E87A6A" w:rsidP="00110919">
      <w:pPr>
        <w:jc w:val="both"/>
      </w:pPr>
      <w:r>
        <w:t xml:space="preserve">Functions and features described in the </w:t>
      </w:r>
      <w:r w:rsidR="00390776">
        <w:t xml:space="preserve">published </w:t>
      </w:r>
      <w:r>
        <w:t>802.11 standard shall not be removed unless t</w:t>
      </w:r>
      <w:r w:rsidR="00D26733">
        <w:t>hey have been marked “obsolete</w:t>
      </w:r>
      <w:r>
        <w:t xml:space="preserve"> and subject to removal in a subsequent revision of this standard.”</w:t>
      </w:r>
      <w:r w:rsidR="007C0203">
        <w:t xml:space="preserve"> in a previous revision.</w:t>
      </w:r>
    </w:p>
    <w:p w14:paraId="657617FE" w14:textId="77777777" w:rsidR="00AE70FC" w:rsidRDefault="00AE70FC" w:rsidP="00110919">
      <w:pPr>
        <w:jc w:val="both"/>
      </w:pPr>
    </w:p>
    <w:p w14:paraId="7E836AF3" w14:textId="7966DA23" w:rsidR="00AE70FC" w:rsidRDefault="00AE70FC" w:rsidP="00110919">
      <w:pPr>
        <w:jc w:val="both"/>
      </w:pPr>
      <w:r>
        <w:t>Functions and featu</w:t>
      </w:r>
      <w:r w:rsidR="00D82AB4">
        <w:t>res might also be “deprecated”,</w:t>
      </w:r>
      <w:r>
        <w:t xml:space="preserve"> such as “The use of the dual CTS mechanism is deprecated.”</w:t>
      </w:r>
    </w:p>
    <w:p w14:paraId="7AC1C905" w14:textId="77777777" w:rsidR="00AE70FC" w:rsidRDefault="00AE70FC" w:rsidP="00110919">
      <w:pPr>
        <w:jc w:val="both"/>
      </w:pPr>
    </w:p>
    <w:p w14:paraId="062D2C2D" w14:textId="37C47E81" w:rsidR="00522458" w:rsidRDefault="00AE70FC" w:rsidP="00110919">
      <w:pPr>
        <w:jc w:val="both"/>
      </w:pPr>
      <w:r>
        <w:t xml:space="preserve">These terms have slightly different functions.    “Obsolete” is used as a route to remove unused and useless mechanisms.   “Deprecated” is used as a method to indicate that implementations should stop using a </w:t>
      </w:r>
      <w:proofErr w:type="gramStart"/>
      <w:r>
        <w:t>feature, but</w:t>
      </w:r>
      <w:proofErr w:type="gramEnd"/>
      <w:r>
        <w:t xml:space="preserve"> acknowledges that the feature has been used and might still be used by existing implementations, and does not imply a feature’s future removal from the standard.</w:t>
      </w:r>
    </w:p>
    <w:p w14:paraId="0E0474A5" w14:textId="77777777" w:rsidR="00522458" w:rsidRDefault="00522458" w:rsidP="00522458">
      <w:pPr>
        <w:pStyle w:val="Heading2"/>
      </w:pPr>
      <w:r>
        <w:t>Capitalization</w:t>
      </w:r>
    </w:p>
    <w:p w14:paraId="5BFB9D8E" w14:textId="61EED564" w:rsidR="00522458" w:rsidRDefault="00522458" w:rsidP="00110919">
      <w:pPr>
        <w:jc w:val="both"/>
      </w:pPr>
      <w:r>
        <w:t>Capital letters are often over-used.</w:t>
      </w:r>
      <w:r w:rsidR="00447976">
        <w:t xml:space="preserve">  </w:t>
      </w:r>
      <w:proofErr w:type="gramStart"/>
      <w:r w:rsidR="00447976">
        <w:t>In particular, some</w:t>
      </w:r>
      <w:proofErr w:type="gramEnd"/>
      <w:r w:rsidR="00447976">
        <w:t xml:space="preserve"> groups seem to think that every concept they create (especially the Really Important Ones) deserves cap</w:t>
      </w:r>
      <w:r w:rsidR="00D82AB4">
        <w:t xml:space="preserve">itals.   This Is Not </w:t>
      </w:r>
      <w:proofErr w:type="spellStart"/>
      <w:r w:rsidR="00D82AB4">
        <w:t>S</w:t>
      </w:r>
      <w:r w:rsidR="00447976">
        <w:t>o.</w:t>
      </w:r>
      <w:proofErr w:type="spellEnd"/>
      <w:r w:rsidR="00447976">
        <w:t xml:space="preserve">  Initial caps are used as described below.</w:t>
      </w:r>
    </w:p>
    <w:p w14:paraId="5ED83297" w14:textId="77777777" w:rsidR="00522458" w:rsidRDefault="00522458" w:rsidP="00110919">
      <w:pPr>
        <w:jc w:val="both"/>
      </w:pPr>
    </w:p>
    <w:p w14:paraId="2719BB2D" w14:textId="77777777" w:rsidR="00522458" w:rsidRDefault="00522458" w:rsidP="00110919">
      <w:pPr>
        <w:jc w:val="both"/>
      </w:pPr>
      <w:r>
        <w:t>Capital letters should be reserved for:</w:t>
      </w:r>
    </w:p>
    <w:p w14:paraId="212E6B8A" w14:textId="77777777" w:rsidR="00F6798E" w:rsidRDefault="00F6798E" w:rsidP="00B36AEC">
      <w:pPr>
        <w:numPr>
          <w:ilvl w:val="0"/>
          <w:numId w:val="2"/>
        </w:numPr>
        <w:jc w:val="both"/>
      </w:pPr>
      <w:r>
        <w:t>Abbreviations</w:t>
      </w:r>
    </w:p>
    <w:p w14:paraId="0CE05DD6" w14:textId="77777777" w:rsidR="00F6798E" w:rsidRDefault="00F6798E" w:rsidP="00B36AEC">
      <w:pPr>
        <w:numPr>
          <w:ilvl w:val="0"/>
          <w:numId w:val="2"/>
        </w:numPr>
        <w:jc w:val="both"/>
      </w:pPr>
      <w:r>
        <w:t xml:space="preserve">Proper names of entities outside 802.11.  </w:t>
      </w:r>
      <w:proofErr w:type="gramStart"/>
      <w:r>
        <w:t>Generally</w:t>
      </w:r>
      <w:proofErr w:type="gramEnd"/>
      <w:r>
        <w:t xml:space="preserve"> follow whatever appears to be the prevailing custom.</w:t>
      </w:r>
    </w:p>
    <w:p w14:paraId="167C7FE9" w14:textId="227D46D4" w:rsidR="00522458" w:rsidRDefault="00522458" w:rsidP="00B36AEC">
      <w:pPr>
        <w:numPr>
          <w:ilvl w:val="0"/>
          <w:numId w:val="2"/>
        </w:numPr>
        <w:jc w:val="both"/>
      </w:pPr>
      <w:r>
        <w:t xml:space="preserve">Initial </w:t>
      </w:r>
      <w:r w:rsidR="00D82AB4">
        <w:t xml:space="preserve">first </w:t>
      </w:r>
      <w:r>
        <w:t>letter of headings</w:t>
      </w:r>
    </w:p>
    <w:p w14:paraId="4143C4B8" w14:textId="4514E68B" w:rsidR="00F6798E" w:rsidRDefault="00F6798E" w:rsidP="00B36AEC">
      <w:pPr>
        <w:numPr>
          <w:ilvl w:val="0"/>
          <w:numId w:val="2"/>
        </w:numPr>
        <w:jc w:val="both"/>
      </w:pPr>
      <w:r>
        <w:t>Initial letters of proper names</w:t>
      </w:r>
      <w:r w:rsidR="00D82AB4">
        <w:t>, which includes:</w:t>
      </w:r>
    </w:p>
    <w:p w14:paraId="5FDE8DB9" w14:textId="77777777" w:rsidR="00F6798E" w:rsidRDefault="00F6798E" w:rsidP="00B36AEC">
      <w:pPr>
        <w:numPr>
          <w:ilvl w:val="1"/>
          <w:numId w:val="2"/>
        </w:numPr>
        <w:jc w:val="both"/>
      </w:pPr>
      <w:r>
        <w:t>Frame names – e.g. the “Beacon frame</w:t>
      </w:r>
      <w:proofErr w:type="gramStart"/>
      <w:r>
        <w:t xml:space="preserve">”,   </w:t>
      </w:r>
      <w:proofErr w:type="gramEnd"/>
      <w:r>
        <w:t>but “transmits a beacon” where it is used to represent the concept of a beacon (no caps).</w:t>
      </w:r>
    </w:p>
    <w:p w14:paraId="77EFEBF6" w14:textId="6310442E" w:rsidR="00F6798E" w:rsidRDefault="00F6798E" w:rsidP="00B36AEC">
      <w:pPr>
        <w:numPr>
          <w:ilvl w:val="1"/>
          <w:numId w:val="2"/>
        </w:numPr>
        <w:jc w:val="both"/>
      </w:pPr>
      <w:r>
        <w:t xml:space="preserve">Element </w:t>
      </w:r>
      <w:r w:rsidR="0043776D">
        <w:t xml:space="preserve">&amp; </w:t>
      </w:r>
      <w:proofErr w:type="spellStart"/>
      <w:r w:rsidR="0043776D">
        <w:t>subelement</w:t>
      </w:r>
      <w:proofErr w:type="spellEnd"/>
      <w:r w:rsidR="0043776D">
        <w:t xml:space="preserve"> </w:t>
      </w:r>
      <w:r>
        <w:t>names – e.g. “the Capabil</w:t>
      </w:r>
      <w:r w:rsidR="00610673">
        <w:t>i</w:t>
      </w:r>
      <w:r>
        <w:t>ties element</w:t>
      </w:r>
      <w:proofErr w:type="gramStart"/>
      <w:r>
        <w:t>”,  but</w:t>
      </w:r>
      <w:proofErr w:type="gramEnd"/>
      <w:r>
        <w:t xml:space="preserve"> “the capabilities of the STA”</w:t>
      </w:r>
    </w:p>
    <w:p w14:paraId="4A3C42F0" w14:textId="3B130344" w:rsidR="00F6798E" w:rsidRDefault="00F6798E" w:rsidP="00B36AEC">
      <w:pPr>
        <w:numPr>
          <w:ilvl w:val="1"/>
          <w:numId w:val="2"/>
        </w:numPr>
        <w:jc w:val="both"/>
      </w:pPr>
      <w:r>
        <w:t>Field</w:t>
      </w:r>
      <w:r w:rsidR="0043776D">
        <w:t xml:space="preserve"> &amp; subfield</w:t>
      </w:r>
      <w:r>
        <w:t xml:space="preserve"> names – </w:t>
      </w:r>
      <w:proofErr w:type="gramStart"/>
      <w:r>
        <w:t>e.g.</w:t>
      </w:r>
      <w:proofErr w:type="gramEnd"/>
      <w:r>
        <w:t xml:space="preserve"> “the More Data subfield of the Frame Control field”, but “</w:t>
      </w:r>
      <w:r w:rsidR="00DF0904">
        <w:t>shall set it</w:t>
      </w:r>
      <w:r>
        <w:t xml:space="preserve"> to 1 if it has more data to send”.</w:t>
      </w:r>
    </w:p>
    <w:p w14:paraId="22150899" w14:textId="03E16426" w:rsidR="00610673" w:rsidRDefault="00610673" w:rsidP="00B36AEC">
      <w:pPr>
        <w:numPr>
          <w:ilvl w:val="1"/>
          <w:numId w:val="2"/>
        </w:numPr>
        <w:jc w:val="both"/>
      </w:pPr>
      <w:r>
        <w:t>Enumerated values of a field or subfield</w:t>
      </w:r>
    </w:p>
    <w:p w14:paraId="2DCF116A" w14:textId="1E588B3B" w:rsidR="00447976" w:rsidRDefault="00447976" w:rsidP="00B36AEC">
      <w:pPr>
        <w:numPr>
          <w:ilvl w:val="1"/>
          <w:numId w:val="2"/>
        </w:numPr>
        <w:jc w:val="both"/>
      </w:pPr>
      <w:r>
        <w:t xml:space="preserve">Certain </w:t>
      </w:r>
      <w:r w:rsidR="009C4225">
        <w:t>measurement requests and reports (see 8.4.2.20 and 8.4.2.21)</w:t>
      </w:r>
    </w:p>
    <w:p w14:paraId="39D5CAC5" w14:textId="1983200A" w:rsidR="00460992" w:rsidRDefault="00460992" w:rsidP="00B36AEC">
      <w:pPr>
        <w:numPr>
          <w:ilvl w:val="0"/>
          <w:numId w:val="2"/>
        </w:numPr>
        <w:jc w:val="both"/>
      </w:pPr>
      <w:r>
        <w:t>Grandfathered terms where the cost of changing the capitalization of a widely used term was considered excessive.  The grandfathered terms include:</w:t>
      </w:r>
    </w:p>
    <w:p w14:paraId="6097B27A" w14:textId="36A6EF60" w:rsidR="00610673" w:rsidRDefault="00610673" w:rsidP="00B36AEC">
      <w:pPr>
        <w:numPr>
          <w:ilvl w:val="1"/>
          <w:numId w:val="2"/>
        </w:numPr>
        <w:jc w:val="both"/>
      </w:pPr>
      <w:r>
        <w:t>TIM Broadcast</w:t>
      </w:r>
    </w:p>
    <w:p w14:paraId="38A94E28" w14:textId="522818CA" w:rsidR="001D4E61" w:rsidRPr="005B1896" w:rsidRDefault="001D4E61" w:rsidP="00B36AEC">
      <w:pPr>
        <w:numPr>
          <w:ilvl w:val="1"/>
          <w:numId w:val="2"/>
        </w:numPr>
        <w:jc w:val="both"/>
      </w:pPr>
      <w:r w:rsidRPr="005B1896">
        <w:t>Tail</w:t>
      </w:r>
    </w:p>
    <w:p w14:paraId="04E0D3B9" w14:textId="77777777" w:rsidR="00522458" w:rsidRDefault="00522458" w:rsidP="00110919">
      <w:pPr>
        <w:jc w:val="both"/>
      </w:pPr>
    </w:p>
    <w:p w14:paraId="0915F1A4" w14:textId="2BB98716" w:rsidR="00142C2B" w:rsidRDefault="00142C2B" w:rsidP="00110919">
      <w:pPr>
        <w:jc w:val="both"/>
      </w:pPr>
      <w:r>
        <w:t xml:space="preserve">For </w:t>
      </w:r>
      <w:r w:rsidR="00352794">
        <w:t>proper names,</w:t>
      </w:r>
      <w:r>
        <w:t xml:space="preserve"> all words in the name </w:t>
      </w:r>
      <w:r w:rsidR="009942A4">
        <w:t xml:space="preserve">(excluding acronyms) </w:t>
      </w:r>
      <w:r>
        <w:t xml:space="preserve">should be capitalized, including prepositions and conjunctions. This is to avoid ambiguity where the preposition or </w:t>
      </w:r>
      <w:proofErr w:type="spellStart"/>
      <w:r>
        <w:t>conjuction</w:t>
      </w:r>
      <w:proofErr w:type="spellEnd"/>
      <w:r>
        <w:t xml:space="preserve"> might be misinterpreted as part of the sentence. For example, “HT And VHT Trigger Frame RX Support subfield.” This rule </w:t>
      </w:r>
      <w:r w:rsidR="009942A4">
        <w:t>may</w:t>
      </w:r>
      <w:r>
        <w:t xml:space="preserve"> not apply to legacy text; these remain unchanged since the effort involved in changing all instances is substantial</w:t>
      </w:r>
      <w:r w:rsidR="00352794">
        <w:t xml:space="preserve"> and no harm has been demonstrated.</w:t>
      </w:r>
    </w:p>
    <w:p w14:paraId="29E3CCB6" w14:textId="77777777" w:rsidR="00142C2B" w:rsidRDefault="00142C2B" w:rsidP="00110919">
      <w:pPr>
        <w:jc w:val="both"/>
      </w:pPr>
    </w:p>
    <w:p w14:paraId="40270E37" w14:textId="0CDFF750" w:rsidR="00522458" w:rsidRDefault="00AE70FC" w:rsidP="00110919">
      <w:pPr>
        <w:jc w:val="both"/>
      </w:pPr>
      <w:r>
        <w:t>Note “Block Ack” was removed as</w:t>
      </w:r>
      <w:r w:rsidR="00110919">
        <w:t xml:space="preserve"> a grandfathered term in </w:t>
      </w:r>
      <w:proofErr w:type="spellStart"/>
      <w:r w:rsidR="00110919">
        <w:t>REVmc</w:t>
      </w:r>
      <w:proofErr w:type="spellEnd"/>
      <w:r w:rsidR="00110919">
        <w:t>.</w:t>
      </w:r>
      <w:r>
        <w:t xml:space="preserve">  “Block Ack” still exists in this form</w:t>
      </w:r>
      <w:r w:rsidR="00A82FC4">
        <w:t xml:space="preserve">, </w:t>
      </w:r>
      <w:r>
        <w:t xml:space="preserve">but only where it occurs in </w:t>
      </w:r>
      <w:r w:rsidR="00D82AB4">
        <w:t xml:space="preserve">the name of </w:t>
      </w:r>
      <w:r>
        <w:t xml:space="preserve">a field </w:t>
      </w:r>
      <w:r w:rsidR="00A82FC4">
        <w:t>or as an enumeration value.</w:t>
      </w:r>
    </w:p>
    <w:p w14:paraId="63D6E8B3" w14:textId="06034232" w:rsidR="00DA6E5B" w:rsidRDefault="00DA6E5B" w:rsidP="00522458">
      <w:pPr>
        <w:pStyle w:val="Heading2"/>
      </w:pPr>
      <w:r>
        <w:t>Terminology:  frame vs packet vs PPDU vs MPDU</w:t>
      </w:r>
    </w:p>
    <w:p w14:paraId="71E414F5" w14:textId="5984B4CA" w:rsidR="00DA6E5B" w:rsidRDefault="00110919" w:rsidP="00110919">
      <w:pPr>
        <w:jc w:val="both"/>
      </w:pPr>
      <w:r>
        <w:t xml:space="preserve"> </w:t>
      </w:r>
      <w:r w:rsidR="00DA6E5B">
        <w:t>“Frame” is interpreted based on context.   In references to MAC structures, “frame” is synonymous with “MPDU”.   In references to PHY structures, “frame” is synonymous with PPDU.</w:t>
      </w:r>
    </w:p>
    <w:p w14:paraId="24E4D9E0" w14:textId="77777777" w:rsidR="00DA6E5B" w:rsidRDefault="00DA6E5B" w:rsidP="00110919">
      <w:pPr>
        <w:jc w:val="both"/>
      </w:pPr>
    </w:p>
    <w:p w14:paraId="7A8733EC" w14:textId="0C215A38" w:rsidR="00DA6E5B" w:rsidRDefault="00DA6E5B" w:rsidP="00110919">
      <w:pPr>
        <w:jc w:val="both"/>
      </w:pPr>
      <w:r>
        <w:t>Generally, “frame” is preferred to MPDU</w:t>
      </w:r>
      <w:r w:rsidR="007D6D0F">
        <w:t>, particularly when it is a named frame type.  For example</w:t>
      </w:r>
      <w:proofErr w:type="gramStart"/>
      <w:r w:rsidR="007D6D0F">
        <w:t>:  “</w:t>
      </w:r>
      <w:proofErr w:type="gramEnd"/>
      <w:r w:rsidR="007D6D0F">
        <w:t>Ack frame”, not “Ack MPDU”.</w:t>
      </w:r>
    </w:p>
    <w:p w14:paraId="24236C1A" w14:textId="77777777" w:rsidR="007D6D0F" w:rsidRDefault="007D6D0F" w:rsidP="00110919">
      <w:pPr>
        <w:jc w:val="both"/>
      </w:pPr>
    </w:p>
    <w:p w14:paraId="02EB610C" w14:textId="1AF6B2A6" w:rsidR="007D6D0F" w:rsidRDefault="007D6D0F" w:rsidP="00110919">
      <w:pPr>
        <w:jc w:val="both"/>
      </w:pPr>
      <w:r>
        <w:t>Generally, PPDU is preferred to frame in the PHY.</w:t>
      </w:r>
    </w:p>
    <w:p w14:paraId="53895E0D" w14:textId="77777777" w:rsidR="00DA6E5B" w:rsidRDefault="00DA6E5B" w:rsidP="00110919">
      <w:pPr>
        <w:jc w:val="both"/>
      </w:pPr>
    </w:p>
    <w:p w14:paraId="460F39BA" w14:textId="6FDEE2D3" w:rsidR="00DA6E5B" w:rsidRPr="00DA6E5B" w:rsidRDefault="00DA6E5B" w:rsidP="00110919">
      <w:pPr>
        <w:jc w:val="both"/>
      </w:pPr>
      <w:r>
        <w:t>The use of “packet” should be minimized</w:t>
      </w:r>
      <w:r w:rsidR="005B4009">
        <w:t>, except where this terminology is defin</w:t>
      </w:r>
      <w:r w:rsidR="00110919">
        <w:t xml:space="preserve">ed by external specifications, </w:t>
      </w:r>
      <w:proofErr w:type="gramStart"/>
      <w:r w:rsidR="005B4009">
        <w:t>e.g.</w:t>
      </w:r>
      <w:proofErr w:type="gramEnd"/>
      <w:r w:rsidR="005B4009">
        <w:t xml:space="preserve"> IETF.</w:t>
      </w:r>
    </w:p>
    <w:p w14:paraId="35591BB0" w14:textId="77777777" w:rsidR="00522458" w:rsidRDefault="00522458" w:rsidP="00522458">
      <w:pPr>
        <w:pStyle w:val="Heading2"/>
      </w:pPr>
      <w:r>
        <w:t>Use of verbs</w:t>
      </w:r>
      <w:r w:rsidR="00327445">
        <w:t xml:space="preserve"> &amp; problematic words</w:t>
      </w:r>
    </w:p>
    <w:p w14:paraId="4DB95183" w14:textId="0795828E" w:rsidR="00D77EEC" w:rsidRDefault="00D77EEC" w:rsidP="00110919">
      <w:pPr>
        <w:jc w:val="both"/>
      </w:pPr>
      <w:r>
        <w:t>The normative verbs are:</w:t>
      </w:r>
    </w:p>
    <w:p w14:paraId="48733A6F" w14:textId="74009578" w:rsidR="00D77EEC" w:rsidRDefault="00D77EEC" w:rsidP="00B36AEC">
      <w:pPr>
        <w:pStyle w:val="ListParagraph"/>
        <w:numPr>
          <w:ilvl w:val="0"/>
          <w:numId w:val="24"/>
        </w:numPr>
        <w:jc w:val="both"/>
      </w:pPr>
      <w:r>
        <w:t>shall - equivalent to “is required to</w:t>
      </w:r>
      <w:proofErr w:type="gramStart"/>
      <w:r>
        <w:t>”,  “</w:t>
      </w:r>
      <w:proofErr w:type="gramEnd"/>
      <w:r>
        <w:t>has to”, “must”</w:t>
      </w:r>
    </w:p>
    <w:p w14:paraId="21C5941D" w14:textId="32BA8196" w:rsidR="00D77EEC" w:rsidRDefault="00D77EEC" w:rsidP="00B36AEC">
      <w:pPr>
        <w:pStyle w:val="ListParagraph"/>
        <w:numPr>
          <w:ilvl w:val="0"/>
          <w:numId w:val="24"/>
        </w:numPr>
        <w:jc w:val="both"/>
      </w:pPr>
      <w:r>
        <w:t>should – equivalent to “is recommended to”, “is advised to”</w:t>
      </w:r>
    </w:p>
    <w:p w14:paraId="226BD844" w14:textId="07DCE47F" w:rsidR="00D77EEC" w:rsidRDefault="00D77EEC" w:rsidP="00B36AEC">
      <w:pPr>
        <w:pStyle w:val="ListParagraph"/>
        <w:numPr>
          <w:ilvl w:val="0"/>
          <w:numId w:val="24"/>
        </w:numPr>
        <w:jc w:val="both"/>
      </w:pPr>
      <w:r>
        <w:t>may – equivalent to “is allowed to”, “is permitted to”</w:t>
      </w:r>
    </w:p>
    <w:p w14:paraId="5978E970" w14:textId="77777777" w:rsidR="00D77EEC" w:rsidRDefault="00D77EEC" w:rsidP="00110919">
      <w:pPr>
        <w:jc w:val="both"/>
      </w:pPr>
    </w:p>
    <w:p w14:paraId="39A41786" w14:textId="12B9B60F" w:rsidR="00D77EEC" w:rsidRDefault="00D77EEC" w:rsidP="00110919">
      <w:pPr>
        <w:jc w:val="both"/>
      </w:pPr>
      <w:r>
        <w:t>The non-normative verbs are:</w:t>
      </w:r>
    </w:p>
    <w:p w14:paraId="798A1498" w14:textId="5632B87D" w:rsidR="00D77EEC" w:rsidRDefault="00D77EEC" w:rsidP="00B36AEC">
      <w:pPr>
        <w:pStyle w:val="ListParagraph"/>
        <w:numPr>
          <w:ilvl w:val="0"/>
          <w:numId w:val="25"/>
        </w:numPr>
        <w:jc w:val="both"/>
      </w:pPr>
      <w:r>
        <w:t>can – equivalent to “is able to” or “is allowed to, as defined elsewhere in this standard” (see below)</w:t>
      </w:r>
    </w:p>
    <w:p w14:paraId="0B400E58" w14:textId="5CD066C1" w:rsidR="00D77EEC" w:rsidRDefault="00D77EEC" w:rsidP="00B36AEC">
      <w:pPr>
        <w:pStyle w:val="ListParagraph"/>
        <w:numPr>
          <w:ilvl w:val="0"/>
          <w:numId w:val="25"/>
        </w:numPr>
        <w:jc w:val="both"/>
      </w:pPr>
      <w:r>
        <w:t>might – equivalent to “chooses according to unspecified criteria”</w:t>
      </w:r>
    </w:p>
    <w:p w14:paraId="09E5380E" w14:textId="77777777" w:rsidR="00D77EEC" w:rsidRDefault="00D77EEC" w:rsidP="00110919">
      <w:pPr>
        <w:jc w:val="both"/>
      </w:pPr>
    </w:p>
    <w:p w14:paraId="1ACB7738" w14:textId="05E55723" w:rsidR="00522458" w:rsidRDefault="00522458" w:rsidP="00110919">
      <w:pPr>
        <w:jc w:val="both"/>
      </w:pPr>
      <w:r>
        <w:t>Normative verbs shall not appear in informative text.   The usual culprit</w:t>
      </w:r>
      <w:r w:rsidR="00610673">
        <w:t>s</w:t>
      </w:r>
      <w:r>
        <w:t xml:space="preserve"> </w:t>
      </w:r>
      <w:r w:rsidR="00610673">
        <w:t xml:space="preserve">are </w:t>
      </w:r>
      <w:r>
        <w:t>verbs like “may”</w:t>
      </w:r>
      <w:r w:rsidR="00687972">
        <w:t xml:space="preserve"> or “should”</w:t>
      </w:r>
      <w:r>
        <w:t xml:space="preserve"> </w:t>
      </w:r>
      <w:r w:rsidR="00D77EEC">
        <w:t xml:space="preserve">that appear </w:t>
      </w:r>
      <w:r>
        <w:t>in NOTEs.</w:t>
      </w:r>
      <w:r w:rsidR="00687972">
        <w:t xml:space="preserve">   This is also true for equivalent phrases</w:t>
      </w:r>
      <w:r w:rsidR="00D77EEC">
        <w:t xml:space="preserve"> shown above</w:t>
      </w:r>
      <w:r w:rsidR="00687972">
        <w:t xml:space="preserve"> </w:t>
      </w:r>
    </w:p>
    <w:p w14:paraId="6645C44C" w14:textId="77777777" w:rsidR="00A82FC4" w:rsidRDefault="00A82FC4" w:rsidP="00110919">
      <w:pPr>
        <w:jc w:val="both"/>
      </w:pPr>
    </w:p>
    <w:p w14:paraId="1D8875DF" w14:textId="02146324" w:rsidR="00A82FC4" w:rsidRDefault="00A82FC4" w:rsidP="00110919">
      <w:pPr>
        <w:jc w:val="both"/>
      </w:pPr>
      <w:r>
        <w:t xml:space="preserve">Note that </w:t>
      </w:r>
      <w:proofErr w:type="spellStart"/>
      <w:r>
        <w:t>TGmc</w:t>
      </w:r>
      <w:proofErr w:type="spellEnd"/>
      <w:r>
        <w:t xml:space="preserve"> has muddied the waters somewhat.   It decided that “should” can appear in informative text, such as NOTES and Annexes.   The rationale is that “should” </w:t>
      </w:r>
      <w:proofErr w:type="gramStart"/>
      <w:r>
        <w:t>is</w:t>
      </w:r>
      <w:proofErr w:type="gramEnd"/>
      <w:r>
        <w:t xml:space="preserve"> a recommendation, but it is entirely up to the implementer whether to pay attention to the recommendation or not.  As it therefore doesn’t necessarily affect an implementation, it should not affect interoperable behaviour and is therefore informative.</w:t>
      </w:r>
    </w:p>
    <w:p w14:paraId="632C04FD" w14:textId="3AE90426" w:rsidR="00A82FC4" w:rsidRDefault="00A82FC4" w:rsidP="00110919">
      <w:pPr>
        <w:jc w:val="both"/>
      </w:pPr>
      <w:r>
        <w:t>Notwithstanding the above, the use of “should” in informative material should be minimized.</w:t>
      </w:r>
    </w:p>
    <w:p w14:paraId="1165DA7E" w14:textId="77777777" w:rsidR="00D77EEC" w:rsidRDefault="00D77EEC" w:rsidP="00110919">
      <w:pPr>
        <w:jc w:val="both"/>
      </w:pPr>
    </w:p>
    <w:p w14:paraId="0AA95FA3" w14:textId="77777777" w:rsidR="00522458" w:rsidRDefault="00522458" w:rsidP="00110919">
      <w:pPr>
        <w:jc w:val="both"/>
      </w:pPr>
      <w:r>
        <w:t>Verb</w:t>
      </w:r>
      <w:r w:rsidR="007C0203">
        <w:t>s deprecated by the IEEE (e.g.,</w:t>
      </w:r>
      <w:r>
        <w:t xml:space="preserve"> “mus</w:t>
      </w:r>
      <w:r w:rsidR="00B1767D">
        <w:t>t”,</w:t>
      </w:r>
      <w:r w:rsidR="001A3997">
        <w:t xml:space="preserve"> “will”) should not be used, except:</w:t>
      </w:r>
    </w:p>
    <w:p w14:paraId="1EC69DD9" w14:textId="77777777" w:rsidR="001A3997" w:rsidRDefault="001A3997" w:rsidP="00B36AEC">
      <w:pPr>
        <w:numPr>
          <w:ilvl w:val="0"/>
          <w:numId w:val="6"/>
        </w:numPr>
        <w:jc w:val="both"/>
      </w:pPr>
      <w:r>
        <w:t xml:space="preserve">“will” can be used when stating future </w:t>
      </w:r>
      <w:proofErr w:type="gramStart"/>
      <w:r>
        <w:t>fact,  and</w:t>
      </w:r>
      <w:proofErr w:type="gramEnd"/>
      <w:r>
        <w:t xml:space="preserve"> using any other tense dilutes the intended meaning.</w:t>
      </w:r>
      <w:r w:rsidR="007C0203">
        <w:t xml:space="preserve">  This case</w:t>
      </w:r>
      <w:r w:rsidR="00687972">
        <w:t xml:space="preserve"> should be rare.</w:t>
      </w:r>
    </w:p>
    <w:p w14:paraId="44A2590F" w14:textId="77777777" w:rsidR="00687972" w:rsidRDefault="00687972" w:rsidP="00B36AEC">
      <w:pPr>
        <w:numPr>
          <w:ilvl w:val="0"/>
          <w:numId w:val="6"/>
        </w:numPr>
        <w:jc w:val="both"/>
      </w:pPr>
      <w:r>
        <w:t>“must” is used in some boilerplate reproduced from the IEEE-SA style guide.  Do not edit the boilerplate text ;0).</w:t>
      </w:r>
    </w:p>
    <w:p w14:paraId="42175CA2" w14:textId="51942FFF" w:rsidR="00954D6E" w:rsidRDefault="00954D6E" w:rsidP="00B36AEC">
      <w:pPr>
        <w:numPr>
          <w:ilvl w:val="0"/>
          <w:numId w:val="6"/>
        </w:numPr>
        <w:jc w:val="both"/>
      </w:pPr>
      <w:r>
        <w:t>“must” might also be used when regulation is quoted verbatim.</w:t>
      </w:r>
    </w:p>
    <w:p w14:paraId="233F7C60" w14:textId="77777777" w:rsidR="001A3997" w:rsidRDefault="001A3997" w:rsidP="00110919">
      <w:pPr>
        <w:jc w:val="both"/>
      </w:pPr>
    </w:p>
    <w:p w14:paraId="5593463E" w14:textId="77978E09" w:rsidR="001A3997" w:rsidRDefault="001A3997" w:rsidP="00110919">
      <w:pPr>
        <w:jc w:val="both"/>
      </w:pPr>
      <w:r>
        <w:t>The use of “can” should be considered carefully.  It should be interpreted as meaning “is allowed to” or “is able to</w:t>
      </w:r>
      <w:proofErr w:type="gramStart"/>
      <w:r>
        <w:t xml:space="preserve">”,   </w:t>
      </w:r>
      <w:proofErr w:type="gramEnd"/>
      <w:r>
        <w:t xml:space="preserve">when interpreted in the context of normative statements made elsewhere in the standard, or referenced from the standard, or that are generally well known or self-obvious.   When those conditions do not </w:t>
      </w:r>
      <w:proofErr w:type="gramStart"/>
      <w:r>
        <w:t xml:space="preserve">exist,   </w:t>
      </w:r>
      <w:proofErr w:type="gramEnd"/>
      <w:r>
        <w:t>use the word “might” as this expresses the possibility of something happening without use underst</w:t>
      </w:r>
      <w:r w:rsidR="00D77EEC">
        <w:t>an</w:t>
      </w:r>
      <w:r>
        <w:t>ding how it can happen.</w:t>
      </w:r>
    </w:p>
    <w:p w14:paraId="0DFA8A6C" w14:textId="77777777" w:rsidR="00327445" w:rsidRDefault="00327445" w:rsidP="00110919">
      <w:pPr>
        <w:jc w:val="both"/>
      </w:pPr>
    </w:p>
    <w:p w14:paraId="5F9D192A" w14:textId="414BB2C5" w:rsidR="00327445" w:rsidRDefault="00996A95" w:rsidP="00110919">
      <w:pPr>
        <w:jc w:val="both"/>
      </w:pPr>
      <w:r>
        <w:t>“May not”</w:t>
      </w:r>
      <w:r w:rsidR="002E4CBA">
        <w:t xml:space="preserve"> is ambiguous. This phrase</w:t>
      </w:r>
      <w:r>
        <w:t xml:space="preserve"> </w:t>
      </w:r>
      <w:r w:rsidR="00327445">
        <w:t>should be replaced by “shall not</w:t>
      </w:r>
      <w:proofErr w:type="gramStart"/>
      <w:r w:rsidR="00327445">
        <w:t>”</w:t>
      </w:r>
      <w:r w:rsidR="00BA21DC">
        <w:t>,  or</w:t>
      </w:r>
      <w:proofErr w:type="gramEnd"/>
      <w:r w:rsidR="00BA21DC">
        <w:t xml:space="preserve"> possibly (“may &lt;x&gt; if &lt;y&gt;; shall not &lt;x&gt; if not &lt;y&gt;”</w:t>
      </w:r>
      <w:r w:rsidR="00327445">
        <w:t>.</w:t>
      </w:r>
    </w:p>
    <w:p w14:paraId="28DB487C" w14:textId="77777777" w:rsidR="00327445" w:rsidRDefault="00327445" w:rsidP="00110919">
      <w:pPr>
        <w:jc w:val="both"/>
      </w:pPr>
    </w:p>
    <w:p w14:paraId="7F7889EB" w14:textId="77777777" w:rsidR="00327445" w:rsidRDefault="00C043D2" w:rsidP="00110919">
      <w:pPr>
        <w:jc w:val="both"/>
      </w:pPr>
      <w:r>
        <w:t>“Only” is often misused. “O</w:t>
      </w:r>
      <w:r w:rsidR="00327445">
        <w:t xml:space="preserve">nly” is a </w:t>
      </w:r>
      <w:proofErr w:type="gramStart"/>
      <w:r w:rsidR="00327445">
        <w:t xml:space="preserve">constraint,   </w:t>
      </w:r>
      <w:proofErr w:type="gramEnd"/>
      <w:r w:rsidR="00327445">
        <w:t>whic</w:t>
      </w:r>
      <w:r>
        <w:t xml:space="preserve">h should apply to a condition, </w:t>
      </w:r>
      <w:r w:rsidR="00327445">
        <w:t>not to a verb (unless that verb is part of expressing a condition).</w:t>
      </w:r>
    </w:p>
    <w:p w14:paraId="4E500A82" w14:textId="77777777" w:rsidR="00327445" w:rsidRDefault="00327445" w:rsidP="00110919">
      <w:pPr>
        <w:jc w:val="both"/>
      </w:pPr>
      <w:r>
        <w:t>So</w:t>
      </w:r>
      <w:proofErr w:type="gramStart"/>
      <w:r>
        <w:t>:  “</w:t>
      </w:r>
      <w:proofErr w:type="gramEnd"/>
      <w:r>
        <w:t>A STA sha</w:t>
      </w:r>
      <w:r w:rsidR="00DA0A35">
        <w:t>ll only transmit an Ack when it</w:t>
      </w:r>
      <w:r w:rsidR="007C0203">
        <w:t xml:space="preserve"> receives a packet” is wrong,</w:t>
      </w:r>
      <w:r>
        <w:t xml:space="preserve"> and “A STA shall transmit an Ack only when it receives a packet” is right.</w:t>
      </w:r>
    </w:p>
    <w:p w14:paraId="627FAD49" w14:textId="77777777" w:rsidR="00C2087A" w:rsidRDefault="00C2087A" w:rsidP="00110919">
      <w:pPr>
        <w:jc w:val="both"/>
      </w:pPr>
    </w:p>
    <w:p w14:paraId="6FB00D18" w14:textId="6A7122FE" w:rsidR="007C0203" w:rsidRDefault="007C0203" w:rsidP="00110919">
      <w:pPr>
        <w:jc w:val="both"/>
      </w:pPr>
      <w:r>
        <w:t>Also “shall … only” often doesn’t go far enough</w:t>
      </w:r>
      <w:r w:rsidR="00BA21DC">
        <w:t>, and worse,</w:t>
      </w:r>
      <w:r w:rsidR="00C2087A">
        <w:t xml:space="preserve"> is interpreted differently by different readers</w:t>
      </w:r>
      <w:r>
        <w:t xml:space="preserve">.  “A STA shall transmit an Ack only when it receives a packet” can be interpreted as “A STA shall not transmit an Ack when does not receive a packet” – </w:t>
      </w:r>
      <w:proofErr w:type="gramStart"/>
      <w:r>
        <w:t>i.e.</w:t>
      </w:r>
      <w:proofErr w:type="gramEnd"/>
      <w:r>
        <w:t xml:space="preserve"> expressing only the constraint.   A better unambiguous rule is:</w:t>
      </w:r>
      <w:proofErr w:type="gramStart"/>
      <w:r w:rsidR="00996A95">
        <w:t xml:space="preserve">   “</w:t>
      </w:r>
      <w:proofErr w:type="gramEnd"/>
      <w:r w:rsidR="00996A95">
        <w:t>A STA shall transmit an Ack when it receives a packet; it shall not transmit an ACK otherwise.” – which makes both the positive (do this) and negative (don’t do this) conditions explicit.</w:t>
      </w:r>
    </w:p>
    <w:p w14:paraId="4FF332D3" w14:textId="77777777" w:rsidR="001002CA" w:rsidRDefault="001002CA" w:rsidP="00110919">
      <w:pPr>
        <w:jc w:val="both"/>
      </w:pPr>
      <w:r w:rsidRPr="001002CA">
        <w:rPr>
          <w:i/>
        </w:rPr>
        <w:t xml:space="preserve">Bottom line:  </w:t>
      </w:r>
      <w:r w:rsidRPr="001002CA">
        <w:t>minimize use of “only” in normative text.</w:t>
      </w:r>
    </w:p>
    <w:p w14:paraId="1850E92B" w14:textId="3633C1A5" w:rsidR="00A82FC4" w:rsidRDefault="00A82FC4" w:rsidP="00110919">
      <w:pPr>
        <w:jc w:val="both"/>
      </w:pPr>
      <w:r>
        <w:lastRenderedPageBreak/>
        <w:t xml:space="preserve">Replace “shall &lt;a&gt; only if &lt;b&gt;” with an </w:t>
      </w:r>
      <w:proofErr w:type="spellStart"/>
      <w:r>
        <w:t>alterntive</w:t>
      </w:r>
      <w:proofErr w:type="spellEnd"/>
      <w:r>
        <w:t>, such as one of the following forms:</w:t>
      </w:r>
    </w:p>
    <w:p w14:paraId="2223901D" w14:textId="495C64B4" w:rsidR="00A82FC4" w:rsidRDefault="00A82FC4" w:rsidP="00B36AEC">
      <w:pPr>
        <w:pStyle w:val="ListParagraph"/>
        <w:numPr>
          <w:ilvl w:val="0"/>
          <w:numId w:val="27"/>
        </w:numPr>
        <w:jc w:val="both"/>
      </w:pPr>
      <w:r>
        <w:t>“</w:t>
      </w:r>
      <w:proofErr w:type="gramStart"/>
      <w:r>
        <w:t>shall</w:t>
      </w:r>
      <w:proofErr w:type="gramEnd"/>
      <w:r>
        <w:t xml:space="preserve"> not &lt;a&gt; if not &lt;b&gt;”</w:t>
      </w:r>
    </w:p>
    <w:p w14:paraId="31CE9786" w14:textId="65EAB741" w:rsidR="00A82FC4" w:rsidRDefault="00A82FC4" w:rsidP="00B36AEC">
      <w:pPr>
        <w:pStyle w:val="ListParagraph"/>
        <w:numPr>
          <w:ilvl w:val="0"/>
          <w:numId w:val="27"/>
        </w:numPr>
        <w:jc w:val="both"/>
      </w:pPr>
      <w:r>
        <w:t>“may &lt;a&gt; if &lt;b&gt;; shall not &lt;a&gt; if not &lt;b&gt;”</w:t>
      </w:r>
    </w:p>
    <w:p w14:paraId="3CFA42BF" w14:textId="238E7EA9" w:rsidR="00A82FC4" w:rsidRDefault="00A82FC4" w:rsidP="00B36AEC">
      <w:pPr>
        <w:pStyle w:val="ListParagraph"/>
        <w:numPr>
          <w:ilvl w:val="0"/>
          <w:numId w:val="27"/>
        </w:numPr>
        <w:jc w:val="both"/>
      </w:pPr>
      <w:r>
        <w:t>“shall &lt;a&gt; if &lt;b&gt;; shall not &lt;a&gt; if not &lt;b&gt;”</w:t>
      </w:r>
    </w:p>
    <w:p w14:paraId="2C9DD796" w14:textId="77777777" w:rsidR="00A82FC4" w:rsidRPr="001002CA" w:rsidRDefault="00A82FC4" w:rsidP="00A82FC4"/>
    <w:p w14:paraId="3649728C" w14:textId="0031EE57" w:rsidR="00670904" w:rsidRDefault="00110919" w:rsidP="00110919">
      <w:pPr>
        <w:jc w:val="both"/>
      </w:pPr>
      <w:r>
        <w:t xml:space="preserve"> </w:t>
      </w:r>
      <w:r w:rsidR="00670904">
        <w:t xml:space="preserve">“Ensures” should be </w:t>
      </w:r>
      <w:proofErr w:type="gramStart"/>
      <w:r w:rsidR="00670904">
        <w:t>avoided,  and</w:t>
      </w:r>
      <w:proofErr w:type="gramEnd"/>
      <w:r w:rsidR="00670904">
        <w:t xml:space="preserve"> although the IEEE-SA style guide has nothing to say on this topic,  the IEEE-SA editors reword to avoid its use,  as it may be construed as providing a guarantee.   Can be reworded as “verify that &lt;condition&gt; is </w:t>
      </w:r>
      <w:proofErr w:type="gramStart"/>
      <w:r w:rsidR="00670904">
        <w:t>true, and</w:t>
      </w:r>
      <w:proofErr w:type="gramEnd"/>
      <w:r w:rsidR="00670904">
        <w:t xml:space="preserve"> take remedial action if not.”</w:t>
      </w:r>
    </w:p>
    <w:p w14:paraId="3D0232C3" w14:textId="77777777" w:rsidR="00954D6E" w:rsidRDefault="00954D6E" w:rsidP="00110919">
      <w:pPr>
        <w:jc w:val="both"/>
      </w:pPr>
    </w:p>
    <w:p w14:paraId="1862369D" w14:textId="5A1F8CC9" w:rsidR="00954D6E" w:rsidRDefault="00954D6E" w:rsidP="00110919">
      <w:pPr>
        <w:jc w:val="both"/>
      </w:pPr>
      <w:proofErr w:type="spellStart"/>
      <w:r>
        <w:t>REVmc</w:t>
      </w:r>
      <w:proofErr w:type="spellEnd"/>
      <w:r>
        <w:t xml:space="preserve"> D3.0 MDR determined that </w:t>
      </w:r>
      <w:r w:rsidR="00BA21DC">
        <w:t>“shall … ensure”</w:t>
      </w:r>
      <w:r w:rsidR="00110919">
        <w:t xml:space="preserve"> is OK, </w:t>
      </w:r>
      <w:r>
        <w:t xml:space="preserve">e.g.  “A STA shall ensure that all transmissions and any responses fit within the TXOP duration.”   The objection to “ensure” is that it might hide a normative requirement.  </w:t>
      </w:r>
      <w:proofErr w:type="spellStart"/>
      <w:r>
        <w:t>Howevever</w:t>
      </w:r>
      <w:proofErr w:type="spellEnd"/>
      <w:r>
        <w:t xml:space="preserve"> in </w:t>
      </w:r>
      <w:r w:rsidR="00BA21DC">
        <w:t>“shall … ensure”,</w:t>
      </w:r>
      <w:r>
        <w:t xml:space="preserve"> the normative requirement is explicit.</w:t>
      </w:r>
    </w:p>
    <w:p w14:paraId="3ABC3110" w14:textId="77777777" w:rsidR="00670904" w:rsidRDefault="00670904" w:rsidP="00110919">
      <w:pPr>
        <w:jc w:val="both"/>
      </w:pPr>
    </w:p>
    <w:p w14:paraId="4E69A651" w14:textId="184EF63E" w:rsidR="00327445" w:rsidRPr="003607A3" w:rsidRDefault="00BF383D" w:rsidP="00110919">
      <w:pPr>
        <w:jc w:val="both"/>
      </w:pPr>
      <w:r>
        <w:t xml:space="preserve">Note that these rules do not apply in material that is a direct quote from another source.  </w:t>
      </w:r>
      <w:proofErr w:type="gramStart"/>
      <w:r>
        <w:t>However</w:t>
      </w:r>
      <w:proofErr w:type="gramEnd"/>
      <w:r>
        <w:t xml:space="preserve"> note also that the IEEE-SA will require copyright letters from any copyright ow</w:t>
      </w:r>
      <w:r w:rsidR="00D77EEC">
        <w:t>n</w:t>
      </w:r>
      <w:r>
        <w:t>ers whose material is directly quoted.</w:t>
      </w:r>
    </w:p>
    <w:p w14:paraId="461E4831" w14:textId="77777777" w:rsidR="005476DD" w:rsidRDefault="00DA0A35" w:rsidP="00DA0A35">
      <w:pPr>
        <w:pStyle w:val="Heading3"/>
      </w:pPr>
      <w:r>
        <w:t>Which / that</w:t>
      </w:r>
    </w:p>
    <w:p w14:paraId="12C466AE" w14:textId="77777777" w:rsidR="00DA0A35" w:rsidRDefault="00DA0A35" w:rsidP="00110919">
      <w:pPr>
        <w:jc w:val="both"/>
      </w:pPr>
      <w:r>
        <w:t xml:space="preserve">Note that the use of which and that as described in the IEEE-SA style guide. </w:t>
      </w:r>
    </w:p>
    <w:p w14:paraId="1164FB9E" w14:textId="284960B9" w:rsidR="001C47B4" w:rsidRDefault="00DA0A35" w:rsidP="00110919">
      <w:pPr>
        <w:jc w:val="both"/>
      </w:pPr>
      <w:r>
        <w:t>E.g.</w:t>
      </w:r>
      <w:r w:rsidR="00C2087A">
        <w:t>,</w:t>
      </w:r>
      <w:r>
        <w:t xml:space="preserve"> use of “which” should </w:t>
      </w:r>
      <w:r w:rsidR="00996A95">
        <w:t xml:space="preserve">generally </w:t>
      </w:r>
      <w:r>
        <w:t>be preceded by a comma or preposition.</w:t>
      </w:r>
    </w:p>
    <w:p w14:paraId="6A159F15" w14:textId="2C316E72" w:rsidR="001C47B4" w:rsidRDefault="001C47B4" w:rsidP="001C47B4">
      <w:pPr>
        <w:pStyle w:val="Heading3"/>
      </w:pPr>
      <w:r>
        <w:t>Missing &amp; use of articles</w:t>
      </w:r>
    </w:p>
    <w:p w14:paraId="5A84DBCB" w14:textId="77777777" w:rsidR="001C47B4" w:rsidRDefault="001C47B4" w:rsidP="00110919">
      <w:pPr>
        <w:jc w:val="both"/>
      </w:pPr>
      <w:r>
        <w:t>A common error in non-English native speakers is improper use of articles</w:t>
      </w:r>
      <w:proofErr w:type="gramStart"/>
      <w:r>
        <w:t>:  “</w:t>
      </w:r>
      <w:proofErr w:type="gramEnd"/>
      <w:r>
        <w:t>a, an, the”.</w:t>
      </w:r>
    </w:p>
    <w:p w14:paraId="35F0DB8E" w14:textId="77777777" w:rsidR="001C47B4" w:rsidRDefault="001C47B4" w:rsidP="00110919">
      <w:pPr>
        <w:jc w:val="both"/>
      </w:pPr>
    </w:p>
    <w:p w14:paraId="7423A422" w14:textId="77777777" w:rsidR="001C47B4" w:rsidRDefault="001C47B4" w:rsidP="00110919">
      <w:pPr>
        <w:jc w:val="both"/>
      </w:pPr>
      <w:r>
        <w:t>Th</w:t>
      </w:r>
      <w:r w:rsidR="00996A95">
        <w:t>ese are important, because they</w:t>
      </w:r>
      <w:r>
        <w:t xml:space="preserve"> identify they identify which entity or under what conditions behaviour is being described.  An improper article can create</w:t>
      </w:r>
      <w:r w:rsidR="00996A95">
        <w:t xml:space="preserve"> ambiguity about specification,</w:t>
      </w:r>
      <w:r>
        <w:t xml:space="preserve"> so this should not be considered something to “leave to the publication editor”.</w:t>
      </w:r>
    </w:p>
    <w:p w14:paraId="165CAC7B" w14:textId="77777777" w:rsidR="001C47B4" w:rsidRDefault="001C47B4" w:rsidP="001C47B4"/>
    <w:p w14:paraId="7C51B589" w14:textId="77777777" w:rsidR="001C47B4" w:rsidRDefault="001C47B4" w:rsidP="001C47B4">
      <w:r>
        <w:t>The errors are:</w:t>
      </w:r>
    </w:p>
    <w:p w14:paraId="65AE3437" w14:textId="77777777" w:rsidR="001C47B4" w:rsidRDefault="001C47B4" w:rsidP="00B36AEC">
      <w:pPr>
        <w:numPr>
          <w:ilvl w:val="0"/>
          <w:numId w:val="8"/>
        </w:numPr>
      </w:pPr>
      <w:r>
        <w:t>Missing article</w:t>
      </w:r>
    </w:p>
    <w:p w14:paraId="67160E1A" w14:textId="77777777" w:rsidR="001C47B4" w:rsidRDefault="001C47B4" w:rsidP="00B36AEC">
      <w:pPr>
        <w:numPr>
          <w:ilvl w:val="0"/>
          <w:numId w:val="8"/>
        </w:numPr>
      </w:pPr>
      <w:r>
        <w:t>Improper article (“a” vs “an”)</w:t>
      </w:r>
    </w:p>
    <w:p w14:paraId="17CC3C15" w14:textId="4BD84DFA" w:rsidR="001C47B4" w:rsidRDefault="001C47B4" w:rsidP="00B36AEC">
      <w:pPr>
        <w:numPr>
          <w:ilvl w:val="0"/>
          <w:numId w:val="8"/>
        </w:numPr>
      </w:pPr>
      <w:r>
        <w:t>Missing antecedent (“the” without a preceding identification).</w:t>
      </w:r>
      <w:r>
        <w:br/>
      </w:r>
    </w:p>
    <w:p w14:paraId="1129A82E" w14:textId="77777777" w:rsidR="001C47B4" w:rsidRDefault="001C47B4" w:rsidP="001C47B4">
      <w:r>
        <w:t>The following example is typical:</w:t>
      </w:r>
    </w:p>
    <w:p w14:paraId="0625A92F" w14:textId="77777777" w:rsidR="001C47B4" w:rsidRDefault="001C47B4" w:rsidP="00B36AEC">
      <w:pPr>
        <w:numPr>
          <w:ilvl w:val="0"/>
          <w:numId w:val="9"/>
        </w:numPr>
      </w:pPr>
      <w:commentRangeStart w:id="1"/>
      <w:r>
        <w:t xml:space="preserve">A </w:t>
      </w:r>
      <w:commentRangeEnd w:id="1"/>
      <w:r w:rsidR="0079058F">
        <w:rPr>
          <w:rStyle w:val="CommentReference"/>
        </w:rPr>
        <w:commentReference w:id="1"/>
      </w:r>
      <w:r>
        <w:t xml:space="preserve">STA that </w:t>
      </w:r>
      <w:r w:rsidR="0079058F">
        <w:t xml:space="preserve">receives </w:t>
      </w:r>
      <w:commentRangeStart w:id="2"/>
      <w:r w:rsidR="0079058F">
        <w:t>an</w:t>
      </w:r>
      <w:commentRangeEnd w:id="2"/>
      <w:r w:rsidR="0079058F">
        <w:rPr>
          <w:rStyle w:val="CommentReference"/>
        </w:rPr>
        <w:commentReference w:id="2"/>
      </w:r>
      <w:r w:rsidR="0079058F">
        <w:t xml:space="preserve"> </w:t>
      </w:r>
      <w:proofErr w:type="spellStart"/>
      <w:r w:rsidR="0079058F">
        <w:t>abc</w:t>
      </w:r>
      <w:proofErr w:type="spellEnd"/>
      <w:r w:rsidR="0079058F">
        <w:t xml:space="preserve"> frame shall transmit </w:t>
      </w:r>
      <w:commentRangeStart w:id="3"/>
      <w:r w:rsidR="0079058F">
        <w:t>an</w:t>
      </w:r>
      <w:commentRangeEnd w:id="3"/>
      <w:r w:rsidR="0079058F">
        <w:rPr>
          <w:rStyle w:val="CommentReference"/>
        </w:rPr>
        <w:commentReference w:id="3"/>
      </w:r>
      <w:r w:rsidR="0079058F">
        <w:t xml:space="preserve"> </w:t>
      </w:r>
      <w:proofErr w:type="spellStart"/>
      <w:r w:rsidR="0079058F">
        <w:t>xyz</w:t>
      </w:r>
      <w:proofErr w:type="spellEnd"/>
      <w:r w:rsidR="0079058F">
        <w:t xml:space="preserve"> response frame.</w:t>
      </w:r>
    </w:p>
    <w:p w14:paraId="6DD81396" w14:textId="77777777" w:rsidR="0079058F" w:rsidRDefault="0079058F" w:rsidP="00B36AEC">
      <w:pPr>
        <w:numPr>
          <w:ilvl w:val="0"/>
          <w:numId w:val="9"/>
        </w:numPr>
      </w:pPr>
      <w:commentRangeStart w:id="4"/>
      <w:r>
        <w:t>The</w:t>
      </w:r>
      <w:commentRangeEnd w:id="4"/>
      <w:r>
        <w:rPr>
          <w:rStyle w:val="CommentReference"/>
        </w:rPr>
        <w:commentReference w:id="4"/>
      </w:r>
      <w:r>
        <w:t xml:space="preserve"> </w:t>
      </w:r>
      <w:proofErr w:type="spellStart"/>
      <w:r>
        <w:t>xyz</w:t>
      </w:r>
      <w:proofErr w:type="spellEnd"/>
      <w:r>
        <w:t xml:space="preserve"> response frame shall have </w:t>
      </w:r>
      <w:commentRangeStart w:id="5"/>
      <w:r>
        <w:t>the</w:t>
      </w:r>
      <w:commentRangeEnd w:id="5"/>
      <w:r>
        <w:rPr>
          <w:rStyle w:val="CommentReference"/>
        </w:rPr>
        <w:commentReference w:id="5"/>
      </w:r>
      <w:r>
        <w:t xml:space="preserve"> def field set to 1.</w:t>
      </w:r>
    </w:p>
    <w:p w14:paraId="01E73A0A" w14:textId="768AF114" w:rsidR="000F2EC5" w:rsidRDefault="0079058F" w:rsidP="00B36AEC">
      <w:pPr>
        <w:numPr>
          <w:ilvl w:val="0"/>
          <w:numId w:val="9"/>
        </w:numPr>
      </w:pPr>
      <w:commentRangeStart w:id="6"/>
      <w:r>
        <w:t>The</w:t>
      </w:r>
      <w:commentRangeEnd w:id="6"/>
      <w:r>
        <w:rPr>
          <w:rStyle w:val="CommentReference"/>
        </w:rPr>
        <w:commentReference w:id="6"/>
      </w:r>
      <w:r>
        <w:t xml:space="preserve"> STA shall wait for another </w:t>
      </w:r>
      <w:proofErr w:type="spellStart"/>
      <w:r>
        <w:t>abc</w:t>
      </w:r>
      <w:proofErr w:type="spellEnd"/>
      <w:r>
        <w:t xml:space="preserve"> frame for up to </w:t>
      </w:r>
      <w:proofErr w:type="spellStart"/>
      <w:r>
        <w:t>aWaitTime</w:t>
      </w:r>
      <w:proofErr w:type="spellEnd"/>
      <w:r>
        <w:t xml:space="preserve">, and if no such frame </w:t>
      </w:r>
      <w:proofErr w:type="gramStart"/>
      <w:r>
        <w:t>arrives,  explode</w:t>
      </w:r>
      <w:proofErr w:type="gramEnd"/>
      <w:r>
        <w:t xml:space="preserve"> in a puff of logic.</w:t>
      </w:r>
    </w:p>
    <w:p w14:paraId="1EAA481C" w14:textId="77777777" w:rsidR="00AE0463" w:rsidRDefault="00AE0463" w:rsidP="000F2EC5">
      <w:pPr>
        <w:pStyle w:val="Heading3"/>
      </w:pPr>
      <w:r>
        <w:t>Missing noun in noun phrase</w:t>
      </w:r>
    </w:p>
    <w:p w14:paraId="756F1E7C" w14:textId="77777777" w:rsidR="00AE0463" w:rsidRDefault="00AE0463" w:rsidP="00C911A8">
      <w:pPr>
        <w:jc w:val="both"/>
      </w:pPr>
      <w:r>
        <w:t>Many of the things we define take part in a noun phrase.  For example,</w:t>
      </w:r>
    </w:p>
    <w:p w14:paraId="42F1758E" w14:textId="77777777" w:rsidR="00AE0463" w:rsidRDefault="00AE0463" w:rsidP="00C911A8">
      <w:pPr>
        <w:jc w:val="both"/>
      </w:pPr>
    </w:p>
    <w:p w14:paraId="4437A1D3" w14:textId="77777777" w:rsidR="00AE0463" w:rsidRDefault="00AE0463" w:rsidP="00C911A8">
      <w:pPr>
        <w:jc w:val="both"/>
      </w:pPr>
      <w:r>
        <w:t xml:space="preserve">A Beacon </w:t>
      </w:r>
      <w:proofErr w:type="gramStart"/>
      <w:r>
        <w:t>frame</w:t>
      </w:r>
      <w:proofErr w:type="gramEnd"/>
    </w:p>
    <w:p w14:paraId="2548024E" w14:textId="77777777" w:rsidR="00AE0463" w:rsidRDefault="00AE0463" w:rsidP="00C911A8">
      <w:pPr>
        <w:jc w:val="both"/>
      </w:pPr>
      <w:r>
        <w:t>The HT Capabilities element</w:t>
      </w:r>
    </w:p>
    <w:p w14:paraId="568D3E54" w14:textId="77777777" w:rsidR="00AE0463" w:rsidRDefault="00AE0463" w:rsidP="00C911A8">
      <w:pPr>
        <w:jc w:val="both"/>
      </w:pPr>
      <w:r>
        <w:t>The HT Capabilities Info field [of the HT Capabilities element]</w:t>
      </w:r>
    </w:p>
    <w:p w14:paraId="039D0E1C" w14:textId="4EF5F6DD" w:rsidR="00AE0463" w:rsidRDefault="00AE0463" w:rsidP="00C911A8">
      <w:pPr>
        <w:jc w:val="both"/>
      </w:pPr>
      <w:r>
        <w:t>The HT-Greenfield subfield [</w:t>
      </w:r>
      <w:r w:rsidR="00940FE1">
        <w:t xml:space="preserve">of the </w:t>
      </w:r>
      <w:proofErr w:type="spellStart"/>
      <w:r>
        <w:t>The</w:t>
      </w:r>
      <w:proofErr w:type="spellEnd"/>
      <w:r>
        <w:t xml:space="preserve"> HT Capabilities Info field [of the HT Capabilities element]]</w:t>
      </w:r>
    </w:p>
    <w:p w14:paraId="3B3309BC" w14:textId="4C76C5AB" w:rsidR="00AE0463" w:rsidRPr="003F0497" w:rsidRDefault="00940FE1" w:rsidP="00C911A8">
      <w:pPr>
        <w:jc w:val="both"/>
      </w:pPr>
      <w:r>
        <w:t xml:space="preserve">A </w:t>
      </w:r>
      <w:r w:rsidR="00A94F13" w:rsidRPr="003F0497">
        <w:t>PHY-</w:t>
      </w:r>
      <w:proofErr w:type="spellStart"/>
      <w:r w:rsidR="00A94F13" w:rsidRPr="003F0497">
        <w:t>TXSTART.confirm</w:t>
      </w:r>
      <w:proofErr w:type="spellEnd"/>
      <w:r w:rsidR="00A94F13" w:rsidRPr="003F0497">
        <w:t xml:space="preserve"> primitive.</w:t>
      </w:r>
    </w:p>
    <w:p w14:paraId="300948AA" w14:textId="77777777" w:rsidR="00A94F13" w:rsidRPr="003F0497" w:rsidRDefault="00A94F13" w:rsidP="00C911A8">
      <w:pPr>
        <w:jc w:val="both"/>
      </w:pPr>
      <w:r w:rsidRPr="003F0497">
        <w:t xml:space="preserve">The Length </w:t>
      </w:r>
      <w:proofErr w:type="gramStart"/>
      <w:r w:rsidRPr="003F0497">
        <w:t>field</w:t>
      </w:r>
      <w:proofErr w:type="gramEnd"/>
      <w:r w:rsidRPr="003F0497">
        <w:t>.</w:t>
      </w:r>
    </w:p>
    <w:p w14:paraId="6F3573A7" w14:textId="77777777" w:rsidR="00A94F13" w:rsidRPr="003F0497" w:rsidRDefault="00A94F13" w:rsidP="00C911A8">
      <w:pPr>
        <w:jc w:val="both"/>
      </w:pPr>
    </w:p>
    <w:p w14:paraId="70A2BBF6" w14:textId="27B52F6F" w:rsidR="00A94F13" w:rsidRPr="00AE0463" w:rsidRDefault="00A94F13" w:rsidP="00C911A8">
      <w:pPr>
        <w:jc w:val="both"/>
      </w:pPr>
      <w:r w:rsidRPr="003F0497">
        <w:t xml:space="preserve">Do not miss out the “noun” part of the noun phrase.   i.e., “The Length </w:t>
      </w:r>
      <w:r w:rsidR="00C911A8">
        <w:t xml:space="preserve">field is set to 1” is correct, </w:t>
      </w:r>
      <w:r w:rsidRPr="003F0497">
        <w:t>but “The Length is 1” is incorrect.</w:t>
      </w:r>
    </w:p>
    <w:p w14:paraId="2E11B498" w14:textId="77777777" w:rsidR="00B36719" w:rsidRDefault="00B36719" w:rsidP="007E54C7">
      <w:pPr>
        <w:pStyle w:val="Heading3"/>
      </w:pPr>
      <w:r>
        <w:lastRenderedPageBreak/>
        <w:t>Unnecessary noun in noun phrase</w:t>
      </w:r>
    </w:p>
    <w:p w14:paraId="7849F82B" w14:textId="77777777" w:rsidR="00B36719" w:rsidRDefault="00B36719" w:rsidP="00C911A8">
      <w:pPr>
        <w:jc w:val="both"/>
      </w:pPr>
      <w:r>
        <w:t>The following terms are already noun phrases and do not need any following nouns:</w:t>
      </w:r>
    </w:p>
    <w:p w14:paraId="48C2785D" w14:textId="77777777" w:rsidR="00B36719" w:rsidRPr="0091708F" w:rsidRDefault="00B36719" w:rsidP="00B36AEC">
      <w:pPr>
        <w:pStyle w:val="ListParagraph"/>
        <w:numPr>
          <w:ilvl w:val="0"/>
          <w:numId w:val="20"/>
        </w:numPr>
        <w:jc w:val="both"/>
      </w:pPr>
      <w:r>
        <w:t>A SIFS (and all the other IFS values).  There is no need to follow with “spacing”</w:t>
      </w:r>
      <w:proofErr w:type="gramStart"/>
      <w:r>
        <w:t>/”period</w:t>
      </w:r>
      <w:proofErr w:type="gramEnd"/>
      <w:r>
        <w:t>”/”Interval”</w:t>
      </w:r>
      <w:r w:rsidR="007E54C7">
        <w:t>.</w:t>
      </w:r>
    </w:p>
    <w:p w14:paraId="0878AD09" w14:textId="608EF516" w:rsidR="00E6229C" w:rsidRDefault="000F2EC5" w:rsidP="00B859EB">
      <w:pPr>
        <w:pStyle w:val="Heading3"/>
      </w:pPr>
      <w:r>
        <w:t>Unicast and Multicast</w:t>
      </w:r>
    </w:p>
    <w:p w14:paraId="4C39A4BF" w14:textId="5D9062D2" w:rsidR="00810966" w:rsidRDefault="00E6229C" w:rsidP="00C911A8">
      <w:pPr>
        <w:pStyle w:val="PlainText"/>
        <w:jc w:val="both"/>
        <w:rPr>
          <w:rFonts w:ascii="Times New Roman" w:hAnsi="Times New Roman" w:cs="Times New Roman"/>
        </w:rPr>
      </w:pPr>
      <w:r w:rsidRPr="002E0D5D">
        <w:rPr>
          <w:rFonts w:ascii="Times New Roman" w:hAnsi="Times New Roman" w:cs="Times New Roman"/>
        </w:rPr>
        <w:t xml:space="preserve">When </w:t>
      </w:r>
      <w:r w:rsidR="00810966">
        <w:rPr>
          <w:rFonts w:ascii="Times New Roman" w:hAnsi="Times New Roman" w:cs="Times New Roman"/>
        </w:rPr>
        <w:t>used to describe</w:t>
      </w:r>
      <w:r w:rsidR="00810966" w:rsidRPr="002E0D5D">
        <w:rPr>
          <w:rFonts w:ascii="Times New Roman" w:hAnsi="Times New Roman" w:cs="Times New Roman"/>
        </w:rPr>
        <w:t xml:space="preserve"> MA</w:t>
      </w:r>
      <w:r w:rsidRPr="002E0D5D">
        <w:rPr>
          <w:rFonts w:ascii="Times New Roman" w:hAnsi="Times New Roman" w:cs="Times New Roman"/>
        </w:rPr>
        <w:t xml:space="preserve">C entities, </w:t>
      </w:r>
      <w:r w:rsidR="003551F8">
        <w:rPr>
          <w:rFonts w:ascii="Times New Roman" w:hAnsi="Times New Roman" w:cs="Times New Roman"/>
        </w:rPr>
        <w:t xml:space="preserve">the </w:t>
      </w:r>
      <w:r w:rsidRPr="0099034C">
        <w:rPr>
          <w:rFonts w:ascii="Times New Roman" w:hAnsi="Times New Roman" w:cs="Times New Roman"/>
        </w:rPr>
        <w:t xml:space="preserve">adjectives “unicast” </w:t>
      </w:r>
      <w:r w:rsidR="003551F8">
        <w:rPr>
          <w:rFonts w:ascii="Times New Roman" w:hAnsi="Times New Roman" w:cs="Times New Roman"/>
        </w:rPr>
        <w:t>and</w:t>
      </w:r>
      <w:r w:rsidRPr="002E0D5D">
        <w:rPr>
          <w:rFonts w:ascii="Times New Roman" w:hAnsi="Times New Roman" w:cs="Times New Roman"/>
        </w:rPr>
        <w:t xml:space="preserve"> “directed” are deprecated in favor of “individually addressed” or “that is an individual address” and the adjective “multicast” is deprecated in favor of “group addressed” or “that is a group address</w:t>
      </w:r>
      <w:r w:rsidR="00810966">
        <w:rPr>
          <w:rFonts w:ascii="Times New Roman" w:hAnsi="Times New Roman" w:cs="Times New Roman"/>
        </w:rPr>
        <w:t xml:space="preserve">. </w:t>
      </w:r>
    </w:p>
    <w:p w14:paraId="3F62D279" w14:textId="77777777" w:rsidR="00810966" w:rsidRDefault="00E6229C" w:rsidP="00B36AEC">
      <w:pPr>
        <w:pStyle w:val="PlainText"/>
        <w:numPr>
          <w:ilvl w:val="0"/>
          <w:numId w:val="30"/>
        </w:numPr>
        <w:jc w:val="both"/>
        <w:rPr>
          <w:rFonts w:ascii="Times New Roman" w:hAnsi="Times New Roman" w:cs="Times New Roman"/>
        </w:rPr>
      </w:pPr>
      <w:r w:rsidRPr="002E0D5D">
        <w:rPr>
          <w:rFonts w:ascii="Times New Roman" w:hAnsi="Times New Roman" w:cs="Times New Roman"/>
        </w:rPr>
        <w:t xml:space="preserve">To modify a noun such as frame, MPDU, MSDU, PPDU, etc., or a conceptual object such MAC entity, use “individually addressed frame” or &lt;example with MAC entity&gt;. </w:t>
      </w:r>
    </w:p>
    <w:p w14:paraId="46354D7C" w14:textId="4D3154A2" w:rsidR="00E6229C" w:rsidRPr="002E0D5D" w:rsidRDefault="00E6229C" w:rsidP="00B36AEC">
      <w:pPr>
        <w:pStyle w:val="PlainText"/>
        <w:numPr>
          <w:ilvl w:val="0"/>
          <w:numId w:val="30"/>
        </w:numPr>
        <w:jc w:val="both"/>
        <w:rPr>
          <w:rFonts w:ascii="Times New Roman" w:hAnsi="Times New Roman" w:cs="Times New Roman"/>
        </w:rPr>
      </w:pPr>
      <w:r w:rsidRPr="002E0D5D">
        <w:rPr>
          <w:rFonts w:ascii="Times New Roman" w:hAnsi="Times New Roman" w:cs="Times New Roman"/>
        </w:rPr>
        <w:t>To describing a type of address, use “that is an individual address” or “that is a group address.” For example, “destination address that is an individual address” or “RA that is a group address.”</w:t>
      </w:r>
    </w:p>
    <w:p w14:paraId="1892D8EF" w14:textId="77777777" w:rsidR="00E6229C" w:rsidRPr="002E0D5D" w:rsidRDefault="00E6229C" w:rsidP="00C911A8">
      <w:pPr>
        <w:jc w:val="both"/>
        <w:rPr>
          <w:b/>
          <w:lang w:val="en-US"/>
        </w:rPr>
      </w:pPr>
    </w:p>
    <w:p w14:paraId="5B327379" w14:textId="3B6C8591" w:rsidR="00FA1FF2" w:rsidRPr="0057334B" w:rsidRDefault="003551F8" w:rsidP="00C911A8">
      <w:pPr>
        <w:autoSpaceDE w:val="0"/>
        <w:autoSpaceDN w:val="0"/>
        <w:adjustRightInd w:val="0"/>
        <w:jc w:val="both"/>
      </w:pPr>
      <w:r>
        <w:t xml:space="preserve">The terms </w:t>
      </w:r>
      <w:r w:rsidR="00FA1FF2" w:rsidRPr="0057334B">
        <w:t xml:space="preserve">“unicast” </w:t>
      </w:r>
      <w:r w:rsidR="00810966">
        <w:t>(</w:t>
      </w:r>
      <w:r w:rsidR="00E6229C">
        <w:t>or “directed”</w:t>
      </w:r>
      <w:r w:rsidR="00810966">
        <w:t>)</w:t>
      </w:r>
      <w:r w:rsidR="00E6229C">
        <w:t xml:space="preserve"> </w:t>
      </w:r>
      <w:r w:rsidR="00FA1FF2" w:rsidRPr="0057334B">
        <w:t xml:space="preserve">and “multicast” </w:t>
      </w:r>
      <w:r>
        <w:t>may be</w:t>
      </w:r>
      <w:r w:rsidR="00FA1FF2" w:rsidRPr="0057334B">
        <w:t xml:space="preserve"> used </w:t>
      </w:r>
      <w:r w:rsidR="00810966">
        <w:t>with</w:t>
      </w:r>
      <w:r w:rsidR="00FA1FF2" w:rsidRPr="0057334B">
        <w:t xml:space="preserve"> non-MAC entities, </w:t>
      </w:r>
      <w:r>
        <w:t>f</w:t>
      </w:r>
      <w:r w:rsidR="00FA1FF2" w:rsidRPr="0057334B">
        <w:t xml:space="preserve">or example:  </w:t>
      </w:r>
    </w:p>
    <w:p w14:paraId="3984CC8A" w14:textId="77777777" w:rsidR="00FA1FF2" w:rsidRPr="00A44052" w:rsidRDefault="00FA1FF2" w:rsidP="00B36AEC">
      <w:pPr>
        <w:pStyle w:val="ListParagraph"/>
        <w:numPr>
          <w:ilvl w:val="0"/>
          <w:numId w:val="28"/>
        </w:numPr>
        <w:autoSpaceDE w:val="0"/>
        <w:autoSpaceDN w:val="0"/>
        <w:adjustRightInd w:val="0"/>
        <w:contextualSpacing w:val="0"/>
        <w:jc w:val="both"/>
        <w:rPr>
          <w:szCs w:val="22"/>
        </w:rPr>
      </w:pPr>
      <w:r w:rsidRPr="00A44052">
        <w:rPr>
          <w:szCs w:val="22"/>
        </w:rPr>
        <w:t>Unicast communication</w:t>
      </w:r>
    </w:p>
    <w:p w14:paraId="36A78CF8" w14:textId="29BB313D"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rPr>
        <w:t xml:space="preserve">MIB </w:t>
      </w:r>
      <w:r w:rsidR="003551F8">
        <w:rPr>
          <w:szCs w:val="22"/>
        </w:rPr>
        <w:t xml:space="preserve">object names </w:t>
      </w:r>
    </w:p>
    <w:p w14:paraId="54D7E0D5"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rPr>
        <w:t xml:space="preserve">directed multicast </w:t>
      </w:r>
      <w:r w:rsidRPr="002E0D5D">
        <w:rPr>
          <w:rFonts w:eastAsia="Arial-BoldMT"/>
          <w:bCs/>
          <w:szCs w:val="22"/>
          <w:lang w:val="en-US"/>
        </w:rPr>
        <w:t>service</w:t>
      </w:r>
    </w:p>
    <w:p w14:paraId="78D923F1"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Flexible multicast service</w:t>
      </w:r>
    </w:p>
    <w:p w14:paraId="3D44C937"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rPr>
        <w:t>M</w:t>
      </w:r>
      <w:proofErr w:type="spellStart"/>
      <w:r w:rsidRPr="002E0D5D">
        <w:rPr>
          <w:szCs w:val="22"/>
          <w:lang w:val="en-US"/>
        </w:rPr>
        <w:t>ulticast</w:t>
      </w:r>
      <w:proofErr w:type="spellEnd"/>
      <w:r w:rsidRPr="002E0D5D">
        <w:rPr>
          <w:szCs w:val="22"/>
        </w:rPr>
        <w:t xml:space="preserve"> </w:t>
      </w:r>
      <w:r w:rsidRPr="002E0D5D">
        <w:rPr>
          <w:szCs w:val="22"/>
          <w:lang w:val="en-US"/>
        </w:rPr>
        <w:t>parameters for FMS Request</w:t>
      </w:r>
    </w:p>
    <w:p w14:paraId="12E815C8"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Multicast Diagnostic</w:t>
      </w:r>
    </w:p>
    <w:p w14:paraId="6C98421D"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FMS multicast rate</w:t>
      </w:r>
    </w:p>
    <w:p w14:paraId="282D5609"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multicast integrity protocol</w:t>
      </w:r>
    </w:p>
    <w:p w14:paraId="6E4A68B7"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Triggered Reporting</w:t>
      </w:r>
    </w:p>
    <w:p w14:paraId="37A01F54"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group</w:t>
      </w:r>
    </w:p>
    <w:p w14:paraId="14DEB442"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reception</w:t>
      </w:r>
    </w:p>
    <w:p w14:paraId="3EB5FA2E"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traffic</w:t>
      </w:r>
    </w:p>
    <w:p w14:paraId="001609BB" w14:textId="3F870930" w:rsidR="00517242" w:rsidRPr="000210A1"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broadcast/multicast transmitter,</w:t>
      </w:r>
    </w:p>
    <w:p w14:paraId="63261C7A" w14:textId="638A64D2" w:rsidR="003B103A" w:rsidRPr="00B2427E" w:rsidRDefault="003B103A" w:rsidP="000210A1">
      <w:pPr>
        <w:pStyle w:val="Heading3"/>
      </w:pPr>
      <w:r>
        <w:t>Normative and Informative</w:t>
      </w:r>
    </w:p>
    <w:p w14:paraId="38DF225E" w14:textId="4DA24D97" w:rsidR="00E11C4C" w:rsidRDefault="00E11C4C" w:rsidP="00C911A8">
      <w:pPr>
        <w:jc w:val="both"/>
      </w:pPr>
      <w:r w:rsidRPr="000210A1">
        <w:t>The IEEE-SA Standards Board Operations Manual defines which parts of a standard are normative and which parts of a standard are informative. Normative text is information that is required to implement the standard and is therefore officially part of the standard. Informative text is provided for information only and is therefore not officially part of the standard.</w:t>
      </w:r>
    </w:p>
    <w:p w14:paraId="092216CE" w14:textId="77777777" w:rsidR="00E11C4C" w:rsidRDefault="00E11C4C" w:rsidP="00C911A8">
      <w:pPr>
        <w:jc w:val="both"/>
      </w:pPr>
      <w:r w:rsidRPr="000210A1">
        <w:t>Normative text (information required to implement the standard) includes the following:</w:t>
      </w:r>
    </w:p>
    <w:p w14:paraId="5FE90389" w14:textId="77777777" w:rsidR="00E11C4C" w:rsidRDefault="00E11C4C" w:rsidP="00B36AEC">
      <w:pPr>
        <w:pStyle w:val="ListParagraph"/>
        <w:numPr>
          <w:ilvl w:val="0"/>
          <w:numId w:val="34"/>
        </w:numPr>
        <w:jc w:val="both"/>
      </w:pPr>
      <w:r w:rsidRPr="000210A1">
        <w:t>The main clauses of the documents including figures, tables, and equations</w:t>
      </w:r>
    </w:p>
    <w:p w14:paraId="189A826B" w14:textId="4D70152B" w:rsidR="00E11C4C" w:rsidRPr="000210A1" w:rsidRDefault="00E11C4C" w:rsidP="00B36AEC">
      <w:pPr>
        <w:pStyle w:val="ListParagraph"/>
        <w:numPr>
          <w:ilvl w:val="0"/>
          <w:numId w:val="34"/>
        </w:numPr>
        <w:jc w:val="both"/>
      </w:pPr>
      <w:r w:rsidRPr="000210A1">
        <w:t>Footnotes to tables</w:t>
      </w:r>
    </w:p>
    <w:p w14:paraId="66878753" w14:textId="77777777" w:rsidR="00E11C4C" w:rsidRDefault="00E11C4C" w:rsidP="00C911A8">
      <w:pPr>
        <w:jc w:val="both"/>
      </w:pPr>
    </w:p>
    <w:p w14:paraId="51955F4A" w14:textId="77777777" w:rsidR="00E11C4C" w:rsidRDefault="00E11C4C" w:rsidP="00C911A8">
      <w:pPr>
        <w:jc w:val="both"/>
      </w:pPr>
      <w:r w:rsidRPr="000210A1">
        <w:t xml:space="preserve">Interspersed normative and informative text is not allowed.  As such, </w:t>
      </w:r>
    </w:p>
    <w:p w14:paraId="34FAA6FB" w14:textId="7AE5CC24" w:rsidR="00E11C4C" w:rsidRDefault="008A6FC8" w:rsidP="00B36AEC">
      <w:pPr>
        <w:pStyle w:val="ListParagraph"/>
        <w:numPr>
          <w:ilvl w:val="0"/>
          <w:numId w:val="33"/>
        </w:numPr>
        <w:jc w:val="both"/>
      </w:pPr>
      <w:r>
        <w:t>N</w:t>
      </w:r>
      <w:r w:rsidR="00E11C4C" w:rsidRPr="000210A1">
        <w:t xml:space="preserve">either clauses nor subclauses shall be </w:t>
      </w:r>
      <w:proofErr w:type="spellStart"/>
      <w:r w:rsidR="00E11C4C" w:rsidRPr="000210A1">
        <w:t>labeled</w:t>
      </w:r>
      <w:proofErr w:type="spellEnd"/>
      <w:r w:rsidR="00E11C4C" w:rsidRPr="000210A1">
        <w:t xml:space="preserve"> as informative.</w:t>
      </w:r>
    </w:p>
    <w:p w14:paraId="6EDCE85E" w14:textId="24B99271" w:rsidR="003B103A" w:rsidRPr="004A2D07" w:rsidRDefault="00E11C4C" w:rsidP="00B36AEC">
      <w:pPr>
        <w:pStyle w:val="ListParagraph"/>
        <w:numPr>
          <w:ilvl w:val="0"/>
          <w:numId w:val="33"/>
        </w:numPr>
        <w:jc w:val="both"/>
      </w:pPr>
      <w:r>
        <w:t xml:space="preserve">Figures or tables in clauses shall not be </w:t>
      </w:r>
      <w:proofErr w:type="spellStart"/>
      <w:r>
        <w:t>lab</w:t>
      </w:r>
      <w:r w:rsidR="001A44F6">
        <w:t>e</w:t>
      </w:r>
      <w:r>
        <w:t>led</w:t>
      </w:r>
      <w:proofErr w:type="spellEnd"/>
      <w:r>
        <w:t xml:space="preserve"> as informative. </w:t>
      </w:r>
    </w:p>
    <w:p w14:paraId="36AF5464" w14:textId="77777777" w:rsidR="00B2427E" w:rsidRDefault="00B2427E" w:rsidP="00FA1C78">
      <w:pPr>
        <w:pStyle w:val="Heading2"/>
      </w:pPr>
      <w:bookmarkStart w:id="7" w:name="_Ref3264620"/>
      <w:r>
        <w:t>Numbers</w:t>
      </w:r>
      <w:bookmarkEnd w:id="7"/>
    </w:p>
    <w:p w14:paraId="20568FAD" w14:textId="4F3785F1" w:rsidR="00B2427E" w:rsidRDefault="00B2427E" w:rsidP="00C911A8">
      <w:pPr>
        <w:jc w:val="both"/>
      </w:pPr>
      <w:r>
        <w:t xml:space="preserve">Values are shown as digits when representing the value of </w:t>
      </w:r>
      <w:proofErr w:type="gramStart"/>
      <w:r>
        <w:t>fields, and</w:t>
      </w:r>
      <w:proofErr w:type="gramEnd"/>
      <w:r>
        <w:t xml:space="preserve"> follows the IEEE Style Guide otherwise.   </w:t>
      </w:r>
      <w:r w:rsidR="00D82AB4">
        <w:t>For example,</w:t>
      </w:r>
      <w:r w:rsidR="00C911A8">
        <w:t xml:space="preserve"> “set to 1” </w:t>
      </w:r>
      <w:r>
        <w:t>and “two packets”.</w:t>
      </w:r>
    </w:p>
    <w:p w14:paraId="33D2B617" w14:textId="77777777" w:rsidR="00A94F13" w:rsidRDefault="00A94F13" w:rsidP="00C911A8">
      <w:pPr>
        <w:jc w:val="both"/>
      </w:pPr>
    </w:p>
    <w:p w14:paraId="35A06CD1" w14:textId="53E1F064" w:rsidR="00A94F13" w:rsidRDefault="00C911A8" w:rsidP="00C911A8">
      <w:pPr>
        <w:jc w:val="both"/>
      </w:pPr>
      <w:r>
        <w:t>Also,</w:t>
      </w:r>
      <w:r w:rsidR="00A94F13">
        <w:t xml:space="preserve"> specific usages:</w:t>
      </w:r>
    </w:p>
    <w:p w14:paraId="2FE5EE02" w14:textId="0EDD6537" w:rsidR="00460992" w:rsidRDefault="00460992" w:rsidP="00B36AEC">
      <w:pPr>
        <w:pStyle w:val="ListParagraph"/>
        <w:numPr>
          <w:ilvl w:val="0"/>
          <w:numId w:val="15"/>
        </w:numPr>
        <w:jc w:val="both"/>
      </w:pPr>
      <w:r>
        <w:t xml:space="preserve">“0s”, “1s” </w:t>
      </w:r>
      <w:proofErr w:type="gramStart"/>
      <w:r>
        <w:t>and  “</w:t>
      </w:r>
      <w:proofErr w:type="gramEnd"/>
      <w:r>
        <w:t xml:space="preserve">2s”,  </w:t>
      </w:r>
      <w:r w:rsidRPr="003F0497">
        <w:rPr>
          <w:b/>
        </w:rPr>
        <w:t>not</w:t>
      </w:r>
      <w:r>
        <w:t xml:space="preserve"> “zeros”, “ones” and “twos”</w:t>
      </w:r>
    </w:p>
    <w:p w14:paraId="667B6D4F" w14:textId="69480EB4" w:rsidR="00A94F13" w:rsidRDefault="001346EE" w:rsidP="00B36AEC">
      <w:pPr>
        <w:pStyle w:val="ListParagraph"/>
        <w:numPr>
          <w:ilvl w:val="0"/>
          <w:numId w:val="15"/>
        </w:numPr>
        <w:jc w:val="both"/>
      </w:pPr>
      <w:r>
        <w:t xml:space="preserve"> “1s complement”, “2s complement</w:t>
      </w:r>
      <w:proofErr w:type="gramStart"/>
      <w:r>
        <w:t>”,  “</w:t>
      </w:r>
      <w:proofErr w:type="gramEnd"/>
      <w:r>
        <w:t>the register initialized with three 1s and two 0s”</w:t>
      </w:r>
    </w:p>
    <w:p w14:paraId="5E80B782" w14:textId="53639071" w:rsidR="00460992" w:rsidRDefault="00460992" w:rsidP="00B36AEC">
      <w:pPr>
        <w:pStyle w:val="ListParagraph"/>
        <w:numPr>
          <w:ilvl w:val="1"/>
          <w:numId w:val="15"/>
        </w:numPr>
        <w:jc w:val="both"/>
      </w:pPr>
      <w:r w:rsidRPr="003F0497">
        <w:rPr>
          <w:b/>
        </w:rPr>
        <w:t>Not</w:t>
      </w:r>
      <w:r w:rsidR="00C911A8">
        <w:t xml:space="preserve"> “2s-complement” – i.e., </w:t>
      </w:r>
      <w:r>
        <w:t>no hyphen.</w:t>
      </w:r>
    </w:p>
    <w:p w14:paraId="281D524E" w14:textId="77777777" w:rsidR="00A94F13" w:rsidRDefault="00A94F13" w:rsidP="00B36AEC">
      <w:pPr>
        <w:pStyle w:val="ListParagraph"/>
        <w:numPr>
          <w:ilvl w:val="0"/>
          <w:numId w:val="15"/>
        </w:numPr>
        <w:jc w:val="both"/>
      </w:pPr>
      <w:r>
        <w:t xml:space="preserve">“1-octet field” and “field of length one octet” are </w:t>
      </w:r>
      <w:r w:rsidR="009833A1">
        <w:t xml:space="preserve">both </w:t>
      </w:r>
      <w:r>
        <w:t>correct</w:t>
      </w:r>
    </w:p>
    <w:p w14:paraId="1FE0F2B9" w14:textId="77777777" w:rsidR="00460992" w:rsidRDefault="00460992" w:rsidP="00C911A8">
      <w:pPr>
        <w:jc w:val="both"/>
      </w:pPr>
    </w:p>
    <w:p w14:paraId="60FC9849" w14:textId="00948AA4" w:rsidR="00460992" w:rsidRDefault="007D6D0F" w:rsidP="00C911A8">
      <w:pPr>
        <w:jc w:val="both"/>
      </w:pPr>
      <w:r>
        <w:t>Bit</w:t>
      </w:r>
      <w:r w:rsidR="00954D6E">
        <w:t xml:space="preserve"> positions and labels</w:t>
      </w:r>
      <w:r>
        <w:t xml:space="preserve"> are numbered using an up</w:t>
      </w:r>
      <w:r w:rsidR="00BA21DC">
        <w:t xml:space="preserve">per-case B, e.g., </w:t>
      </w:r>
      <w:r>
        <w:t>B12.</w:t>
      </w:r>
    </w:p>
    <w:p w14:paraId="07FAA62E" w14:textId="2D29A10D" w:rsidR="00954D6E" w:rsidRDefault="00ED0691" w:rsidP="00C911A8">
      <w:pPr>
        <w:jc w:val="both"/>
      </w:pPr>
      <w:r>
        <w:t>A</w:t>
      </w:r>
      <w:r w:rsidR="00954D6E">
        <w:t xml:space="preserve"> re</w:t>
      </w:r>
      <w:r w:rsidR="00BA21DC">
        <w:t xml:space="preserve">ference to the value of a bit, </w:t>
      </w:r>
      <w:proofErr w:type="gramStart"/>
      <w:r w:rsidR="00C911A8">
        <w:t>e.g.</w:t>
      </w:r>
      <w:proofErr w:type="gramEnd"/>
      <w:r w:rsidR="00C911A8">
        <w:t xml:space="preserve"> b0, </w:t>
      </w:r>
      <w:r w:rsidR="00954D6E">
        <w:t>ca</w:t>
      </w:r>
      <w:r w:rsidR="00BA21DC">
        <w:t xml:space="preserve">n be lowercase.  In this case, </w:t>
      </w:r>
      <w:r w:rsidR="00954D6E">
        <w:t>“b0” represents the name of a variable.</w:t>
      </w:r>
    </w:p>
    <w:p w14:paraId="07EB55AD" w14:textId="77777777" w:rsidR="00FA1C78" w:rsidRDefault="00FA1C78" w:rsidP="00C911A8">
      <w:pPr>
        <w:jc w:val="both"/>
      </w:pPr>
    </w:p>
    <w:p w14:paraId="6A42916E" w14:textId="58B67ED3" w:rsidR="00A94F13" w:rsidRDefault="00A94F13" w:rsidP="00C911A8">
      <w:pPr>
        <w:jc w:val="both"/>
      </w:pPr>
      <w:r>
        <w:t>Note that there is always a space between a number and its units (e.g., “20 MHz”).  Long numbers have embedded spaces to group digits into threes (e.g., “65 635 octets”).</w:t>
      </w:r>
      <w:r w:rsidR="00ED0691">
        <w:t xml:space="preserve">  Non-breaking spaces (</w:t>
      </w:r>
      <w:proofErr w:type="spellStart"/>
      <w:r w:rsidR="00ED0691">
        <w:t>ctrl+space</w:t>
      </w:r>
      <w:proofErr w:type="spellEnd"/>
      <w:r w:rsidR="00ED0691">
        <w:t>) can be used to avoid unfortunate line breaks in this context.</w:t>
      </w:r>
    </w:p>
    <w:p w14:paraId="143FE15D" w14:textId="77777777" w:rsidR="00960D25" w:rsidRDefault="00960D25" w:rsidP="00C911A8">
      <w:pPr>
        <w:jc w:val="both"/>
      </w:pPr>
    </w:p>
    <w:p w14:paraId="71B56368" w14:textId="57BE7B6B" w:rsidR="00960D25" w:rsidRDefault="00960D25" w:rsidP="00C911A8">
      <w:pPr>
        <w:jc w:val="both"/>
      </w:pPr>
      <w:r>
        <w:t>Note that there is an exception for the MIB; the MIB does not have spaces in long numbers.</w:t>
      </w:r>
    </w:p>
    <w:p w14:paraId="16964C8A" w14:textId="77777777" w:rsidR="007E54C7" w:rsidRDefault="007E54C7" w:rsidP="004B307D">
      <w:pPr>
        <w:pStyle w:val="Heading2"/>
      </w:pPr>
      <w:proofErr w:type="gramStart"/>
      <w:r>
        <w:t>Maths</w:t>
      </w:r>
      <w:proofErr w:type="gramEnd"/>
      <w:r>
        <w:t xml:space="preserve"> operators and relations</w:t>
      </w:r>
    </w:p>
    <w:p w14:paraId="4F9D28CB" w14:textId="584DD2E7" w:rsidR="007E54C7" w:rsidRDefault="00C911A8" w:rsidP="00C911A8">
      <w:pPr>
        <w:jc w:val="both"/>
      </w:pPr>
      <w:r>
        <w:t xml:space="preserve"> </w:t>
      </w:r>
      <w:r w:rsidR="007E54C7">
        <w:t>“x to y” is inclusive of the values of both x and y.   Any use of “up to and</w:t>
      </w:r>
      <w:r>
        <w:t xml:space="preserve"> including” should be avoided, </w:t>
      </w:r>
      <w:r w:rsidR="007E54C7">
        <w:t>because it casts doubt as to whether other uses of “x to y” are somehow not so well specified.</w:t>
      </w:r>
    </w:p>
    <w:p w14:paraId="5B32D3BA" w14:textId="77777777" w:rsidR="007E54C7" w:rsidRDefault="007E54C7" w:rsidP="00C911A8">
      <w:pPr>
        <w:jc w:val="both"/>
      </w:pPr>
      <w:r>
        <w:t>“</w:t>
      </w:r>
      <w:proofErr w:type="gramStart"/>
      <w:r>
        <w:t>up</w:t>
      </w:r>
      <w:proofErr w:type="gramEnd"/>
      <w:r>
        <w:t xml:space="preserve"> to y” is inclusive of the value y.</w:t>
      </w:r>
    </w:p>
    <w:p w14:paraId="72DC757D" w14:textId="77777777" w:rsidR="00D77EEC" w:rsidRDefault="00D77EEC" w:rsidP="00C911A8">
      <w:pPr>
        <w:jc w:val="both"/>
      </w:pPr>
    </w:p>
    <w:p w14:paraId="15F7A0AF" w14:textId="5D9772A5" w:rsidR="007E54C7" w:rsidRDefault="007E54C7" w:rsidP="00C911A8">
      <w:pPr>
        <w:jc w:val="both"/>
      </w:pPr>
      <w:proofErr w:type="gramStart"/>
      <w:r>
        <w:t>Int(</w:t>
      </w:r>
      <w:proofErr w:type="gramEnd"/>
      <w:r>
        <w:t xml:space="preserve">), Floor() and Ceil() </w:t>
      </w:r>
      <w:r w:rsidR="001346EE">
        <w:t xml:space="preserve">and their symbolic forms </w:t>
      </w:r>
      <w:r>
        <w:t xml:space="preserve">are defined in 1.5.   These terms should be used in preference to other equivalent terms.  There is no need for a “where” clause to repeat these definitions.   The symbolic forms for </w:t>
      </w:r>
      <w:proofErr w:type="gramStart"/>
      <w:r>
        <w:t>Floor(</w:t>
      </w:r>
      <w:proofErr w:type="gramEnd"/>
      <w:r>
        <w:t>) and Ceil() should be used</w:t>
      </w:r>
      <w:r w:rsidR="001346EE">
        <w:t xml:space="preserve"> wherever possible.</w:t>
      </w:r>
    </w:p>
    <w:p w14:paraId="18E2B4D8" w14:textId="77777777" w:rsidR="007E4638" w:rsidRDefault="007E4638" w:rsidP="00C911A8">
      <w:pPr>
        <w:jc w:val="both"/>
      </w:pPr>
    </w:p>
    <w:p w14:paraId="4C40933E" w14:textId="68AEE624" w:rsidR="007E4638" w:rsidRDefault="007E4638" w:rsidP="00C911A8">
      <w:pPr>
        <w:jc w:val="both"/>
      </w:pPr>
      <w:r>
        <w:t>In general, use the terms d</w:t>
      </w:r>
      <w:r w:rsidR="00BA21DC">
        <w:t xml:space="preserve">efined in 1.5, not synonyms. </w:t>
      </w:r>
      <w:r>
        <w:t>Do not repeat the definition of these terms elsewhere in the text.</w:t>
      </w:r>
    </w:p>
    <w:p w14:paraId="5751E89F" w14:textId="77777777" w:rsidR="007E4638" w:rsidRDefault="007E4638" w:rsidP="00C911A8">
      <w:pPr>
        <w:jc w:val="both"/>
      </w:pPr>
    </w:p>
    <w:p w14:paraId="57DC2028" w14:textId="7F12B07B" w:rsidR="00A94F13" w:rsidRDefault="007E4638" w:rsidP="00C911A8">
      <w:pPr>
        <w:jc w:val="both"/>
      </w:pPr>
      <w:r>
        <w:t>Note, an Amendment does not exist in isolation, but in the context of its declared baseline.  The terms in 1.5 can be used in an Amendment without further definition</w:t>
      </w:r>
      <w:r w:rsidR="00844F6F">
        <w:t>.</w:t>
      </w:r>
    </w:p>
    <w:p w14:paraId="32CA7C6B" w14:textId="77777777" w:rsidR="00FA1C78" w:rsidRDefault="000027A1" w:rsidP="00FA1C78">
      <w:pPr>
        <w:pStyle w:val="Heading2"/>
      </w:pPr>
      <w:r>
        <w:t xml:space="preserve"> Hyphenation</w:t>
      </w:r>
    </w:p>
    <w:p w14:paraId="15775921" w14:textId="0BF13B88" w:rsidR="00913BC7" w:rsidRDefault="00913BC7" w:rsidP="00C911A8">
      <w:pPr>
        <w:jc w:val="both"/>
      </w:pPr>
    </w:p>
    <w:p w14:paraId="5B49DBFB" w14:textId="77777777" w:rsidR="00913BC7" w:rsidRDefault="00913BC7" w:rsidP="00913BC7">
      <w:pPr>
        <w:jc w:val="both"/>
      </w:pPr>
      <w:r>
        <w:t>Follow the Chicago Manual of Style for use of the hyphen with a prefix; a hyphen should be used with a prefix in the following cases:</w:t>
      </w:r>
    </w:p>
    <w:p w14:paraId="3B891D40" w14:textId="77777777" w:rsidR="00913BC7" w:rsidRDefault="00913BC7" w:rsidP="00913BC7">
      <w:pPr>
        <w:jc w:val="both"/>
      </w:pPr>
    </w:p>
    <w:p w14:paraId="1633FDC3" w14:textId="77777777" w:rsidR="00913BC7" w:rsidRDefault="00913BC7" w:rsidP="00913BC7">
      <w:pPr>
        <w:pStyle w:val="ListParagraph"/>
        <w:numPr>
          <w:ilvl w:val="0"/>
          <w:numId w:val="37"/>
        </w:numPr>
        <w:jc w:val="both"/>
      </w:pPr>
      <w:r>
        <w:t>Before a capitalized word, abbreviation or a numeral, such a non-AP, pre-</w:t>
      </w:r>
      <w:proofErr w:type="gramStart"/>
      <w:r>
        <w:t>1950;</w:t>
      </w:r>
      <w:proofErr w:type="gramEnd"/>
    </w:p>
    <w:p w14:paraId="639AEFB0" w14:textId="77777777" w:rsidR="00913BC7" w:rsidRDefault="00913BC7" w:rsidP="00913BC7">
      <w:pPr>
        <w:pStyle w:val="ListParagraph"/>
        <w:numPr>
          <w:ilvl w:val="0"/>
          <w:numId w:val="37"/>
        </w:numPr>
        <w:jc w:val="both"/>
      </w:pPr>
      <w:r>
        <w:t xml:space="preserve">Before a compound term, such as non-self-sustaining, non–access point (see below for </w:t>
      </w:r>
      <w:proofErr w:type="spellStart"/>
      <w:r>
        <w:t>en</w:t>
      </w:r>
      <w:proofErr w:type="spellEnd"/>
      <w:r>
        <w:t>-dash vs dash</w:t>
      </w:r>
      <w:proofErr w:type="gramStart"/>
      <w:r>
        <w:t>);</w:t>
      </w:r>
      <w:proofErr w:type="gramEnd"/>
    </w:p>
    <w:p w14:paraId="49EA2893" w14:textId="77777777" w:rsidR="00913BC7" w:rsidRDefault="00913BC7" w:rsidP="00913BC7">
      <w:pPr>
        <w:pStyle w:val="ListParagraph"/>
        <w:numPr>
          <w:ilvl w:val="0"/>
          <w:numId w:val="37"/>
        </w:numPr>
        <w:jc w:val="both"/>
      </w:pPr>
      <w:r>
        <w:t xml:space="preserve">To separate two i’s, two </w:t>
      </w:r>
      <w:proofErr w:type="gramStart"/>
      <w:r>
        <w:t>a’s</w:t>
      </w:r>
      <w:proofErr w:type="gramEnd"/>
      <w:r>
        <w:t>, and other combinations of letters or syllables that might cause misreading, such as anti-intellectual, extra-alkaline, pro-life;</w:t>
      </w:r>
    </w:p>
    <w:p w14:paraId="37236FFC" w14:textId="77777777" w:rsidR="00913BC7" w:rsidRDefault="00913BC7" w:rsidP="00913BC7">
      <w:pPr>
        <w:pStyle w:val="ListParagraph"/>
        <w:numPr>
          <w:ilvl w:val="0"/>
          <w:numId w:val="37"/>
        </w:numPr>
        <w:jc w:val="both"/>
      </w:pPr>
      <w:r>
        <w:t>To separate the repeated terms in a double prefix, such as sub-</w:t>
      </w:r>
      <w:proofErr w:type="gramStart"/>
      <w:r>
        <w:t>subentry;</w:t>
      </w:r>
      <w:proofErr w:type="gramEnd"/>
    </w:p>
    <w:p w14:paraId="658BF58E" w14:textId="77777777" w:rsidR="00913BC7" w:rsidRDefault="00913BC7" w:rsidP="00913BC7">
      <w:pPr>
        <w:pStyle w:val="ListParagraph"/>
        <w:numPr>
          <w:ilvl w:val="0"/>
          <w:numId w:val="37"/>
        </w:numPr>
        <w:jc w:val="both"/>
      </w:pPr>
      <w:r>
        <w:t>When a prefix or combining form stands alone, such as over- and underused, macro- and microeconomics.</w:t>
      </w:r>
    </w:p>
    <w:p w14:paraId="45582EB7" w14:textId="77777777" w:rsidR="00913BC7" w:rsidRDefault="00913BC7" w:rsidP="00913BC7">
      <w:pPr>
        <w:jc w:val="both"/>
      </w:pPr>
    </w:p>
    <w:p w14:paraId="6304EC0F" w14:textId="77777777" w:rsidR="00913BC7" w:rsidRDefault="00913BC7" w:rsidP="00913BC7">
      <w:pPr>
        <w:jc w:val="both"/>
      </w:pPr>
      <w:r>
        <w:t xml:space="preserve">Note that when the hyphen is used before an open compound term, the hyphen is an </w:t>
      </w:r>
      <w:proofErr w:type="spellStart"/>
      <w:r>
        <w:t>en</w:t>
      </w:r>
      <w:proofErr w:type="spellEnd"/>
      <w:r>
        <w:t>-dash (e.g., non–access point). This provides a visual clue that the prefix applies to the whole compound and not just the first word. When the hyphen is before a hyphenated compound, then a regular dash is used (e.g., non-self-sustaining).</w:t>
      </w:r>
    </w:p>
    <w:p w14:paraId="4EE0E386" w14:textId="77777777" w:rsidR="00913BC7" w:rsidRDefault="00913BC7" w:rsidP="00913BC7">
      <w:pPr>
        <w:jc w:val="both"/>
      </w:pPr>
    </w:p>
    <w:p w14:paraId="248570FC" w14:textId="77777777" w:rsidR="00913BC7" w:rsidRDefault="00913BC7" w:rsidP="00913BC7">
      <w:pPr>
        <w:jc w:val="both"/>
      </w:pPr>
      <w:r>
        <w:t xml:space="preserve">Further note that this rule </w:t>
      </w:r>
      <w:proofErr w:type="spellStart"/>
      <w:r>
        <w:t>rule</w:t>
      </w:r>
      <w:proofErr w:type="spellEnd"/>
      <w:r>
        <w:t xml:space="preserve"> means we do not hyphenate a compound term that is not normally hyphenated when adding the prefix.</w:t>
      </w:r>
    </w:p>
    <w:p w14:paraId="6D69B929" w14:textId="77777777" w:rsidR="00913BC7" w:rsidRDefault="00913BC7" w:rsidP="00C911A8">
      <w:pPr>
        <w:jc w:val="both"/>
      </w:pPr>
    </w:p>
    <w:p w14:paraId="1E668890" w14:textId="1EA2FA51" w:rsidR="000027A1" w:rsidRDefault="000027A1" w:rsidP="00C911A8">
      <w:pPr>
        <w:jc w:val="both"/>
      </w:pPr>
      <w:r>
        <w:t>Most words created from a prefix and a word should not include a hyphen.</w:t>
      </w:r>
    </w:p>
    <w:p w14:paraId="5E91B867" w14:textId="502FDD19" w:rsidR="000027A1" w:rsidRDefault="000027A1" w:rsidP="00C911A8">
      <w:pPr>
        <w:jc w:val="both"/>
      </w:pPr>
      <w:r>
        <w:t xml:space="preserve">The editor </w:t>
      </w:r>
      <w:proofErr w:type="gramStart"/>
      <w:r>
        <w:t>closed up</w:t>
      </w:r>
      <w:proofErr w:type="gramEnd"/>
      <w:r>
        <w:t xml:space="preserve"> the following compound words </w:t>
      </w:r>
      <w:r w:rsidR="00D82AB4">
        <w:t xml:space="preserve">(not enclosed in parentheses) </w:t>
      </w:r>
      <w:r>
        <w:t>in Std 802.11-2012</w:t>
      </w:r>
      <w:r w:rsidR="00D82AB4">
        <w:t>.  Those terms enclosed in parentheses have been added subsequently as fitting the patter</w:t>
      </w:r>
      <w:r w:rsidR="00ED0691">
        <w:t>n</w:t>
      </w:r>
      <w:r w:rsidR="00D82AB4">
        <w:t xml:space="preserve"> of terms that should not include a hyphen.</w:t>
      </w:r>
    </w:p>
    <w:p w14:paraId="175C3B2F" w14:textId="77777777" w:rsidR="000027A1" w:rsidRDefault="000027A1" w:rsidP="00B36AEC">
      <w:pPr>
        <w:numPr>
          <w:ilvl w:val="0"/>
          <w:numId w:val="13"/>
        </w:numPr>
        <w:jc w:val="both"/>
        <w:rPr>
          <w:lang w:eastAsia="en-GB"/>
        </w:rPr>
        <w:sectPr w:rsidR="000027A1">
          <w:headerReference w:type="default" r:id="rId17"/>
          <w:footerReference w:type="default" r:id="rId18"/>
          <w:pgSz w:w="12240" w:h="15840" w:code="1"/>
          <w:pgMar w:top="1080" w:right="1080" w:bottom="1080" w:left="1080" w:header="432" w:footer="432" w:gutter="720"/>
          <w:cols w:space="720"/>
        </w:sectPr>
      </w:pPr>
    </w:p>
    <w:p w14:paraId="126482D3" w14:textId="34FB8B9B" w:rsidR="00CF363C" w:rsidRDefault="00CF363C" w:rsidP="00B36AEC">
      <w:pPr>
        <w:numPr>
          <w:ilvl w:val="0"/>
          <w:numId w:val="13"/>
        </w:numPr>
        <w:rPr>
          <w:lang w:eastAsia="en-GB"/>
        </w:rPr>
      </w:pPr>
      <w:r>
        <w:rPr>
          <w:lang w:eastAsia="en-GB"/>
        </w:rPr>
        <w:lastRenderedPageBreak/>
        <w:t>nonadjacent</w:t>
      </w:r>
    </w:p>
    <w:p w14:paraId="485745E7" w14:textId="77777777" w:rsidR="000027A1" w:rsidRDefault="000027A1" w:rsidP="00B36AEC">
      <w:pPr>
        <w:numPr>
          <w:ilvl w:val="0"/>
          <w:numId w:val="13"/>
        </w:numPr>
        <w:rPr>
          <w:lang w:eastAsia="en-GB"/>
        </w:rPr>
      </w:pPr>
      <w:r>
        <w:rPr>
          <w:lang w:eastAsia="en-GB"/>
        </w:rPr>
        <w:t>nonauthorized</w:t>
      </w:r>
    </w:p>
    <w:p w14:paraId="572181DD" w14:textId="77777777" w:rsidR="000027A1" w:rsidRDefault="000027A1" w:rsidP="00B36AEC">
      <w:pPr>
        <w:numPr>
          <w:ilvl w:val="0"/>
          <w:numId w:val="13"/>
        </w:numPr>
        <w:rPr>
          <w:lang w:eastAsia="en-GB"/>
        </w:rPr>
      </w:pPr>
      <w:proofErr w:type="spellStart"/>
      <w:r>
        <w:rPr>
          <w:lang w:eastAsia="en-GB"/>
        </w:rPr>
        <w:t>nonbasic</w:t>
      </w:r>
      <w:proofErr w:type="spellEnd"/>
    </w:p>
    <w:p w14:paraId="3B7FD80C" w14:textId="77777777" w:rsidR="000027A1" w:rsidRDefault="000027A1" w:rsidP="00B36AEC">
      <w:pPr>
        <w:numPr>
          <w:ilvl w:val="0"/>
          <w:numId w:val="13"/>
        </w:numPr>
        <w:rPr>
          <w:lang w:eastAsia="en-GB"/>
        </w:rPr>
      </w:pPr>
      <w:proofErr w:type="spellStart"/>
      <w:r>
        <w:rPr>
          <w:lang w:eastAsia="en-GB"/>
        </w:rPr>
        <w:t>nonbufferable</w:t>
      </w:r>
      <w:proofErr w:type="spellEnd"/>
    </w:p>
    <w:p w14:paraId="32901941" w14:textId="77777777" w:rsidR="000027A1" w:rsidRDefault="000027A1" w:rsidP="00B36AEC">
      <w:pPr>
        <w:numPr>
          <w:ilvl w:val="0"/>
          <w:numId w:val="13"/>
        </w:numPr>
        <w:rPr>
          <w:lang w:eastAsia="en-GB"/>
        </w:rPr>
      </w:pPr>
      <w:r>
        <w:rPr>
          <w:lang w:eastAsia="en-GB"/>
        </w:rPr>
        <w:t>noncountry</w:t>
      </w:r>
    </w:p>
    <w:p w14:paraId="5D25A4BC" w14:textId="77777777" w:rsidR="000027A1" w:rsidRDefault="000027A1" w:rsidP="00B36AEC">
      <w:pPr>
        <w:numPr>
          <w:ilvl w:val="0"/>
          <w:numId w:val="13"/>
        </w:numPr>
        <w:rPr>
          <w:lang w:eastAsia="en-GB"/>
        </w:rPr>
      </w:pPr>
      <w:r>
        <w:rPr>
          <w:lang w:eastAsia="en-GB"/>
        </w:rPr>
        <w:t>nondecreasing</w:t>
      </w:r>
    </w:p>
    <w:p w14:paraId="0E606323" w14:textId="281977B0" w:rsidR="00D82AB4" w:rsidRDefault="00D82AB4" w:rsidP="00B36AEC">
      <w:pPr>
        <w:numPr>
          <w:ilvl w:val="0"/>
          <w:numId w:val="13"/>
        </w:numPr>
        <w:rPr>
          <w:lang w:eastAsia="en-GB"/>
        </w:rPr>
      </w:pPr>
      <w:r>
        <w:rPr>
          <w:lang w:eastAsia="en-GB"/>
        </w:rPr>
        <w:t>(nondifferential)</w:t>
      </w:r>
    </w:p>
    <w:p w14:paraId="427B2591" w14:textId="095CF628" w:rsidR="005E4345" w:rsidRDefault="005E4345" w:rsidP="00B36AEC">
      <w:pPr>
        <w:numPr>
          <w:ilvl w:val="0"/>
          <w:numId w:val="13"/>
        </w:numPr>
        <w:rPr>
          <w:lang w:eastAsia="en-GB"/>
        </w:rPr>
      </w:pPr>
      <w:r w:rsidRPr="00031A78">
        <w:rPr>
          <w:szCs w:val="22"/>
        </w:rPr>
        <w:t>nondynamic</w:t>
      </w:r>
    </w:p>
    <w:p w14:paraId="082D9D23" w14:textId="77777777" w:rsidR="000027A1" w:rsidRDefault="000027A1" w:rsidP="00B36AEC">
      <w:pPr>
        <w:numPr>
          <w:ilvl w:val="0"/>
          <w:numId w:val="13"/>
        </w:numPr>
        <w:rPr>
          <w:lang w:eastAsia="en-GB"/>
        </w:rPr>
      </w:pPr>
      <w:r>
        <w:rPr>
          <w:lang w:eastAsia="en-GB"/>
        </w:rPr>
        <w:t>nonempty</w:t>
      </w:r>
    </w:p>
    <w:p w14:paraId="58F1FD36" w14:textId="77777777" w:rsidR="000027A1" w:rsidRDefault="000027A1" w:rsidP="00B36AEC">
      <w:pPr>
        <w:numPr>
          <w:ilvl w:val="0"/>
          <w:numId w:val="13"/>
        </w:numPr>
        <w:rPr>
          <w:lang w:eastAsia="en-GB"/>
        </w:rPr>
      </w:pPr>
      <w:proofErr w:type="spellStart"/>
      <w:r>
        <w:rPr>
          <w:lang w:eastAsia="en-GB"/>
        </w:rPr>
        <w:t>nonexcluded</w:t>
      </w:r>
      <w:proofErr w:type="spellEnd"/>
    </w:p>
    <w:p w14:paraId="568BF4FB" w14:textId="77777777" w:rsidR="000027A1" w:rsidRDefault="000027A1" w:rsidP="00B36AEC">
      <w:pPr>
        <w:numPr>
          <w:ilvl w:val="0"/>
          <w:numId w:val="13"/>
        </w:numPr>
        <w:rPr>
          <w:lang w:eastAsia="en-GB"/>
        </w:rPr>
      </w:pPr>
      <w:r>
        <w:rPr>
          <w:lang w:eastAsia="en-GB"/>
        </w:rPr>
        <w:t>nonextended</w:t>
      </w:r>
    </w:p>
    <w:p w14:paraId="52421E65" w14:textId="77777777" w:rsidR="000027A1" w:rsidRDefault="000027A1" w:rsidP="00B36AEC">
      <w:pPr>
        <w:numPr>
          <w:ilvl w:val="0"/>
          <w:numId w:val="13"/>
        </w:numPr>
        <w:rPr>
          <w:lang w:eastAsia="en-GB"/>
        </w:rPr>
      </w:pPr>
      <w:r>
        <w:rPr>
          <w:lang w:eastAsia="en-GB"/>
        </w:rPr>
        <w:t>nonglobal</w:t>
      </w:r>
    </w:p>
    <w:p w14:paraId="4D94E108" w14:textId="77777777" w:rsidR="000027A1" w:rsidRDefault="000027A1" w:rsidP="00B36AEC">
      <w:pPr>
        <w:numPr>
          <w:ilvl w:val="0"/>
          <w:numId w:val="13"/>
        </w:numPr>
        <w:rPr>
          <w:lang w:eastAsia="en-GB"/>
        </w:rPr>
      </w:pPr>
      <w:proofErr w:type="spellStart"/>
      <w:r>
        <w:rPr>
          <w:lang w:eastAsia="en-GB"/>
        </w:rPr>
        <w:t>nonidentity</w:t>
      </w:r>
      <w:proofErr w:type="spellEnd"/>
    </w:p>
    <w:p w14:paraId="6389CFAA" w14:textId="77777777" w:rsidR="000027A1" w:rsidRDefault="000027A1" w:rsidP="00B36AEC">
      <w:pPr>
        <w:numPr>
          <w:ilvl w:val="0"/>
          <w:numId w:val="13"/>
        </w:numPr>
        <w:rPr>
          <w:lang w:eastAsia="en-GB"/>
        </w:rPr>
      </w:pPr>
      <w:proofErr w:type="spellStart"/>
      <w:r>
        <w:rPr>
          <w:lang w:eastAsia="en-GB"/>
        </w:rPr>
        <w:t>noninfrastructure</w:t>
      </w:r>
      <w:proofErr w:type="spellEnd"/>
    </w:p>
    <w:p w14:paraId="38F08BD8" w14:textId="77777777" w:rsidR="000027A1" w:rsidRDefault="000027A1" w:rsidP="00B36AEC">
      <w:pPr>
        <w:numPr>
          <w:ilvl w:val="0"/>
          <w:numId w:val="13"/>
        </w:numPr>
        <w:rPr>
          <w:lang w:eastAsia="en-GB"/>
        </w:rPr>
      </w:pPr>
      <w:proofErr w:type="spellStart"/>
      <w:r>
        <w:rPr>
          <w:lang w:eastAsia="en-GB"/>
        </w:rPr>
        <w:t>noninteger</w:t>
      </w:r>
      <w:proofErr w:type="spellEnd"/>
    </w:p>
    <w:p w14:paraId="7F31A433" w14:textId="77777777" w:rsidR="000027A1" w:rsidRDefault="000027A1" w:rsidP="00B36AEC">
      <w:pPr>
        <w:numPr>
          <w:ilvl w:val="0"/>
          <w:numId w:val="13"/>
        </w:numPr>
        <w:rPr>
          <w:lang w:eastAsia="en-GB"/>
        </w:rPr>
      </w:pPr>
      <w:proofErr w:type="spellStart"/>
      <w:r>
        <w:rPr>
          <w:lang w:eastAsia="en-GB"/>
        </w:rPr>
        <w:t>noninvasive</w:t>
      </w:r>
      <w:proofErr w:type="spellEnd"/>
    </w:p>
    <w:p w14:paraId="2E75245A" w14:textId="77777777" w:rsidR="000027A1" w:rsidRDefault="000027A1" w:rsidP="00B36AEC">
      <w:pPr>
        <w:numPr>
          <w:ilvl w:val="0"/>
          <w:numId w:val="13"/>
        </w:numPr>
        <w:rPr>
          <w:lang w:eastAsia="en-GB"/>
        </w:rPr>
      </w:pPr>
      <w:proofErr w:type="spellStart"/>
      <w:r>
        <w:rPr>
          <w:lang w:eastAsia="en-GB"/>
        </w:rPr>
        <w:t>nonmember</w:t>
      </w:r>
      <w:proofErr w:type="spellEnd"/>
    </w:p>
    <w:p w14:paraId="5F0052DB" w14:textId="77777777" w:rsidR="000027A1" w:rsidRDefault="000027A1" w:rsidP="00B36AEC">
      <w:pPr>
        <w:numPr>
          <w:ilvl w:val="0"/>
          <w:numId w:val="13"/>
        </w:numPr>
        <w:rPr>
          <w:lang w:eastAsia="en-GB"/>
        </w:rPr>
      </w:pPr>
      <w:proofErr w:type="spellStart"/>
      <w:r>
        <w:rPr>
          <w:lang w:eastAsia="en-GB"/>
        </w:rPr>
        <w:t>nonmesh</w:t>
      </w:r>
      <w:proofErr w:type="spellEnd"/>
    </w:p>
    <w:p w14:paraId="2A77844F" w14:textId="77777777" w:rsidR="000027A1" w:rsidRDefault="000027A1" w:rsidP="00B36AEC">
      <w:pPr>
        <w:numPr>
          <w:ilvl w:val="0"/>
          <w:numId w:val="13"/>
        </w:numPr>
        <w:rPr>
          <w:lang w:eastAsia="en-GB"/>
        </w:rPr>
      </w:pPr>
      <w:r>
        <w:rPr>
          <w:lang w:eastAsia="en-GB"/>
        </w:rPr>
        <w:t>nonmobile</w:t>
      </w:r>
    </w:p>
    <w:p w14:paraId="461BA1FE" w14:textId="77777777" w:rsidR="000027A1" w:rsidRDefault="000027A1" w:rsidP="00B36AEC">
      <w:pPr>
        <w:numPr>
          <w:ilvl w:val="0"/>
          <w:numId w:val="13"/>
        </w:numPr>
        <w:rPr>
          <w:lang w:eastAsia="en-GB"/>
        </w:rPr>
      </w:pPr>
      <w:r>
        <w:rPr>
          <w:lang w:eastAsia="en-GB"/>
        </w:rPr>
        <w:t>nonoperating</w:t>
      </w:r>
    </w:p>
    <w:p w14:paraId="2D225834" w14:textId="77777777" w:rsidR="000027A1" w:rsidRDefault="000027A1" w:rsidP="00B36AEC">
      <w:pPr>
        <w:numPr>
          <w:ilvl w:val="0"/>
          <w:numId w:val="13"/>
        </w:numPr>
        <w:rPr>
          <w:lang w:eastAsia="en-GB"/>
        </w:rPr>
      </w:pPr>
      <w:r>
        <w:rPr>
          <w:lang w:eastAsia="en-GB"/>
        </w:rPr>
        <w:t>nonoverlapping</w:t>
      </w:r>
    </w:p>
    <w:p w14:paraId="199E8EF2" w14:textId="77777777" w:rsidR="000027A1" w:rsidRDefault="000027A1" w:rsidP="00B36AEC">
      <w:pPr>
        <w:numPr>
          <w:ilvl w:val="0"/>
          <w:numId w:val="13"/>
        </w:numPr>
        <w:rPr>
          <w:lang w:eastAsia="en-GB"/>
        </w:rPr>
      </w:pPr>
      <w:r>
        <w:rPr>
          <w:lang w:eastAsia="en-GB"/>
        </w:rPr>
        <w:t>nonpeer</w:t>
      </w:r>
    </w:p>
    <w:p w14:paraId="72DE9B66" w14:textId="77777777" w:rsidR="000027A1" w:rsidRDefault="000027A1" w:rsidP="00B36AEC">
      <w:pPr>
        <w:numPr>
          <w:ilvl w:val="0"/>
          <w:numId w:val="13"/>
        </w:numPr>
        <w:rPr>
          <w:lang w:eastAsia="en-GB"/>
        </w:rPr>
      </w:pPr>
      <w:r>
        <w:rPr>
          <w:lang w:eastAsia="en-GB"/>
        </w:rPr>
        <w:t>nonperiodic</w:t>
      </w:r>
    </w:p>
    <w:p w14:paraId="60FC8ED0" w14:textId="77777777" w:rsidR="000027A1" w:rsidRDefault="000027A1" w:rsidP="00B36AEC">
      <w:pPr>
        <w:numPr>
          <w:ilvl w:val="0"/>
          <w:numId w:val="13"/>
        </w:numPr>
        <w:rPr>
          <w:lang w:eastAsia="en-GB"/>
        </w:rPr>
      </w:pPr>
      <w:proofErr w:type="spellStart"/>
      <w:r>
        <w:rPr>
          <w:lang w:eastAsia="en-GB"/>
        </w:rPr>
        <w:t>nonpowersaving</w:t>
      </w:r>
      <w:proofErr w:type="spellEnd"/>
    </w:p>
    <w:p w14:paraId="53FFBE04" w14:textId="77777777" w:rsidR="000027A1" w:rsidRDefault="000027A1" w:rsidP="00B36AEC">
      <w:pPr>
        <w:numPr>
          <w:ilvl w:val="0"/>
          <w:numId w:val="13"/>
        </w:numPr>
        <w:rPr>
          <w:lang w:eastAsia="en-GB"/>
        </w:rPr>
      </w:pPr>
      <w:r>
        <w:rPr>
          <w:lang w:eastAsia="en-GB"/>
        </w:rPr>
        <w:t>nonprotected</w:t>
      </w:r>
    </w:p>
    <w:p w14:paraId="15299458" w14:textId="77777777" w:rsidR="000027A1" w:rsidRDefault="000027A1" w:rsidP="00B36AEC">
      <w:pPr>
        <w:numPr>
          <w:ilvl w:val="0"/>
          <w:numId w:val="13"/>
        </w:numPr>
        <w:rPr>
          <w:lang w:eastAsia="en-GB"/>
        </w:rPr>
      </w:pPr>
      <w:r>
        <w:rPr>
          <w:lang w:eastAsia="en-GB"/>
        </w:rPr>
        <w:t>nonreceipt</w:t>
      </w:r>
    </w:p>
    <w:p w14:paraId="772CB53A" w14:textId="77777777" w:rsidR="000027A1" w:rsidRDefault="000027A1" w:rsidP="00B36AEC">
      <w:pPr>
        <w:numPr>
          <w:ilvl w:val="0"/>
          <w:numId w:val="13"/>
        </w:numPr>
        <w:rPr>
          <w:lang w:eastAsia="en-GB"/>
        </w:rPr>
      </w:pPr>
      <w:proofErr w:type="spellStart"/>
      <w:r>
        <w:rPr>
          <w:lang w:eastAsia="en-GB"/>
        </w:rPr>
        <w:t>nonreserved</w:t>
      </w:r>
      <w:proofErr w:type="spellEnd"/>
    </w:p>
    <w:p w14:paraId="09317A4B" w14:textId="77777777" w:rsidR="000027A1" w:rsidRDefault="000027A1" w:rsidP="00B36AEC">
      <w:pPr>
        <w:numPr>
          <w:ilvl w:val="0"/>
          <w:numId w:val="13"/>
        </w:numPr>
        <w:rPr>
          <w:lang w:eastAsia="en-GB"/>
        </w:rPr>
      </w:pPr>
      <w:proofErr w:type="spellStart"/>
      <w:r>
        <w:rPr>
          <w:lang w:eastAsia="en-GB"/>
        </w:rPr>
        <w:t>nonrobust</w:t>
      </w:r>
      <w:proofErr w:type="spellEnd"/>
    </w:p>
    <w:p w14:paraId="4A2D4B6A" w14:textId="77777777" w:rsidR="000027A1" w:rsidRDefault="000027A1" w:rsidP="00B36AEC">
      <w:pPr>
        <w:numPr>
          <w:ilvl w:val="0"/>
          <w:numId w:val="13"/>
        </w:numPr>
        <w:rPr>
          <w:lang w:eastAsia="en-GB"/>
        </w:rPr>
      </w:pPr>
      <w:r>
        <w:rPr>
          <w:lang w:eastAsia="en-GB"/>
        </w:rPr>
        <w:t>nonstandard</w:t>
      </w:r>
    </w:p>
    <w:p w14:paraId="46B2F5E1" w14:textId="77777777" w:rsidR="000027A1" w:rsidRDefault="000027A1" w:rsidP="00B36AEC">
      <w:pPr>
        <w:numPr>
          <w:ilvl w:val="0"/>
          <w:numId w:val="13"/>
        </w:numPr>
        <w:rPr>
          <w:lang w:eastAsia="en-GB"/>
        </w:rPr>
      </w:pPr>
      <w:proofErr w:type="spellStart"/>
      <w:r>
        <w:rPr>
          <w:lang w:eastAsia="en-GB"/>
        </w:rPr>
        <w:t>nontransmitted</w:t>
      </w:r>
      <w:proofErr w:type="spellEnd"/>
    </w:p>
    <w:p w14:paraId="5A8F8072" w14:textId="77777777" w:rsidR="000027A1" w:rsidRDefault="000027A1" w:rsidP="00B36AEC">
      <w:pPr>
        <w:numPr>
          <w:ilvl w:val="0"/>
          <w:numId w:val="13"/>
        </w:numPr>
        <w:rPr>
          <w:lang w:eastAsia="en-GB"/>
        </w:rPr>
      </w:pPr>
      <w:proofErr w:type="spellStart"/>
      <w:r>
        <w:rPr>
          <w:lang w:eastAsia="en-GB"/>
        </w:rPr>
        <w:t>nontriggered</w:t>
      </w:r>
      <w:proofErr w:type="spellEnd"/>
    </w:p>
    <w:p w14:paraId="4E3F68BC" w14:textId="77777777" w:rsidR="000027A1" w:rsidRDefault="000027A1" w:rsidP="00B36AEC">
      <w:pPr>
        <w:numPr>
          <w:ilvl w:val="0"/>
          <w:numId w:val="13"/>
        </w:numPr>
        <w:rPr>
          <w:lang w:eastAsia="en-GB"/>
        </w:rPr>
      </w:pPr>
      <w:r>
        <w:rPr>
          <w:lang w:eastAsia="en-GB"/>
        </w:rPr>
        <w:t>nonvoice</w:t>
      </w:r>
    </w:p>
    <w:p w14:paraId="71A1CD89" w14:textId="77777777" w:rsidR="000027A1" w:rsidRDefault="000027A1" w:rsidP="00B36AEC">
      <w:pPr>
        <w:numPr>
          <w:ilvl w:val="0"/>
          <w:numId w:val="13"/>
        </w:numPr>
        <w:rPr>
          <w:lang w:eastAsia="en-GB"/>
        </w:rPr>
      </w:pPr>
      <w:r>
        <w:rPr>
          <w:lang w:eastAsia="en-GB"/>
        </w:rPr>
        <w:t>nonzero</w:t>
      </w:r>
    </w:p>
    <w:p w14:paraId="6756E76B" w14:textId="77777777" w:rsidR="000027A1" w:rsidRDefault="000027A1" w:rsidP="00B36AEC">
      <w:pPr>
        <w:numPr>
          <w:ilvl w:val="0"/>
          <w:numId w:val="13"/>
        </w:numPr>
        <w:rPr>
          <w:rFonts w:ascii="SegoeUI,Italic" w:hAnsi="SegoeUI,Italic" w:cs="SegoeUI,Italic"/>
          <w:i/>
          <w:iCs/>
          <w:lang w:eastAsia="en-GB"/>
        </w:rPr>
      </w:pPr>
      <w:proofErr w:type="spellStart"/>
      <w:r>
        <w:rPr>
          <w:lang w:eastAsia="en-GB"/>
        </w:rPr>
        <w:t>deaggregation</w:t>
      </w:r>
      <w:proofErr w:type="spellEnd"/>
    </w:p>
    <w:p w14:paraId="0BF8EE62" w14:textId="77777777" w:rsidR="000027A1" w:rsidRDefault="000027A1" w:rsidP="00B36AEC">
      <w:pPr>
        <w:numPr>
          <w:ilvl w:val="0"/>
          <w:numId w:val="13"/>
        </w:numPr>
        <w:rPr>
          <w:lang w:eastAsia="en-GB"/>
        </w:rPr>
      </w:pPr>
      <w:proofErr w:type="spellStart"/>
      <w:r>
        <w:rPr>
          <w:lang w:eastAsia="en-GB"/>
        </w:rPr>
        <w:t>deencapsulated</w:t>
      </w:r>
      <w:proofErr w:type="spellEnd"/>
    </w:p>
    <w:p w14:paraId="67DDD867" w14:textId="77777777" w:rsidR="000027A1" w:rsidRDefault="000027A1" w:rsidP="00B36AEC">
      <w:pPr>
        <w:numPr>
          <w:ilvl w:val="0"/>
          <w:numId w:val="13"/>
        </w:numPr>
        <w:rPr>
          <w:lang w:eastAsia="en-GB"/>
        </w:rPr>
      </w:pPr>
      <w:r>
        <w:rPr>
          <w:lang w:eastAsia="en-GB"/>
        </w:rPr>
        <w:t>descrambler</w:t>
      </w:r>
    </w:p>
    <w:p w14:paraId="44C3C71A" w14:textId="77777777" w:rsidR="000027A1" w:rsidRDefault="000027A1" w:rsidP="00B36AEC">
      <w:pPr>
        <w:numPr>
          <w:ilvl w:val="0"/>
          <w:numId w:val="13"/>
        </w:numPr>
        <w:rPr>
          <w:lang w:eastAsia="en-GB"/>
        </w:rPr>
      </w:pPr>
      <w:proofErr w:type="spellStart"/>
      <w:r>
        <w:rPr>
          <w:lang w:eastAsia="en-GB"/>
        </w:rPr>
        <w:t>dewhiten</w:t>
      </w:r>
      <w:proofErr w:type="spellEnd"/>
    </w:p>
    <w:p w14:paraId="25BA0890" w14:textId="77777777" w:rsidR="005F30AC" w:rsidRDefault="005F30AC" w:rsidP="00B36AEC">
      <w:pPr>
        <w:numPr>
          <w:ilvl w:val="0"/>
          <w:numId w:val="13"/>
        </w:numPr>
        <w:rPr>
          <w:lang w:eastAsia="en-GB"/>
        </w:rPr>
      </w:pPr>
      <w:proofErr w:type="spellStart"/>
      <w:r>
        <w:rPr>
          <w:lang w:eastAsia="en-GB"/>
        </w:rPr>
        <w:t>multiframe</w:t>
      </w:r>
      <w:proofErr w:type="spellEnd"/>
    </w:p>
    <w:p w14:paraId="6CE7472A" w14:textId="77777777" w:rsidR="003E35D7" w:rsidRDefault="003E35D7" w:rsidP="00B36AEC">
      <w:pPr>
        <w:numPr>
          <w:ilvl w:val="0"/>
          <w:numId w:val="13"/>
        </w:numPr>
        <w:rPr>
          <w:lang w:eastAsia="en-GB"/>
        </w:rPr>
      </w:pPr>
      <w:r>
        <w:rPr>
          <w:lang w:eastAsia="en-GB"/>
        </w:rPr>
        <w:t>omnidirectional</w:t>
      </w:r>
    </w:p>
    <w:p w14:paraId="7FA201B4" w14:textId="77777777" w:rsidR="000027A1" w:rsidRDefault="000027A1" w:rsidP="00B36AEC">
      <w:pPr>
        <w:numPr>
          <w:ilvl w:val="0"/>
          <w:numId w:val="13"/>
        </w:numPr>
        <w:rPr>
          <w:lang w:eastAsia="en-GB"/>
        </w:rPr>
      </w:pPr>
      <w:proofErr w:type="spellStart"/>
      <w:r>
        <w:rPr>
          <w:lang w:eastAsia="en-GB"/>
        </w:rPr>
        <w:t>preassociat</w:t>
      </w:r>
      <w:proofErr w:type="spellEnd"/>
      <w:r>
        <w:rPr>
          <w:lang w:eastAsia="en-GB"/>
        </w:rPr>
        <w:t>...</w:t>
      </w:r>
    </w:p>
    <w:p w14:paraId="05284284" w14:textId="77777777" w:rsidR="000027A1" w:rsidRDefault="000027A1" w:rsidP="00B36AEC">
      <w:pPr>
        <w:numPr>
          <w:ilvl w:val="0"/>
          <w:numId w:val="13"/>
        </w:numPr>
        <w:rPr>
          <w:lang w:eastAsia="en-GB"/>
        </w:rPr>
      </w:pPr>
      <w:proofErr w:type="spellStart"/>
      <w:r>
        <w:rPr>
          <w:lang w:eastAsia="en-GB"/>
        </w:rPr>
        <w:t>preauthenticat</w:t>
      </w:r>
      <w:proofErr w:type="spellEnd"/>
      <w:r>
        <w:rPr>
          <w:lang w:eastAsia="en-GB"/>
        </w:rPr>
        <w:t>...</w:t>
      </w:r>
    </w:p>
    <w:p w14:paraId="748C799F" w14:textId="77777777" w:rsidR="000027A1" w:rsidRDefault="000027A1" w:rsidP="00B36AEC">
      <w:pPr>
        <w:numPr>
          <w:ilvl w:val="0"/>
          <w:numId w:val="13"/>
        </w:numPr>
        <w:rPr>
          <w:lang w:eastAsia="en-GB"/>
        </w:rPr>
      </w:pPr>
      <w:proofErr w:type="spellStart"/>
      <w:r>
        <w:rPr>
          <w:lang w:eastAsia="en-GB"/>
        </w:rPr>
        <w:t>preexist</w:t>
      </w:r>
      <w:proofErr w:type="spellEnd"/>
      <w:r>
        <w:rPr>
          <w:lang w:eastAsia="en-GB"/>
        </w:rPr>
        <w:t>...</w:t>
      </w:r>
    </w:p>
    <w:p w14:paraId="4C22C764" w14:textId="77777777" w:rsidR="000027A1" w:rsidRDefault="000027A1" w:rsidP="00B36AEC">
      <w:pPr>
        <w:numPr>
          <w:ilvl w:val="0"/>
          <w:numId w:val="13"/>
        </w:numPr>
        <w:rPr>
          <w:lang w:eastAsia="en-GB"/>
        </w:rPr>
      </w:pPr>
      <w:r>
        <w:rPr>
          <w:lang w:eastAsia="en-GB"/>
        </w:rPr>
        <w:t>premodifier</w:t>
      </w:r>
    </w:p>
    <w:p w14:paraId="6D482044" w14:textId="77777777" w:rsidR="000027A1" w:rsidRDefault="000027A1" w:rsidP="00B36AEC">
      <w:pPr>
        <w:numPr>
          <w:ilvl w:val="0"/>
          <w:numId w:val="13"/>
        </w:numPr>
        <w:rPr>
          <w:lang w:eastAsia="en-GB"/>
        </w:rPr>
      </w:pPr>
      <w:r>
        <w:rPr>
          <w:lang w:eastAsia="en-GB"/>
        </w:rPr>
        <w:t>preplanning</w:t>
      </w:r>
    </w:p>
    <w:p w14:paraId="030AC1D9" w14:textId="77777777" w:rsidR="000027A1" w:rsidRDefault="000027A1" w:rsidP="00B36AEC">
      <w:pPr>
        <w:numPr>
          <w:ilvl w:val="0"/>
          <w:numId w:val="13"/>
        </w:numPr>
        <w:rPr>
          <w:lang w:eastAsia="en-GB"/>
        </w:rPr>
      </w:pPr>
      <w:proofErr w:type="spellStart"/>
      <w:r>
        <w:rPr>
          <w:lang w:eastAsia="en-GB"/>
        </w:rPr>
        <w:t>preprocess</w:t>
      </w:r>
      <w:proofErr w:type="spellEnd"/>
      <w:r>
        <w:rPr>
          <w:lang w:eastAsia="en-GB"/>
        </w:rPr>
        <w:t>...</w:t>
      </w:r>
    </w:p>
    <w:p w14:paraId="4EBB6019" w14:textId="77777777" w:rsidR="000027A1" w:rsidRDefault="000027A1" w:rsidP="00B36AEC">
      <w:pPr>
        <w:numPr>
          <w:ilvl w:val="0"/>
          <w:numId w:val="13"/>
        </w:numPr>
        <w:rPr>
          <w:lang w:eastAsia="en-GB"/>
        </w:rPr>
      </w:pPr>
      <w:proofErr w:type="spellStart"/>
      <w:r>
        <w:rPr>
          <w:lang w:eastAsia="en-GB"/>
        </w:rPr>
        <w:t>preset</w:t>
      </w:r>
      <w:proofErr w:type="spellEnd"/>
    </w:p>
    <w:p w14:paraId="056276C1" w14:textId="77777777" w:rsidR="000027A1" w:rsidRDefault="000027A1" w:rsidP="00B36AEC">
      <w:pPr>
        <w:numPr>
          <w:ilvl w:val="0"/>
          <w:numId w:val="13"/>
        </w:numPr>
        <w:rPr>
          <w:lang w:eastAsia="en-GB"/>
        </w:rPr>
      </w:pPr>
      <w:proofErr w:type="spellStart"/>
      <w:r>
        <w:rPr>
          <w:lang w:eastAsia="en-GB"/>
        </w:rPr>
        <w:t>preshared</w:t>
      </w:r>
      <w:proofErr w:type="spellEnd"/>
    </w:p>
    <w:p w14:paraId="2D728229" w14:textId="77777777" w:rsidR="000027A1" w:rsidRDefault="000027A1" w:rsidP="00B36AEC">
      <w:pPr>
        <w:numPr>
          <w:ilvl w:val="0"/>
          <w:numId w:val="13"/>
        </w:numPr>
        <w:rPr>
          <w:lang w:eastAsia="en-GB"/>
        </w:rPr>
      </w:pPr>
      <w:r>
        <w:rPr>
          <w:lang w:eastAsia="en-GB"/>
        </w:rPr>
        <w:t>reactivation</w:t>
      </w:r>
    </w:p>
    <w:p w14:paraId="31278091" w14:textId="537C0A8C" w:rsidR="00CF363C" w:rsidRDefault="00CF363C" w:rsidP="00B36AEC">
      <w:pPr>
        <w:numPr>
          <w:ilvl w:val="0"/>
          <w:numId w:val="13"/>
        </w:numPr>
        <w:rPr>
          <w:lang w:eastAsia="en-GB"/>
        </w:rPr>
      </w:pPr>
      <w:r>
        <w:rPr>
          <w:lang w:eastAsia="en-GB"/>
        </w:rPr>
        <w:t>rearrange</w:t>
      </w:r>
    </w:p>
    <w:p w14:paraId="1CF833A4" w14:textId="77777777" w:rsidR="000027A1" w:rsidRDefault="000027A1" w:rsidP="00B36AEC">
      <w:pPr>
        <w:numPr>
          <w:ilvl w:val="0"/>
          <w:numId w:val="13"/>
        </w:numPr>
        <w:rPr>
          <w:lang w:eastAsia="en-GB"/>
        </w:rPr>
      </w:pPr>
      <w:proofErr w:type="spellStart"/>
      <w:r>
        <w:rPr>
          <w:lang w:eastAsia="en-GB"/>
        </w:rPr>
        <w:t>reassociat</w:t>
      </w:r>
      <w:proofErr w:type="spellEnd"/>
      <w:r>
        <w:rPr>
          <w:lang w:eastAsia="en-GB"/>
        </w:rPr>
        <w:t>...</w:t>
      </w:r>
    </w:p>
    <w:p w14:paraId="78E1DEC2" w14:textId="77777777" w:rsidR="000027A1" w:rsidRDefault="000027A1" w:rsidP="00B36AEC">
      <w:pPr>
        <w:numPr>
          <w:ilvl w:val="0"/>
          <w:numId w:val="13"/>
        </w:numPr>
        <w:rPr>
          <w:lang w:eastAsia="en-GB"/>
        </w:rPr>
      </w:pPr>
      <w:r>
        <w:rPr>
          <w:lang w:eastAsia="en-GB"/>
        </w:rPr>
        <w:t>redirect</w:t>
      </w:r>
    </w:p>
    <w:p w14:paraId="0C2BC3EC" w14:textId="77777777" w:rsidR="000027A1" w:rsidRDefault="000027A1" w:rsidP="00B36AEC">
      <w:pPr>
        <w:numPr>
          <w:ilvl w:val="0"/>
          <w:numId w:val="13"/>
        </w:numPr>
        <w:rPr>
          <w:lang w:eastAsia="en-GB"/>
        </w:rPr>
      </w:pPr>
      <w:proofErr w:type="spellStart"/>
      <w:r>
        <w:rPr>
          <w:lang w:eastAsia="en-GB"/>
        </w:rPr>
        <w:t>reestablish</w:t>
      </w:r>
      <w:proofErr w:type="spellEnd"/>
      <w:r>
        <w:rPr>
          <w:lang w:eastAsia="en-GB"/>
        </w:rPr>
        <w:t>...</w:t>
      </w:r>
    </w:p>
    <w:p w14:paraId="0607E990" w14:textId="77777777" w:rsidR="000027A1" w:rsidRDefault="000027A1" w:rsidP="00B36AEC">
      <w:pPr>
        <w:numPr>
          <w:ilvl w:val="0"/>
          <w:numId w:val="13"/>
        </w:numPr>
        <w:rPr>
          <w:lang w:eastAsia="en-GB"/>
        </w:rPr>
      </w:pPr>
      <w:r>
        <w:rPr>
          <w:lang w:eastAsia="en-GB"/>
        </w:rPr>
        <w:t>rehabilitation</w:t>
      </w:r>
    </w:p>
    <w:p w14:paraId="58AD8ED3" w14:textId="154D190F" w:rsidR="00CF363C" w:rsidRDefault="00CF363C" w:rsidP="00B36AEC">
      <w:pPr>
        <w:numPr>
          <w:ilvl w:val="0"/>
          <w:numId w:val="13"/>
        </w:numPr>
        <w:rPr>
          <w:lang w:eastAsia="en-GB"/>
        </w:rPr>
      </w:pPr>
      <w:r>
        <w:rPr>
          <w:lang w:eastAsia="en-GB"/>
        </w:rPr>
        <w:t>reinitialize</w:t>
      </w:r>
    </w:p>
    <w:p w14:paraId="7897EEF5" w14:textId="77777777" w:rsidR="000027A1" w:rsidRDefault="000027A1" w:rsidP="00B36AEC">
      <w:pPr>
        <w:numPr>
          <w:ilvl w:val="0"/>
          <w:numId w:val="13"/>
        </w:numPr>
        <w:rPr>
          <w:lang w:eastAsia="en-GB"/>
        </w:rPr>
      </w:pPr>
      <w:r>
        <w:rPr>
          <w:lang w:eastAsia="en-GB"/>
        </w:rPr>
        <w:t>remap</w:t>
      </w:r>
    </w:p>
    <w:p w14:paraId="77B72F4D" w14:textId="77777777" w:rsidR="000027A1" w:rsidRDefault="000027A1" w:rsidP="00B36AEC">
      <w:pPr>
        <w:numPr>
          <w:ilvl w:val="0"/>
          <w:numId w:val="13"/>
        </w:numPr>
        <w:rPr>
          <w:lang w:eastAsia="en-GB"/>
        </w:rPr>
      </w:pPr>
      <w:r>
        <w:rPr>
          <w:lang w:eastAsia="en-GB"/>
        </w:rPr>
        <w:t>resent</w:t>
      </w:r>
    </w:p>
    <w:p w14:paraId="499E9861" w14:textId="77777777" w:rsidR="000027A1" w:rsidRDefault="000027A1" w:rsidP="00B36AEC">
      <w:pPr>
        <w:numPr>
          <w:ilvl w:val="0"/>
          <w:numId w:val="13"/>
        </w:numPr>
        <w:rPr>
          <w:lang w:eastAsia="en-GB"/>
        </w:rPr>
      </w:pPr>
      <w:r>
        <w:rPr>
          <w:lang w:eastAsia="en-GB"/>
        </w:rPr>
        <w:t>resubmit</w:t>
      </w:r>
    </w:p>
    <w:p w14:paraId="6448A15F" w14:textId="77777777" w:rsidR="000027A1" w:rsidRDefault="000027A1" w:rsidP="00B36AEC">
      <w:pPr>
        <w:numPr>
          <w:ilvl w:val="0"/>
          <w:numId w:val="13"/>
        </w:numPr>
        <w:rPr>
          <w:lang w:eastAsia="en-GB"/>
        </w:rPr>
      </w:pPr>
      <w:r>
        <w:rPr>
          <w:lang w:eastAsia="en-GB"/>
        </w:rPr>
        <w:t>reused</w:t>
      </w:r>
    </w:p>
    <w:p w14:paraId="51639513" w14:textId="77777777" w:rsidR="000027A1" w:rsidRDefault="000027A1" w:rsidP="00B36AEC">
      <w:pPr>
        <w:numPr>
          <w:ilvl w:val="0"/>
          <w:numId w:val="13"/>
        </w:numPr>
      </w:pPr>
      <w:r>
        <w:rPr>
          <w:lang w:eastAsia="en-GB"/>
        </w:rPr>
        <w:t>unadmitted</w:t>
      </w:r>
    </w:p>
    <w:p w14:paraId="745AD264" w14:textId="77777777" w:rsidR="000027A1" w:rsidRDefault="000027A1" w:rsidP="000027A1">
      <w:pPr>
        <w:sectPr w:rsidR="000027A1" w:rsidSect="000027A1">
          <w:type w:val="continuous"/>
          <w:pgSz w:w="12240" w:h="15840" w:code="1"/>
          <w:pgMar w:top="1080" w:right="1080" w:bottom="1080" w:left="1080" w:header="432" w:footer="432" w:gutter="720"/>
          <w:cols w:num="2" w:space="720"/>
        </w:sectPr>
      </w:pPr>
    </w:p>
    <w:p w14:paraId="5B463406" w14:textId="77777777" w:rsidR="000027A1" w:rsidRDefault="000027A1" w:rsidP="000027A1"/>
    <w:p w14:paraId="2F46A106" w14:textId="5FD52618" w:rsidR="000027A1" w:rsidRDefault="000027A1" w:rsidP="00C911A8">
      <w:pPr>
        <w:jc w:val="both"/>
      </w:pPr>
      <w:r>
        <w:t xml:space="preserve">There are exceptions. The following are OK:  </w:t>
      </w:r>
    </w:p>
    <w:p w14:paraId="439C2AA9" w14:textId="77777777" w:rsidR="00AC3A69" w:rsidRDefault="00AC3A69" w:rsidP="00B36AEC">
      <w:pPr>
        <w:numPr>
          <w:ilvl w:val="0"/>
          <w:numId w:val="12"/>
        </w:numPr>
        <w:jc w:val="both"/>
        <w:sectPr w:rsidR="00AC3A69" w:rsidSect="000027A1">
          <w:type w:val="continuous"/>
          <w:pgSz w:w="12240" w:h="15840" w:code="1"/>
          <w:pgMar w:top="1080" w:right="1080" w:bottom="1080" w:left="1080" w:header="432" w:footer="432" w:gutter="720"/>
          <w:cols w:space="720"/>
        </w:sectPr>
      </w:pPr>
    </w:p>
    <w:p w14:paraId="591D7A2C" w14:textId="77777777" w:rsidR="000027A1" w:rsidRDefault="000027A1" w:rsidP="00B36AEC">
      <w:pPr>
        <w:numPr>
          <w:ilvl w:val="0"/>
          <w:numId w:val="12"/>
        </w:numPr>
      </w:pPr>
      <w:r>
        <w:t>non-initial</w:t>
      </w:r>
    </w:p>
    <w:p w14:paraId="5AE4CF96" w14:textId="77777777" w:rsidR="000027A1" w:rsidRDefault="000027A1" w:rsidP="00B36AEC">
      <w:pPr>
        <w:numPr>
          <w:ilvl w:val="0"/>
          <w:numId w:val="12"/>
        </w:numPr>
      </w:pPr>
      <w:r>
        <w:t>non-monotonic</w:t>
      </w:r>
    </w:p>
    <w:p w14:paraId="16FC9306" w14:textId="77777777" w:rsidR="000027A1" w:rsidRDefault="000027A1" w:rsidP="00B36AEC">
      <w:pPr>
        <w:numPr>
          <w:ilvl w:val="0"/>
          <w:numId w:val="12"/>
        </w:numPr>
      </w:pPr>
      <w:r>
        <w:t>non-negative</w:t>
      </w:r>
    </w:p>
    <w:p w14:paraId="72A10560" w14:textId="77777777" w:rsidR="000027A1" w:rsidRDefault="000027A1" w:rsidP="00B36AEC">
      <w:pPr>
        <w:numPr>
          <w:ilvl w:val="0"/>
          <w:numId w:val="12"/>
        </w:numPr>
      </w:pPr>
      <w:r>
        <w:t>non-null</w:t>
      </w:r>
    </w:p>
    <w:p w14:paraId="2658168F" w14:textId="77777777" w:rsidR="00907ACF" w:rsidRDefault="00907ACF" w:rsidP="00B36AEC">
      <w:pPr>
        <w:numPr>
          <w:ilvl w:val="0"/>
          <w:numId w:val="12"/>
        </w:numPr>
      </w:pPr>
      <w:r>
        <w:t>pre-robust</w:t>
      </w:r>
    </w:p>
    <w:p w14:paraId="1C6627F8" w14:textId="77777777" w:rsidR="00635B52" w:rsidRDefault="00834BD3" w:rsidP="00B36AEC">
      <w:pPr>
        <w:numPr>
          <w:ilvl w:val="0"/>
          <w:numId w:val="12"/>
        </w:numPr>
      </w:pPr>
      <w:proofErr w:type="gramStart"/>
      <w:r>
        <w:t>fi</w:t>
      </w:r>
      <w:r w:rsidR="00635B52">
        <w:t>x</w:t>
      </w:r>
      <w:r>
        <w:t>e</w:t>
      </w:r>
      <w:r w:rsidR="003E35D7">
        <w:t>d</w:t>
      </w:r>
      <w:r w:rsidR="00635B52">
        <w:t>-length</w:t>
      </w:r>
      <w:proofErr w:type="gramEnd"/>
      <w:r w:rsidR="00635B52">
        <w:t xml:space="preserve"> (hyphenated when before a noun)</w:t>
      </w:r>
    </w:p>
    <w:p w14:paraId="16181B87" w14:textId="77777777" w:rsidR="0082610A" w:rsidRDefault="0082610A" w:rsidP="00B36AEC">
      <w:pPr>
        <w:numPr>
          <w:ilvl w:val="0"/>
          <w:numId w:val="12"/>
        </w:numPr>
      </w:pPr>
      <w:r>
        <w:t>follow-up</w:t>
      </w:r>
    </w:p>
    <w:p w14:paraId="35E4D9FE" w14:textId="77777777" w:rsidR="007A1AC2" w:rsidRDefault="007A1AC2" w:rsidP="00B36AEC">
      <w:pPr>
        <w:numPr>
          <w:ilvl w:val="0"/>
          <w:numId w:val="12"/>
        </w:numPr>
      </w:pPr>
      <w:r>
        <w:t>signal-to-noise</w:t>
      </w:r>
    </w:p>
    <w:p w14:paraId="278BB7D9" w14:textId="77777777" w:rsidR="00834BD3" w:rsidRDefault="00834BD3" w:rsidP="00B36AEC">
      <w:pPr>
        <w:numPr>
          <w:ilvl w:val="0"/>
          <w:numId w:val="12"/>
        </w:numPr>
      </w:pPr>
      <w:r>
        <w:t>STA-to-STA</w:t>
      </w:r>
    </w:p>
    <w:p w14:paraId="3618B9C1" w14:textId="77777777" w:rsidR="00FE6D2A" w:rsidRDefault="00FE6D2A" w:rsidP="00B36AEC">
      <w:pPr>
        <w:numPr>
          <w:ilvl w:val="0"/>
          <w:numId w:val="12"/>
        </w:numPr>
      </w:pPr>
      <w:r>
        <w:t>third-party</w:t>
      </w:r>
    </w:p>
    <w:p w14:paraId="6D9AE43F" w14:textId="77777777" w:rsidR="00EF1CFC" w:rsidRDefault="00EF1CFC" w:rsidP="00B36AEC">
      <w:pPr>
        <w:numPr>
          <w:ilvl w:val="0"/>
          <w:numId w:val="12"/>
        </w:numPr>
      </w:pPr>
      <w:r>
        <w:t>variable-length (hyphenated when before a noun)</w:t>
      </w:r>
    </w:p>
    <w:p w14:paraId="3BDED0EE" w14:textId="77777777" w:rsidR="002E0D5D" w:rsidRDefault="00FE6D2A" w:rsidP="00B36AEC">
      <w:pPr>
        <w:numPr>
          <w:ilvl w:val="0"/>
          <w:numId w:val="12"/>
        </w:numPr>
      </w:pPr>
      <w:r>
        <w:t>vendor-specific</w:t>
      </w:r>
    </w:p>
    <w:p w14:paraId="28AC4CF7" w14:textId="6E021C17" w:rsidR="00137FFD" w:rsidRDefault="004440CB" w:rsidP="00B36AEC">
      <w:pPr>
        <w:numPr>
          <w:ilvl w:val="0"/>
          <w:numId w:val="12"/>
        </w:numPr>
      </w:pPr>
      <w:r w:rsidRPr="004440CB">
        <w:t>multi-band</w:t>
      </w:r>
    </w:p>
    <w:p w14:paraId="25E9B663" w14:textId="58C4EA65" w:rsidR="00F324E9" w:rsidRDefault="00137FFD" w:rsidP="00B36AEC">
      <w:pPr>
        <w:numPr>
          <w:ilvl w:val="0"/>
          <w:numId w:val="12"/>
        </w:numPr>
      </w:pPr>
      <w:r w:rsidRPr="002E0D5D">
        <w:t>non-duplicate</w:t>
      </w:r>
    </w:p>
    <w:p w14:paraId="443702E8" w14:textId="0D775DF8" w:rsidR="00F324E9" w:rsidRDefault="00F324E9" w:rsidP="00B36AEC">
      <w:pPr>
        <w:numPr>
          <w:ilvl w:val="0"/>
          <w:numId w:val="12"/>
        </w:numPr>
      </w:pPr>
      <w:r>
        <w:t>co-channel</w:t>
      </w:r>
    </w:p>
    <w:p w14:paraId="1560F8D7" w14:textId="77777777" w:rsidR="00F324E9" w:rsidRPr="00137FFD" w:rsidRDefault="00F324E9" w:rsidP="00B36AEC">
      <w:pPr>
        <w:numPr>
          <w:ilvl w:val="0"/>
          <w:numId w:val="12"/>
        </w:numPr>
        <w:sectPr w:rsidR="00F324E9" w:rsidRPr="00137FFD" w:rsidSect="00AC3A69">
          <w:type w:val="continuous"/>
          <w:pgSz w:w="12240" w:h="15840" w:code="1"/>
          <w:pgMar w:top="1080" w:right="1080" w:bottom="1080" w:left="1080" w:header="432" w:footer="432" w:gutter="720"/>
          <w:cols w:num="2" w:space="720"/>
        </w:sectPr>
      </w:pPr>
    </w:p>
    <w:p w14:paraId="6E0EB4CC" w14:textId="77777777" w:rsidR="00FA1C78" w:rsidRDefault="00FA1C78" w:rsidP="00FA1C78"/>
    <w:p w14:paraId="453ADCFC" w14:textId="7B8B8BCC" w:rsidR="00AC3A69" w:rsidRDefault="00AC3A69" w:rsidP="00C911A8">
      <w:pPr>
        <w:jc w:val="both"/>
      </w:pPr>
      <w:r>
        <w:t>Note that IETF RFC xxx references do not use a hyphen in IEEE 802.11.</w:t>
      </w:r>
    </w:p>
    <w:p w14:paraId="337EFCA2" w14:textId="0120B86C" w:rsidR="007069CB" w:rsidRDefault="007069CB" w:rsidP="00C911A8">
      <w:pPr>
        <w:jc w:val="both"/>
      </w:pPr>
    </w:p>
    <w:p w14:paraId="56982BA9" w14:textId="77777777" w:rsidR="00A16D3E" w:rsidRDefault="00A16D3E" w:rsidP="007069CB">
      <w:pPr>
        <w:jc w:val="both"/>
      </w:pPr>
    </w:p>
    <w:p w14:paraId="7E3C9885" w14:textId="77777777" w:rsidR="00C155A7" w:rsidRDefault="00C155A7" w:rsidP="00C155A7">
      <w:pPr>
        <w:pStyle w:val="Heading2"/>
      </w:pPr>
      <w:r>
        <w:t>References to SAP primitives</w:t>
      </w:r>
    </w:p>
    <w:p w14:paraId="18371085" w14:textId="77777777" w:rsidR="00C155A7" w:rsidRDefault="00C155A7" w:rsidP="00C911A8">
      <w:pPr>
        <w:jc w:val="both"/>
        <w:rPr>
          <w:rFonts w:ascii="TimesNewRoman" w:hAnsi="TimesNewRoman" w:cs="TimesNewRoman"/>
          <w:sz w:val="20"/>
          <w:lang w:eastAsia="en-GB"/>
        </w:rPr>
      </w:pPr>
      <w:r>
        <w:t xml:space="preserve">The name of a primitive should be viewed as an adjective. Add the word “primitive” to turn it into a noun phrase.  </w:t>
      </w:r>
      <w:proofErr w:type="gramStart"/>
      <w:r>
        <w:t>So</w:t>
      </w:r>
      <w:proofErr w:type="gramEnd"/>
      <w:r>
        <w:t xml:space="preserve"> say: “The SME generated an </w:t>
      </w:r>
      <w:r w:rsidRPr="003F0497">
        <w:t>MLME-</w:t>
      </w:r>
      <w:proofErr w:type="spellStart"/>
      <w:r w:rsidRPr="003F0497">
        <w:t>NEIGHBORREPREQ.request</w:t>
      </w:r>
      <w:proofErr w:type="spellEnd"/>
      <w:r w:rsidRPr="003F0497">
        <w:t xml:space="preserve"> primitive”.</w:t>
      </w:r>
    </w:p>
    <w:p w14:paraId="0D816365" w14:textId="77777777" w:rsidR="00844F6F" w:rsidRDefault="00844F6F" w:rsidP="00C911A8">
      <w:pPr>
        <w:jc w:val="both"/>
        <w:rPr>
          <w:rFonts w:ascii="TimesNewRoman" w:hAnsi="TimesNewRoman" w:cs="TimesNewRoman"/>
          <w:sz w:val="20"/>
          <w:lang w:eastAsia="en-GB"/>
        </w:rPr>
      </w:pPr>
    </w:p>
    <w:p w14:paraId="13818B92" w14:textId="0B096E06" w:rsidR="00C155A7" w:rsidRDefault="00844F6F" w:rsidP="00C911A8">
      <w:pPr>
        <w:jc w:val="both"/>
      </w:pPr>
      <w:r w:rsidRPr="003F0497">
        <w:t>Note there is n</w:t>
      </w:r>
      <w:r w:rsidR="00D82AB4" w:rsidRPr="00D82AB4">
        <w:t xml:space="preserve">o need to further decorate it, </w:t>
      </w:r>
      <w:r w:rsidRPr="003F0497">
        <w:t xml:space="preserve">such as saying “an instance of the </w:t>
      </w:r>
      <w:proofErr w:type="spellStart"/>
      <w:r w:rsidRPr="003F0497">
        <w:t>xyz</w:t>
      </w:r>
      <w:proofErr w:type="spellEnd"/>
      <w:r w:rsidRPr="003F0497">
        <w:t xml:space="preserve"> primitive”.</w:t>
      </w:r>
    </w:p>
    <w:p w14:paraId="2B1DB6A5" w14:textId="0E17CFBF" w:rsidR="004B307D" w:rsidRDefault="004B307D" w:rsidP="00436155">
      <w:pPr>
        <w:pStyle w:val="Heading2"/>
      </w:pPr>
      <w:r>
        <w:lastRenderedPageBreak/>
        <w:t>References to the contents of a field/subfield</w:t>
      </w:r>
    </w:p>
    <w:p w14:paraId="30B06328" w14:textId="38E835ED" w:rsidR="004B307D" w:rsidRDefault="004B307D" w:rsidP="00C911A8">
      <w:pPr>
        <w:jc w:val="both"/>
      </w:pPr>
      <w:r>
        <w:t>The contents of a field or subfield are referenced in the following contexts:</w:t>
      </w:r>
    </w:p>
    <w:p w14:paraId="3F699D10" w14:textId="54DCE438" w:rsidR="004B307D" w:rsidRDefault="004B307D" w:rsidP="00B36AEC">
      <w:pPr>
        <w:pStyle w:val="ListParagraph"/>
        <w:numPr>
          <w:ilvl w:val="0"/>
          <w:numId w:val="22"/>
        </w:numPr>
        <w:jc w:val="both"/>
      </w:pPr>
      <w:r>
        <w:t>When describing encodings (Frame Formats)</w:t>
      </w:r>
    </w:p>
    <w:p w14:paraId="297050EA" w14:textId="66029E27" w:rsidR="004B307D" w:rsidRDefault="004B307D" w:rsidP="00B36AEC">
      <w:pPr>
        <w:pStyle w:val="ListParagraph"/>
        <w:numPr>
          <w:ilvl w:val="0"/>
          <w:numId w:val="22"/>
        </w:numPr>
        <w:jc w:val="both"/>
      </w:pPr>
      <w:r>
        <w:t>When describing normative behaviour for setting the value</w:t>
      </w:r>
    </w:p>
    <w:p w14:paraId="1F8C576C" w14:textId="227BB96E" w:rsidR="004B307D" w:rsidRDefault="004B307D" w:rsidP="00B36AEC">
      <w:pPr>
        <w:pStyle w:val="ListParagraph"/>
        <w:numPr>
          <w:ilvl w:val="0"/>
          <w:numId w:val="22"/>
        </w:numPr>
        <w:jc w:val="both"/>
      </w:pPr>
      <w:r>
        <w:t>When describing normative behaviour for testing or using the value</w:t>
      </w:r>
    </w:p>
    <w:p w14:paraId="0D7A28CB" w14:textId="77777777" w:rsidR="004B307D" w:rsidRDefault="004B307D" w:rsidP="00C911A8">
      <w:pPr>
        <w:jc w:val="both"/>
      </w:pPr>
    </w:p>
    <w:p w14:paraId="23141259" w14:textId="104299B0" w:rsidR="004B307D" w:rsidRDefault="004B307D" w:rsidP="00C911A8">
      <w:pPr>
        <w:jc w:val="both"/>
      </w:pPr>
      <w:r>
        <w:t>The following are examples of preferred usage:</w:t>
      </w:r>
    </w:p>
    <w:p w14:paraId="1153EF3E" w14:textId="77777777" w:rsidR="00B22DB2" w:rsidRDefault="00B22DB2" w:rsidP="00B36AEC">
      <w:pPr>
        <w:pStyle w:val="ListParagraph"/>
        <w:numPr>
          <w:ilvl w:val="0"/>
          <w:numId w:val="23"/>
        </w:numPr>
        <w:jc w:val="both"/>
      </w:pPr>
      <w:r>
        <w:t>When describing encodings (Frame Formats)</w:t>
      </w:r>
    </w:p>
    <w:p w14:paraId="4D6C9536" w14:textId="59AC9C1F" w:rsidR="00B22DB2" w:rsidRDefault="00B22DB2" w:rsidP="00B36AEC">
      <w:pPr>
        <w:pStyle w:val="ListParagraph"/>
        <w:numPr>
          <w:ilvl w:val="1"/>
          <w:numId w:val="23"/>
        </w:numPr>
        <w:jc w:val="both"/>
      </w:pPr>
      <w:r>
        <w:t xml:space="preserve">The values of a field are often described in a </w:t>
      </w:r>
      <w:proofErr w:type="gramStart"/>
      <w:r>
        <w:t>table,  e.g.</w:t>
      </w:r>
      <w:proofErr w:type="gramEnd"/>
      <w:r>
        <w:t xml:space="preserve"> “The &lt;field&gt; field specifies the &lt;some description&gt; as defined in &lt;Table reference&gt;.  </w:t>
      </w:r>
    </w:p>
    <w:p w14:paraId="4DEE39A3" w14:textId="12651C12" w:rsidR="00B22DB2" w:rsidRDefault="00B22DB2" w:rsidP="00B36AEC">
      <w:pPr>
        <w:pStyle w:val="ListParagraph"/>
        <w:numPr>
          <w:ilvl w:val="1"/>
          <w:numId w:val="23"/>
        </w:numPr>
        <w:jc w:val="both"/>
      </w:pPr>
      <w:r>
        <w:t>The table or Clause 8 text defining the (sub)field might include a description for enumerated values such as “</w:t>
      </w:r>
      <w:r w:rsidRPr="003F0497">
        <w:rPr>
          <w:highlight w:val="yellow"/>
        </w:rPr>
        <w:t>set to</w:t>
      </w:r>
      <w:r>
        <w:t xml:space="preserve"> 1 for no acknowledgement</w:t>
      </w:r>
      <w:proofErr w:type="gramStart"/>
      <w:r>
        <w:t>”,  “</w:t>
      </w:r>
      <w:proofErr w:type="gramEnd"/>
      <w:r w:rsidRPr="003F0497">
        <w:rPr>
          <w:highlight w:val="yellow"/>
        </w:rPr>
        <w:t>set to</w:t>
      </w:r>
      <w:r>
        <w:t xml:space="preserve"> 2 for normal acknowledgement”</w:t>
      </w:r>
    </w:p>
    <w:p w14:paraId="5C0DD6D8" w14:textId="75C10EC3" w:rsidR="00B22DB2" w:rsidRDefault="00B22DB2" w:rsidP="00B36AEC">
      <w:pPr>
        <w:pStyle w:val="ListParagraph"/>
        <w:numPr>
          <w:ilvl w:val="0"/>
          <w:numId w:val="23"/>
        </w:numPr>
        <w:jc w:val="both"/>
      </w:pPr>
      <w:r>
        <w:t>When describing normative behaviour for setting the value</w:t>
      </w:r>
      <w:r w:rsidR="00460992">
        <w:t>, the verb “set” is used:</w:t>
      </w:r>
    </w:p>
    <w:p w14:paraId="4BF29EFA" w14:textId="0322CDB0" w:rsidR="00B22DB2" w:rsidRDefault="00B22DB2" w:rsidP="00B36AEC">
      <w:pPr>
        <w:pStyle w:val="ListParagraph"/>
        <w:numPr>
          <w:ilvl w:val="1"/>
          <w:numId w:val="23"/>
        </w:numPr>
        <w:jc w:val="both"/>
      </w:pPr>
      <w:r>
        <w:t>“</w:t>
      </w:r>
      <w:r w:rsidR="00460992">
        <w:t>A STA that transmits an MPDU that is</w:t>
      </w:r>
      <w:r>
        <w:t xml:space="preserve"> a retransmission </w:t>
      </w:r>
      <w:r w:rsidRPr="003F0497">
        <w:rPr>
          <w:highlight w:val="yellow"/>
        </w:rPr>
        <w:t>shall set</w:t>
      </w:r>
      <w:r>
        <w:t xml:space="preserve"> the Retry subfield of the Frame Control field of the transmitted MPDU to 1”</w:t>
      </w:r>
    </w:p>
    <w:p w14:paraId="0A603366" w14:textId="54562D5A" w:rsidR="00460992" w:rsidRDefault="00460992" w:rsidP="00B36AEC">
      <w:pPr>
        <w:pStyle w:val="ListParagraph"/>
        <w:numPr>
          <w:ilvl w:val="1"/>
          <w:numId w:val="23"/>
        </w:numPr>
        <w:jc w:val="both"/>
      </w:pPr>
      <w:r>
        <w:t xml:space="preserve">“The STA shall transmit the MPDU with the Retry subfield of the Frame Control field of the transmitted MPDU </w:t>
      </w:r>
      <w:r w:rsidRPr="003F0497">
        <w:rPr>
          <w:highlight w:val="yellow"/>
        </w:rPr>
        <w:t>set to</w:t>
      </w:r>
      <w:r>
        <w:t xml:space="preserve"> 1”</w:t>
      </w:r>
    </w:p>
    <w:p w14:paraId="19F7F496" w14:textId="77777777" w:rsidR="00B22DB2" w:rsidRDefault="00B22DB2" w:rsidP="00B36AEC">
      <w:pPr>
        <w:pStyle w:val="ListParagraph"/>
        <w:numPr>
          <w:ilvl w:val="0"/>
          <w:numId w:val="23"/>
        </w:numPr>
        <w:jc w:val="both"/>
      </w:pPr>
      <w:r>
        <w:t>When describing normative behaviour for testing or using the value</w:t>
      </w:r>
    </w:p>
    <w:p w14:paraId="12F743F8" w14:textId="32F72EE0" w:rsidR="00B22DB2" w:rsidRDefault="00B22DB2" w:rsidP="00B36AEC">
      <w:pPr>
        <w:pStyle w:val="ListParagraph"/>
        <w:numPr>
          <w:ilvl w:val="1"/>
          <w:numId w:val="23"/>
        </w:numPr>
        <w:jc w:val="both"/>
      </w:pPr>
      <w:r>
        <w:t xml:space="preserve">A STA that received an MPDU </w:t>
      </w:r>
      <w:r w:rsidRPr="003F0497">
        <w:rPr>
          <w:highlight w:val="yellow"/>
        </w:rPr>
        <w:t>in which</w:t>
      </w:r>
      <w:r>
        <w:t xml:space="preserve"> the Retry subfield of the Frame Control field </w:t>
      </w:r>
      <w:r w:rsidRPr="003F0497">
        <w:rPr>
          <w:highlight w:val="yellow"/>
        </w:rPr>
        <w:t>is</w:t>
      </w:r>
      <w:r>
        <w:t xml:space="preserve"> 1 shall determine if the MPDU is a duplicate using the </w:t>
      </w:r>
      <w:proofErr w:type="spellStart"/>
      <w:r>
        <w:t>duplate</w:t>
      </w:r>
      <w:proofErr w:type="spellEnd"/>
      <w:r>
        <w:t xml:space="preserve"> cache.</w:t>
      </w:r>
    </w:p>
    <w:p w14:paraId="49A08098" w14:textId="311B5B14" w:rsidR="00460992" w:rsidRDefault="00460992" w:rsidP="00B36AEC">
      <w:pPr>
        <w:pStyle w:val="ListParagraph"/>
        <w:numPr>
          <w:ilvl w:val="1"/>
          <w:numId w:val="23"/>
        </w:numPr>
        <w:jc w:val="both"/>
      </w:pPr>
      <w:r>
        <w:t xml:space="preserve">A STA that received an MPDU </w:t>
      </w:r>
      <w:r w:rsidRPr="003F0497">
        <w:rPr>
          <w:highlight w:val="yellow"/>
        </w:rPr>
        <w:t>with</w:t>
      </w:r>
      <w:r>
        <w:t xml:space="preserve"> the Retry subfield of the Frame Control field </w:t>
      </w:r>
      <w:r w:rsidRPr="003F0497">
        <w:rPr>
          <w:highlight w:val="yellow"/>
        </w:rPr>
        <w:t>equal to 1</w:t>
      </w:r>
      <w:r>
        <w:t xml:space="preserve"> shall determine if the MPDU is a duplicate using the </w:t>
      </w:r>
      <w:proofErr w:type="spellStart"/>
      <w:r>
        <w:t>duplate</w:t>
      </w:r>
      <w:proofErr w:type="spellEnd"/>
      <w:r>
        <w:t xml:space="preserve"> cache.</w:t>
      </w:r>
    </w:p>
    <w:p w14:paraId="0181CB09" w14:textId="13724F0C" w:rsidR="00460992" w:rsidRDefault="00BA21DC" w:rsidP="00B36AEC">
      <w:pPr>
        <w:pStyle w:val="ListParagraph"/>
        <w:numPr>
          <w:ilvl w:val="1"/>
          <w:numId w:val="23"/>
        </w:numPr>
        <w:jc w:val="both"/>
      </w:pPr>
      <w:r>
        <w:t>The use of “value of &lt;field&gt; field” is deprecated</w:t>
      </w:r>
      <w:r w:rsidR="00ED0691">
        <w:t>.</w:t>
      </w:r>
      <w:r w:rsidR="00ED0691">
        <w:rPr>
          <w:rStyle w:val="FootnoteReference"/>
        </w:rPr>
        <w:footnoteReference w:id="1"/>
      </w:r>
      <w:r w:rsidR="00ED0691">
        <w:t xml:space="preserve"> </w:t>
      </w:r>
      <w:r>
        <w:t xml:space="preserve">  So the following should not be used:</w:t>
      </w:r>
    </w:p>
    <w:p w14:paraId="5410A065" w14:textId="10EF2921" w:rsidR="004B307D" w:rsidRPr="004B307D" w:rsidRDefault="00460992" w:rsidP="00B36AEC">
      <w:pPr>
        <w:pStyle w:val="ListParagraph"/>
        <w:numPr>
          <w:ilvl w:val="2"/>
          <w:numId w:val="23"/>
        </w:numPr>
        <w:jc w:val="both"/>
      </w:pPr>
      <w:r>
        <w:t xml:space="preserve">A STA that received an MPDU with the </w:t>
      </w:r>
      <w:r w:rsidRPr="003F0497">
        <w:rPr>
          <w:highlight w:val="yellow"/>
        </w:rPr>
        <w:t>value of the</w:t>
      </w:r>
      <w:r>
        <w:t xml:space="preserve"> Retry subfield of the Frame Control field </w:t>
      </w:r>
      <w:r w:rsidRPr="003F0497">
        <w:rPr>
          <w:highlight w:val="yellow"/>
        </w:rPr>
        <w:t>equal to</w:t>
      </w:r>
      <w:r>
        <w:t xml:space="preserve"> 1 shall determine if the MPDU is a duplicate using the </w:t>
      </w:r>
      <w:proofErr w:type="spellStart"/>
      <w:r>
        <w:t>duplate</w:t>
      </w:r>
      <w:proofErr w:type="spellEnd"/>
      <w:r>
        <w:t xml:space="preserve"> cache.</w:t>
      </w:r>
    </w:p>
    <w:p w14:paraId="6BD41DED" w14:textId="4A911DEF" w:rsidR="00436155" w:rsidRDefault="00436155" w:rsidP="00436155">
      <w:pPr>
        <w:pStyle w:val="Heading2"/>
      </w:pPr>
      <w:r>
        <w:t>MIB attributes</w:t>
      </w:r>
    </w:p>
    <w:p w14:paraId="6A061A7F" w14:textId="77777777" w:rsidR="00180A4C" w:rsidRDefault="00180A4C" w:rsidP="00C911A8">
      <w:pPr>
        <w:jc w:val="both"/>
      </w:pPr>
      <w:r>
        <w:t xml:space="preserve">MIB attributes shall be named according to the conventions in </w:t>
      </w:r>
      <w:r w:rsidRPr="003607A3">
        <w:t>11-09-0533-01-0arc-recomendation-re-mib-types-and-usage.ppt</w:t>
      </w:r>
      <w:r>
        <w:t xml:space="preserve"> and 11-15-0355-13-0arc-mib-truethvalue-usage-pattern.docx.</w:t>
      </w:r>
    </w:p>
    <w:p w14:paraId="07335E78" w14:textId="77777777" w:rsidR="00180A4C" w:rsidRDefault="00180A4C" w:rsidP="00C911A8">
      <w:pPr>
        <w:jc w:val="both"/>
      </w:pPr>
    </w:p>
    <w:p w14:paraId="3A28F6DB" w14:textId="77777777" w:rsidR="00180A4C" w:rsidRDefault="00180A4C" w:rsidP="00C911A8">
      <w:pPr>
        <w:jc w:val="both"/>
      </w:pPr>
      <w:r>
        <w:t>References to MIB attributes should follow the patterns defined in 11-15-0355-13-0arc-mib-truethvalue-usage-pattern.doc.</w:t>
      </w:r>
    </w:p>
    <w:p w14:paraId="343B3B76" w14:textId="77777777" w:rsidR="00180A4C" w:rsidRDefault="00180A4C" w:rsidP="00C911A8">
      <w:pPr>
        <w:jc w:val="both"/>
      </w:pPr>
    </w:p>
    <w:p w14:paraId="1577D265" w14:textId="50930BDF" w:rsidR="00436155" w:rsidRDefault="00436155" w:rsidP="00C911A8">
      <w:pPr>
        <w:jc w:val="both"/>
      </w:pPr>
      <w:r>
        <w:t>There is no need to indicate that a cited variable is a MIB variable.  It is obvious from its name.</w:t>
      </w:r>
    </w:p>
    <w:p w14:paraId="30CF293C" w14:textId="77777777" w:rsidR="00436155" w:rsidRDefault="00436155" w:rsidP="00C911A8">
      <w:pPr>
        <w:jc w:val="both"/>
      </w:pPr>
    </w:p>
    <w:p w14:paraId="7DFF11FD" w14:textId="4209A0A5" w:rsidR="00DB2384" w:rsidRPr="00C911A8" w:rsidRDefault="00436155" w:rsidP="00C911A8">
      <w:pPr>
        <w:autoSpaceDE w:val="0"/>
        <w:autoSpaceDN w:val="0"/>
        <w:adjustRightInd w:val="0"/>
        <w:jc w:val="both"/>
        <w:rPr>
          <w:szCs w:val="22"/>
        </w:rPr>
      </w:pPr>
      <w:r w:rsidRPr="00C911A8">
        <w:rPr>
          <w:szCs w:val="22"/>
        </w:rPr>
        <w:t>So</w:t>
      </w:r>
      <w:proofErr w:type="gramStart"/>
      <w:r w:rsidRPr="00C911A8">
        <w:rPr>
          <w:szCs w:val="22"/>
        </w:rPr>
        <w:t>:  “</w:t>
      </w:r>
      <w:proofErr w:type="gramEnd"/>
      <w:r w:rsidRPr="00C911A8">
        <w:rPr>
          <w:szCs w:val="22"/>
          <w:lang w:eastAsia="en-GB"/>
        </w:rPr>
        <w:t xml:space="preserve">The STA sets the Event field to 1 when </w:t>
      </w:r>
      <w:r w:rsidRPr="00C911A8">
        <w:rPr>
          <w:strike/>
          <w:szCs w:val="22"/>
          <w:lang w:eastAsia="en-GB"/>
        </w:rPr>
        <w:t>the MIB attribute</w:t>
      </w:r>
      <w:r w:rsidRPr="00C911A8">
        <w:rPr>
          <w:szCs w:val="22"/>
          <w:lang w:eastAsia="en-GB"/>
        </w:rPr>
        <w:t xml:space="preserve"> dot11MgmtOptionEventsActivated is true, and sets it to 0 otherwise.” – i.e., delete any superfluous “the [MIB] (</w:t>
      </w:r>
      <w:proofErr w:type="spellStart"/>
      <w:r w:rsidRPr="00C911A8">
        <w:rPr>
          <w:szCs w:val="22"/>
          <w:lang w:eastAsia="en-GB"/>
        </w:rPr>
        <w:t>attribute|variable</w:t>
      </w:r>
      <w:r w:rsidR="00025CC4" w:rsidRPr="00C911A8">
        <w:rPr>
          <w:szCs w:val="22"/>
          <w:lang w:eastAsia="en-GB"/>
        </w:rPr>
        <w:t>|table|parameter</w:t>
      </w:r>
      <w:proofErr w:type="spellEnd"/>
      <w:r w:rsidRPr="00C911A8">
        <w:rPr>
          <w:szCs w:val="22"/>
          <w:lang w:eastAsia="en-GB"/>
        </w:rPr>
        <w:t>)”.</w:t>
      </w:r>
    </w:p>
    <w:p w14:paraId="31DD5CFA" w14:textId="7E5F723E" w:rsidR="00C155A7" w:rsidRDefault="00AC3A69" w:rsidP="00C155A7">
      <w:pPr>
        <w:pStyle w:val="Heading2"/>
      </w:pPr>
      <w:r>
        <w:t>Hanging Paragraphs</w:t>
      </w:r>
      <w:r w:rsidR="00025CC4">
        <w:t xml:space="preserve"> and single child subclauses</w:t>
      </w:r>
    </w:p>
    <w:p w14:paraId="294BF07F" w14:textId="54EFE203" w:rsidR="00136770" w:rsidRDefault="00136770" w:rsidP="008D79B2">
      <w:pPr>
        <w:jc w:val="both"/>
      </w:pPr>
      <w:r>
        <w:t>A paragraph that occurs between a heading and children of that heading is called a hanging paragraph.  It is not allowed because the scope of a reference to the heading is unclear – is it only the text that follows, or does it include all the children too?</w:t>
      </w:r>
    </w:p>
    <w:p w14:paraId="6155EF22" w14:textId="77777777" w:rsidR="00136770" w:rsidRDefault="00136770" w:rsidP="008D79B2">
      <w:pPr>
        <w:jc w:val="both"/>
      </w:pPr>
    </w:p>
    <w:p w14:paraId="38C3D1A1" w14:textId="77777777" w:rsidR="00C155A7" w:rsidRDefault="00136770" w:rsidP="008D79B2">
      <w:pPr>
        <w:jc w:val="both"/>
      </w:pPr>
      <w:r>
        <w:lastRenderedPageBreak/>
        <w:t>Therefore, a</w:t>
      </w:r>
      <w:r w:rsidR="00C155A7">
        <w:t xml:space="preserve"> subclause shall include either text, or child subclauses, but not both.</w:t>
      </w:r>
    </w:p>
    <w:p w14:paraId="4B4DE501" w14:textId="77777777" w:rsidR="00C155A7" w:rsidRDefault="00C155A7" w:rsidP="008D79B2">
      <w:pPr>
        <w:jc w:val="both"/>
      </w:pPr>
    </w:p>
    <w:p w14:paraId="326A571D" w14:textId="77777777" w:rsidR="002F24F8" w:rsidRDefault="00C155A7" w:rsidP="008D79B2">
      <w:pPr>
        <w:jc w:val="both"/>
      </w:pPr>
      <w:r>
        <w:t>If even one sentence of “introduction” is necessary before child subclauses, this must go in its own child subclause.  Such subclauses are typically headed “General” or “Introduction”.  Don’t use “Introduction” if it contains any normative statements.</w:t>
      </w:r>
    </w:p>
    <w:p w14:paraId="04774414" w14:textId="77777777" w:rsidR="002F24F8" w:rsidRDefault="002F24F8" w:rsidP="008D79B2">
      <w:pPr>
        <w:jc w:val="both"/>
      </w:pPr>
    </w:p>
    <w:p w14:paraId="4BDF817D" w14:textId="199BE729" w:rsidR="002F24F8" w:rsidRDefault="00FD01E2" w:rsidP="008D79B2">
      <w:pPr>
        <w:jc w:val="both"/>
      </w:pPr>
      <w:r>
        <w:t>A subclause should not have a s</w:t>
      </w:r>
      <w:r w:rsidR="002F24F8">
        <w:t>ingle</w:t>
      </w:r>
      <w:r w:rsidR="00025CC4">
        <w:t xml:space="preserve"> child subclause</w:t>
      </w:r>
      <w:r w:rsidR="003551F8">
        <w:t>; two or more should be present otherwise the child subclause heading is unnecessary since it is not separating material in the subclause</w:t>
      </w:r>
      <w:r w:rsidR="00025CC4">
        <w:t xml:space="preserve">. </w:t>
      </w:r>
      <w:r>
        <w:t>A single child subclause looks something like the following:</w:t>
      </w:r>
      <w:r w:rsidR="002F24F8">
        <w:t xml:space="preserve"> </w:t>
      </w:r>
    </w:p>
    <w:p w14:paraId="2BFF9605" w14:textId="342EE19A" w:rsidR="00FD01E2" w:rsidRDefault="00FD01E2" w:rsidP="00C155A7">
      <w:r>
        <w:tab/>
        <w:t>25.5.5</w:t>
      </w:r>
      <w:r w:rsidR="00D76E2B">
        <w:t xml:space="preserve"> Dog</w:t>
      </w:r>
    </w:p>
    <w:p w14:paraId="2409156C" w14:textId="79BCCA31" w:rsidR="00FD01E2" w:rsidRDefault="00FD01E2" w:rsidP="00C155A7">
      <w:r>
        <w:tab/>
      </w:r>
      <w:r>
        <w:tab/>
        <w:t>25.5.5.1</w:t>
      </w:r>
      <w:r w:rsidR="00D76E2B">
        <w:t xml:space="preserve"> </w:t>
      </w:r>
      <w:proofErr w:type="spellStart"/>
      <w:r w:rsidR="00D76E2B">
        <w:t>Dashund</w:t>
      </w:r>
      <w:proofErr w:type="spellEnd"/>
    </w:p>
    <w:p w14:paraId="60F587ED" w14:textId="2E3C0432" w:rsidR="00F26211" w:rsidRDefault="00FD01E2" w:rsidP="00C155A7">
      <w:r>
        <w:tab/>
        <w:t>25.5.6</w:t>
      </w:r>
      <w:r w:rsidR="00D76E2B">
        <w:t xml:space="preserve"> Cat</w:t>
      </w:r>
    </w:p>
    <w:p w14:paraId="5F6AA9F4" w14:textId="77777777" w:rsidR="00C155A7" w:rsidRDefault="00C155A7" w:rsidP="00AF2A07">
      <w:pPr>
        <w:pStyle w:val="Heading2"/>
      </w:pPr>
      <w:r>
        <w:t>Abbreviations</w:t>
      </w:r>
    </w:p>
    <w:p w14:paraId="1A06E1D7" w14:textId="11BE75D8" w:rsidR="00AF2A07" w:rsidRDefault="00AF2A07" w:rsidP="008D79B2">
      <w:pPr>
        <w:jc w:val="both"/>
      </w:pPr>
      <w:r>
        <w:t xml:space="preserve">Abbreviations may be defined for terms that are used frequently throughout the document.  When an abbreviation has been defined, use it.  (If you don’t the publication editor will probably replace most </w:t>
      </w:r>
      <w:proofErr w:type="spellStart"/>
      <w:r>
        <w:t>occur</w:t>
      </w:r>
      <w:r w:rsidR="00460992">
        <w:t>e</w:t>
      </w:r>
      <w:r>
        <w:t>nces</w:t>
      </w:r>
      <w:proofErr w:type="spellEnd"/>
      <w:r>
        <w:t xml:space="preserve"> in the text of the full term with the abbreviation).</w:t>
      </w:r>
    </w:p>
    <w:p w14:paraId="1512B3AC" w14:textId="77777777" w:rsidR="00AF2A07" w:rsidRDefault="00AF2A07" w:rsidP="008D79B2">
      <w:pPr>
        <w:jc w:val="both"/>
      </w:pPr>
    </w:p>
    <w:p w14:paraId="09839AAA" w14:textId="77777777" w:rsidR="00AF2A07" w:rsidRDefault="00AF2A07" w:rsidP="008D79B2">
      <w:pPr>
        <w:jc w:val="both"/>
      </w:pPr>
      <w:r>
        <w:t>But don’t create abbreviations for:</w:t>
      </w:r>
    </w:p>
    <w:p w14:paraId="18D122AF" w14:textId="77777777" w:rsidR="00AF2A07" w:rsidRDefault="00AF2A07" w:rsidP="00B36AEC">
      <w:pPr>
        <w:numPr>
          <w:ilvl w:val="0"/>
          <w:numId w:val="14"/>
        </w:numPr>
        <w:jc w:val="both"/>
      </w:pPr>
      <w:r>
        <w:t>Terms used only a handful of times</w:t>
      </w:r>
    </w:p>
    <w:p w14:paraId="2A2C4C85" w14:textId="77777777" w:rsidR="00AF2A07" w:rsidRDefault="00AF2A07" w:rsidP="00B36AEC">
      <w:pPr>
        <w:numPr>
          <w:ilvl w:val="0"/>
          <w:numId w:val="14"/>
        </w:numPr>
        <w:jc w:val="both"/>
      </w:pPr>
      <w:r>
        <w:t xml:space="preserve">Names of fields, structures, </w:t>
      </w:r>
      <w:proofErr w:type="gramStart"/>
      <w:r>
        <w:t>elements</w:t>
      </w:r>
      <w:proofErr w:type="gramEnd"/>
      <w:r>
        <w:t xml:space="preserve"> or frames</w:t>
      </w:r>
    </w:p>
    <w:p w14:paraId="0C12361E" w14:textId="77777777" w:rsidR="008D79B2" w:rsidRDefault="008D79B2" w:rsidP="00BA21DC"/>
    <w:p w14:paraId="264B2BE9" w14:textId="07A1834E" w:rsidR="00BA21DC" w:rsidRDefault="00BA21DC" w:rsidP="008D79B2">
      <w:pPr>
        <w:jc w:val="both"/>
      </w:pPr>
      <w:r>
        <w:t>Do not include an abbreviation of the name of a field in the name of the field itself.  e.g., a field labelled “Number of Taps (</w:t>
      </w:r>
      <w:proofErr w:type="spellStart"/>
      <w:r>
        <w:t>N_taps</w:t>
      </w:r>
      <w:proofErr w:type="spellEnd"/>
      <w:r>
        <w:t>)” is wrong.</w:t>
      </w:r>
    </w:p>
    <w:p w14:paraId="3A7F1D46" w14:textId="77777777" w:rsidR="00414F91" w:rsidRDefault="00414F91" w:rsidP="008D79B2">
      <w:pPr>
        <w:jc w:val="both"/>
      </w:pPr>
    </w:p>
    <w:p w14:paraId="0E716CFD" w14:textId="54848581" w:rsidR="00414F91" w:rsidRDefault="00414F91" w:rsidP="008D79B2">
      <w:pPr>
        <w:jc w:val="both"/>
      </w:pPr>
      <w:r>
        <w:t>Don’t create an abbreviation that includes the whole of a noun phrase – e.g.</w:t>
      </w:r>
      <w:proofErr w:type="gramStart"/>
      <w:r>
        <w:t>,  a</w:t>
      </w:r>
      <w:proofErr w:type="gramEnd"/>
      <w:r>
        <w:t xml:space="preserve"> XYZE being defined as an Xray Yankee Zulu element.  This causes confusion because names are generally adjectives followed by a noun.  </w:t>
      </w:r>
    </w:p>
    <w:p w14:paraId="1C0D768B" w14:textId="22B3A179" w:rsidR="000F136B" w:rsidRDefault="000F136B" w:rsidP="000F136B">
      <w:pPr>
        <w:pStyle w:val="Heading2"/>
      </w:pPr>
      <w:r>
        <w:t>Format for code/pseudocode</w:t>
      </w:r>
    </w:p>
    <w:p w14:paraId="092ACC14" w14:textId="70CD00C0" w:rsidR="000F136B" w:rsidRDefault="000F136B" w:rsidP="000F136B">
      <w:r>
        <w:t>Pseudo-code should be in courier font.</w:t>
      </w:r>
    </w:p>
    <w:p w14:paraId="3324ADBB" w14:textId="77777777" w:rsidR="008D79B2" w:rsidRDefault="008D79B2" w:rsidP="000F136B"/>
    <w:p w14:paraId="03A2ABA8" w14:textId="52BB9065" w:rsidR="000F136B" w:rsidRPr="000F136B" w:rsidRDefault="000F136B" w:rsidP="008D79B2">
      <w:pPr>
        <w:jc w:val="both"/>
      </w:pPr>
      <w:r>
        <w:t>There are no other consistency requirements, but it is recommended to pick a style as close as possible to an existing example in the standard.</w:t>
      </w:r>
    </w:p>
    <w:p w14:paraId="008065F5" w14:textId="133D34F4" w:rsidR="00FA1C78" w:rsidRDefault="00FA1C78" w:rsidP="00C155A7"/>
    <w:p w14:paraId="58D42119" w14:textId="77777777" w:rsidR="006922F0" w:rsidRDefault="006922F0" w:rsidP="00C87438">
      <w:pPr>
        <w:pStyle w:val="Heading1"/>
      </w:pPr>
      <w:r>
        <w:lastRenderedPageBreak/>
        <w:t>Style applicable to specific Clauses</w:t>
      </w:r>
    </w:p>
    <w:p w14:paraId="630E00B6" w14:textId="234F4D23" w:rsidR="00194DD2" w:rsidRPr="00194DD2" w:rsidRDefault="00194DD2" w:rsidP="00194DD2">
      <w:r>
        <w:t>Clause numbering relates to IEEE Std 802.11-201</w:t>
      </w:r>
      <w:r w:rsidR="001E412A">
        <w:t>6</w:t>
      </w:r>
      <w:r>
        <w:t>.</w:t>
      </w:r>
    </w:p>
    <w:p w14:paraId="2B3E286D" w14:textId="77777777" w:rsidR="00790540" w:rsidRDefault="002B577F" w:rsidP="006922F0">
      <w:pPr>
        <w:pStyle w:val="Heading2"/>
      </w:pPr>
      <w:r>
        <w:t>Definitions</w:t>
      </w:r>
      <w:r w:rsidR="00E4323C">
        <w:t xml:space="preserve"> (Clause 3)</w:t>
      </w:r>
    </w:p>
    <w:p w14:paraId="0AAB3792" w14:textId="61FDA211" w:rsidR="00DD7EE2" w:rsidRDefault="00091639" w:rsidP="008D79B2">
      <w:pPr>
        <w:jc w:val="both"/>
      </w:pPr>
      <w:r>
        <w:t>Subc</w:t>
      </w:r>
      <w:r w:rsidR="00C87438">
        <w:t>lause 3</w:t>
      </w:r>
      <w:r>
        <w:t>.1</w:t>
      </w:r>
      <w:r w:rsidR="00C87438">
        <w:t xml:space="preserve"> contains definitions that are consolidated by IEEE into a single publication of general definitions for terms used in IEEE standards</w:t>
      </w:r>
      <w:r w:rsidR="00DD7EE2">
        <w:t xml:space="preserve"> (</w:t>
      </w:r>
      <w:proofErr w:type="gramStart"/>
      <w:r w:rsidR="00DD7EE2">
        <w:t>e.g.</w:t>
      </w:r>
      <w:proofErr w:type="gramEnd"/>
      <w:r w:rsidR="00DD7EE2" w:rsidRPr="00DD7EE2">
        <w:rPr>
          <w:szCs w:val="22"/>
        </w:rPr>
        <w:t xml:space="preserve"> </w:t>
      </w:r>
      <w:r w:rsidR="00DD7EE2" w:rsidRPr="002F4A85">
        <w:rPr>
          <w:szCs w:val="22"/>
        </w:rPr>
        <w:t>IEEE Standards Dictionary Online</w:t>
      </w:r>
      <w:r w:rsidR="00DD7EE2">
        <w:rPr>
          <w:szCs w:val="22"/>
        </w:rPr>
        <w:t>)</w:t>
      </w:r>
      <w:r w:rsidR="00C87438">
        <w:t>.  Any definition that is considered “generally applicable in the industr</w:t>
      </w:r>
      <w:r>
        <w:t xml:space="preserve">y” should be included in </w:t>
      </w:r>
      <w:r w:rsidR="00C87438">
        <w:t>3.</w:t>
      </w:r>
      <w:r w:rsidRPr="00FD01E2">
        <w:t>1.</w:t>
      </w:r>
      <w:r w:rsidR="00DD7EE2" w:rsidRPr="00FD01E2">
        <w:t xml:space="preserve"> A</w:t>
      </w:r>
      <w:r w:rsidR="00DD7EE2" w:rsidRPr="002E0D5D">
        <w:t xml:space="preserve">ll acronyms in </w:t>
      </w:r>
      <w:r w:rsidR="00DD7EE2" w:rsidRPr="00FD01E2">
        <w:t xml:space="preserve">subclause </w:t>
      </w:r>
      <w:r w:rsidR="00DD7EE2" w:rsidRPr="002E0D5D">
        <w:t xml:space="preserve">3.1 </w:t>
      </w:r>
      <w:proofErr w:type="gramStart"/>
      <w:r w:rsidR="00DD7EE2" w:rsidRPr="002E0D5D">
        <w:t>have to</w:t>
      </w:r>
      <w:proofErr w:type="gramEnd"/>
      <w:r w:rsidR="00DD7EE2" w:rsidRPr="002E0D5D">
        <w:t xml:space="preserve"> be expanded on first use within each definition.</w:t>
      </w:r>
    </w:p>
    <w:p w14:paraId="6EF28D67" w14:textId="77777777" w:rsidR="002E0D5D" w:rsidRPr="002E0D5D" w:rsidRDefault="002E0D5D" w:rsidP="008D79B2">
      <w:pPr>
        <w:jc w:val="both"/>
      </w:pPr>
    </w:p>
    <w:p w14:paraId="4B07097D" w14:textId="22FA1489" w:rsidR="00C87438" w:rsidRDefault="00DD7EE2" w:rsidP="008D79B2">
      <w:pPr>
        <w:jc w:val="both"/>
      </w:pPr>
      <w:r>
        <w:t>M</w:t>
      </w:r>
      <w:r w:rsidR="00C87438">
        <w:t xml:space="preserve">any definitions that appear in 802.11 are more </w:t>
      </w:r>
      <w:proofErr w:type="gramStart"/>
      <w:r w:rsidR="00C87438">
        <w:t>local, and</w:t>
      </w:r>
      <w:proofErr w:type="gramEnd"/>
      <w:r w:rsidR="00C87438">
        <w:t xml:space="preserve"> have no meaning or significance outside of this particular document.  Such definitions</w:t>
      </w:r>
      <w:r w:rsidR="00091639">
        <w:t xml:space="preserve"> should be included in 3.2</w:t>
      </w:r>
      <w:r w:rsidR="00C87438">
        <w:t>.</w:t>
      </w:r>
    </w:p>
    <w:p w14:paraId="6803DF31" w14:textId="77777777" w:rsidR="00C87438" w:rsidRDefault="00C87438" w:rsidP="008D79B2">
      <w:pPr>
        <w:jc w:val="both"/>
      </w:pPr>
    </w:p>
    <w:p w14:paraId="77965262" w14:textId="009F63FD" w:rsidR="00C87438" w:rsidRDefault="001762F3" w:rsidP="008D79B2">
      <w:pPr>
        <w:jc w:val="both"/>
      </w:pPr>
      <w:r>
        <w:t>For example, the term “cipher suite” (a set of one or more algorithms designed to provide data confidentiality, dat</w:t>
      </w:r>
      <w:r w:rsidR="00D82AB4">
        <w:t>a</w:t>
      </w:r>
      <w:r>
        <w:t xml:space="preserve"> authenticity or integrity, and/or replay protection) is applicable outside of the 802.11 </w:t>
      </w:r>
      <w:proofErr w:type="gramStart"/>
      <w:r>
        <w:t>standard, and</w:t>
      </w:r>
      <w:proofErr w:type="gramEnd"/>
      <w:r>
        <w:t xml:space="preserve"> is included in 3</w:t>
      </w:r>
      <w:r w:rsidR="00091639">
        <w:t>.1</w:t>
      </w:r>
      <w:r>
        <w:t xml:space="preserve">. The term “Michael” (The message </w:t>
      </w:r>
      <w:r w:rsidR="00E87A6A">
        <w:t>integrity</w:t>
      </w:r>
      <w:r>
        <w:t xml:space="preserve"> code for the Temporal Key Integ</w:t>
      </w:r>
      <w:r w:rsidR="00091639">
        <w:t>rity Protocol) is included in 3.2</w:t>
      </w:r>
      <w:r>
        <w:t>.</w:t>
      </w:r>
    </w:p>
    <w:p w14:paraId="5CE375E8" w14:textId="77777777" w:rsidR="00B32CF0" w:rsidRDefault="00B32CF0" w:rsidP="008D79B2">
      <w:pPr>
        <w:jc w:val="both"/>
      </w:pPr>
    </w:p>
    <w:p w14:paraId="1D2F2C4F" w14:textId="7DCB8698" w:rsidR="00B32CF0" w:rsidRDefault="00B32CF0" w:rsidP="008D79B2">
      <w:pPr>
        <w:jc w:val="both"/>
      </w:pPr>
      <w:r>
        <w:t>Abbreviations used in definitions should be spelled out in full on their first use in each definition.  Example</w:t>
      </w:r>
      <w:proofErr w:type="gramStart"/>
      <w:r>
        <w:t xml:space="preserve">:  </w:t>
      </w:r>
      <w:r w:rsidRPr="00D82AB4">
        <w:t>“</w:t>
      </w:r>
      <w:proofErr w:type="gramEnd"/>
      <w:r w:rsidRPr="003F0497">
        <w:rPr>
          <w:b/>
          <w:bCs/>
          <w:lang w:eastAsia="en-GB"/>
        </w:rPr>
        <w:t xml:space="preserve">access point (AP) path: </w:t>
      </w:r>
      <w:r w:rsidRPr="003F0497">
        <w:rPr>
          <w:rFonts w:ascii="TimesNewRoman" w:hAnsi="TimesNewRoman" w:cs="TimesNewRoman"/>
          <w:lang w:eastAsia="en-GB"/>
        </w:rPr>
        <w:t xml:space="preserve">Path between two </w:t>
      </w:r>
      <w:proofErr w:type="spellStart"/>
      <w:r w:rsidRPr="003F0497">
        <w:rPr>
          <w:rFonts w:ascii="TimesNewRoman" w:hAnsi="TimesNewRoman" w:cs="TimesNewRoman"/>
          <w:lang w:eastAsia="en-GB"/>
        </w:rPr>
        <w:t>tunneled</w:t>
      </w:r>
      <w:proofErr w:type="spellEnd"/>
      <w:r w:rsidRPr="003F0497">
        <w:rPr>
          <w:rFonts w:ascii="TimesNewRoman" w:hAnsi="TimesNewRoman" w:cs="TimesNewRoman"/>
          <w:lang w:eastAsia="en-GB"/>
        </w:rPr>
        <w:t xml:space="preserve"> direct-link setup (TDLS) peer stations (STAs) via the AP with which the STAs are currently associated.</w:t>
      </w:r>
      <w:r w:rsidRPr="00D82AB4">
        <w:t>”</w:t>
      </w:r>
      <w:r>
        <w:t xml:space="preserve">  </w:t>
      </w:r>
    </w:p>
    <w:p w14:paraId="097836BD" w14:textId="77777777" w:rsidR="00737C80" w:rsidRDefault="00737C80" w:rsidP="008D79B2">
      <w:pPr>
        <w:autoSpaceDE w:val="0"/>
        <w:autoSpaceDN w:val="0"/>
        <w:adjustRightInd w:val="0"/>
        <w:jc w:val="both"/>
      </w:pPr>
    </w:p>
    <w:p w14:paraId="037F10C8" w14:textId="6A27AD1D" w:rsidR="00737C80" w:rsidRPr="0099034C" w:rsidRDefault="00737C80" w:rsidP="008D79B2">
      <w:pPr>
        <w:jc w:val="both"/>
        <w:rPr>
          <w:rFonts w:ascii="TimesNewRomanPSMT" w:hAnsi="TimesNewRomanPSMT" w:cs="TimesNewRomanPSMT"/>
          <w:szCs w:val="22"/>
          <w:lang w:val="en-US"/>
        </w:rPr>
      </w:pPr>
      <w:r w:rsidRPr="0099034C">
        <w:rPr>
          <w:rFonts w:ascii="TimesNewRomanPSMT" w:hAnsi="TimesNewRomanPSMT" w:cs="TimesNewRomanPSMT"/>
          <w:szCs w:val="22"/>
          <w:lang w:val="en-US"/>
        </w:rPr>
        <w:t xml:space="preserve">Definitions should appear in alphabetical order. </w:t>
      </w:r>
      <w:r w:rsidR="0061586D" w:rsidRPr="0099034C">
        <w:rPr>
          <w:rFonts w:ascii="TimesNewRomanPSMT" w:hAnsi="TimesNewRomanPSMT" w:cs="TimesNewRomanPSMT"/>
          <w:szCs w:val="22"/>
          <w:lang w:val="en-US"/>
        </w:rPr>
        <w:t>In addition,</w:t>
      </w:r>
      <w:r w:rsidRPr="0099034C">
        <w:rPr>
          <w:rFonts w:ascii="TimesNewRomanPSMT" w:hAnsi="TimesNewRomanPSMT" w:cs="TimesNewRomanPSMT"/>
          <w:szCs w:val="22"/>
          <w:lang w:val="en-US"/>
        </w:rPr>
        <w:t xml:space="preserve"> following rules apply: </w:t>
      </w:r>
    </w:p>
    <w:p w14:paraId="03F62040" w14:textId="77777777" w:rsidR="00960D25" w:rsidRPr="00A44052" w:rsidRDefault="00960D25" w:rsidP="00B36AEC">
      <w:pPr>
        <w:numPr>
          <w:ilvl w:val="0"/>
          <w:numId w:val="29"/>
        </w:numPr>
        <w:autoSpaceDE w:val="0"/>
        <w:autoSpaceDN w:val="0"/>
        <w:jc w:val="both"/>
        <w:rPr>
          <w:szCs w:val="22"/>
          <w:lang w:val="en-US"/>
        </w:rPr>
      </w:pPr>
      <w:r>
        <w:rPr>
          <w:rFonts w:ascii="TimesNewRomanPSMT" w:hAnsi="TimesNewRomanPSMT"/>
          <w:szCs w:val="22"/>
        </w:rPr>
        <w:t>spaces sort earlier than letters or digits</w:t>
      </w:r>
    </w:p>
    <w:p w14:paraId="4DBC2C81" w14:textId="13A05EA6" w:rsidR="00422A48" w:rsidRPr="0099034C" w:rsidRDefault="00422A48" w:rsidP="00B36AEC">
      <w:pPr>
        <w:numPr>
          <w:ilvl w:val="0"/>
          <w:numId w:val="29"/>
        </w:numPr>
        <w:autoSpaceDE w:val="0"/>
        <w:autoSpaceDN w:val="0"/>
        <w:jc w:val="both"/>
        <w:rPr>
          <w:szCs w:val="22"/>
          <w:lang w:val="en-US"/>
        </w:rPr>
      </w:pPr>
      <w:r w:rsidRPr="002E0D5D">
        <w:rPr>
          <w:rFonts w:ascii="TimesNewRomanPSMT" w:hAnsi="TimesNewRomanPSMT"/>
          <w:szCs w:val="22"/>
        </w:rPr>
        <w:t xml:space="preserve">digits sort earlier than letters (but numbers sort in numeric order, </w:t>
      </w:r>
      <w:proofErr w:type="gramStart"/>
      <w:r w:rsidRPr="002E0D5D">
        <w:rPr>
          <w:rFonts w:ascii="TimesNewRomanPSMT" w:hAnsi="TimesNewRomanPSMT"/>
          <w:szCs w:val="22"/>
        </w:rPr>
        <w:t>e.g.</w:t>
      </w:r>
      <w:proofErr w:type="gramEnd"/>
      <w:r w:rsidRPr="002E0D5D">
        <w:rPr>
          <w:rFonts w:ascii="TimesNewRomanPSMT" w:hAnsi="TimesNewRomanPSMT"/>
          <w:szCs w:val="22"/>
        </w:rPr>
        <w:t xml:space="preserve"> 2 is </w:t>
      </w:r>
      <w:r w:rsidRPr="002E0D5D">
        <w:rPr>
          <w:rFonts w:ascii="TimesNewRomanPSMT" w:hAnsi="TimesNewRomanPSMT"/>
          <w:szCs w:val="22"/>
          <w:u w:val="single"/>
        </w:rPr>
        <w:t>before</w:t>
      </w:r>
      <w:r w:rsidRPr="002E0D5D">
        <w:rPr>
          <w:rFonts w:ascii="TimesNewRomanPSMT" w:hAnsi="TimesNewRomanPSMT"/>
          <w:szCs w:val="22"/>
        </w:rPr>
        <w:t xml:space="preserve"> 10)</w:t>
      </w:r>
    </w:p>
    <w:p w14:paraId="47042708" w14:textId="77777777" w:rsidR="00422A48" w:rsidRPr="00A44052" w:rsidRDefault="00422A48" w:rsidP="00B36AEC">
      <w:pPr>
        <w:numPr>
          <w:ilvl w:val="0"/>
          <w:numId w:val="29"/>
        </w:numPr>
        <w:autoSpaceDE w:val="0"/>
        <w:autoSpaceDN w:val="0"/>
        <w:jc w:val="both"/>
        <w:rPr>
          <w:szCs w:val="22"/>
        </w:rPr>
      </w:pPr>
      <w:r w:rsidRPr="002E0D5D">
        <w:rPr>
          <w:rFonts w:ascii="TimesNewRomanPSMT" w:hAnsi="TimesNewRomanPSMT"/>
          <w:szCs w:val="22"/>
        </w:rPr>
        <w:t>ignore (treat as not present) everything that is not an ASCII alphanumeric or space, including hyphens</w:t>
      </w:r>
    </w:p>
    <w:p w14:paraId="055A3367" w14:textId="77777777" w:rsidR="00422A48" w:rsidRPr="00A44052" w:rsidRDefault="00422A48" w:rsidP="00B36AEC">
      <w:pPr>
        <w:numPr>
          <w:ilvl w:val="0"/>
          <w:numId w:val="29"/>
        </w:numPr>
        <w:autoSpaceDE w:val="0"/>
        <w:autoSpaceDN w:val="0"/>
        <w:rPr>
          <w:szCs w:val="22"/>
        </w:rPr>
      </w:pPr>
      <w:r w:rsidRPr="002E0D5D">
        <w:rPr>
          <w:rFonts w:ascii="TimesNewRomanPSMT" w:hAnsi="TimesNewRomanPSMT"/>
          <w:szCs w:val="22"/>
        </w:rPr>
        <w:t>ignore (treat as equivalent) case of letters</w:t>
      </w:r>
    </w:p>
    <w:p w14:paraId="35C3A32C" w14:textId="7CBA1694" w:rsidR="001762F3" w:rsidRPr="005B1896" w:rsidRDefault="00422A48" w:rsidP="00B36AEC">
      <w:pPr>
        <w:numPr>
          <w:ilvl w:val="0"/>
          <w:numId w:val="29"/>
        </w:numPr>
        <w:autoSpaceDE w:val="0"/>
        <w:autoSpaceDN w:val="0"/>
        <w:rPr>
          <w:szCs w:val="22"/>
        </w:rPr>
      </w:pPr>
      <w:r w:rsidRPr="002E0D5D">
        <w:rPr>
          <w:rFonts w:ascii="TimesNewRomanPSMT" w:hAnsi="TimesNewRomanPSMT"/>
          <w:szCs w:val="22"/>
        </w:rPr>
        <w:t>ignore (treat as not present) stuff in parentheses.</w:t>
      </w:r>
    </w:p>
    <w:p w14:paraId="0A0133C4" w14:textId="48F44D26" w:rsidR="005B1896" w:rsidRDefault="005B1896" w:rsidP="005B1896">
      <w:pPr>
        <w:autoSpaceDE w:val="0"/>
        <w:autoSpaceDN w:val="0"/>
        <w:rPr>
          <w:rFonts w:ascii="TimesNewRomanPSMT" w:hAnsi="TimesNewRomanPSMT"/>
          <w:szCs w:val="22"/>
        </w:rPr>
      </w:pPr>
    </w:p>
    <w:p w14:paraId="5F4083D1" w14:textId="3C5FE526" w:rsidR="005B1896" w:rsidRDefault="005B1896" w:rsidP="00C353DA">
      <w:pPr>
        <w:pStyle w:val="Heading2"/>
      </w:pPr>
      <w:r>
        <w:t>Acronyms (Clause 3.4)</w:t>
      </w:r>
    </w:p>
    <w:p w14:paraId="24AB07CD" w14:textId="45E6A6C4" w:rsidR="005B1896" w:rsidRDefault="005B1896" w:rsidP="005B1896">
      <w:pPr>
        <w:autoSpaceDE w:val="0"/>
        <w:autoSpaceDN w:val="0"/>
        <w:rPr>
          <w:szCs w:val="22"/>
        </w:rPr>
      </w:pPr>
    </w:p>
    <w:p w14:paraId="218CDFCD" w14:textId="77777777" w:rsidR="00C353DA" w:rsidRDefault="005B1896" w:rsidP="005B1896">
      <w:pPr>
        <w:autoSpaceDE w:val="0"/>
        <w:autoSpaceDN w:val="0"/>
        <w:rPr>
          <w:szCs w:val="22"/>
        </w:rPr>
      </w:pPr>
      <w:r>
        <w:rPr>
          <w:szCs w:val="22"/>
        </w:rPr>
        <w:t>Abbreviated terms that appear in multiple clauses (are widely used in the standard) should be listed in 3.4 (Acronyms and abbreviations). Acronyms that appear in multiple definitions in 3.2 (</w:t>
      </w:r>
      <w:r w:rsidR="00C353DA">
        <w:rPr>
          <w:szCs w:val="22"/>
        </w:rPr>
        <w:t>Definitions specific to IEEE Std 802.11</w:t>
      </w:r>
      <w:r>
        <w:rPr>
          <w:szCs w:val="22"/>
        </w:rPr>
        <w:t>) should appear in 3.4.</w:t>
      </w:r>
    </w:p>
    <w:p w14:paraId="250BB278" w14:textId="77777777" w:rsidR="00C353DA" w:rsidRDefault="00C353DA" w:rsidP="005B1896">
      <w:pPr>
        <w:autoSpaceDE w:val="0"/>
        <w:autoSpaceDN w:val="0"/>
        <w:rPr>
          <w:szCs w:val="22"/>
        </w:rPr>
      </w:pPr>
    </w:p>
    <w:p w14:paraId="3C987D60" w14:textId="34726EA6" w:rsidR="005B1896" w:rsidRDefault="00C353DA" w:rsidP="005B1896">
      <w:pPr>
        <w:autoSpaceDE w:val="0"/>
        <w:autoSpaceDN w:val="0"/>
        <w:rPr>
          <w:szCs w:val="22"/>
        </w:rPr>
      </w:pPr>
      <w:r>
        <w:rPr>
          <w:szCs w:val="22"/>
        </w:rPr>
        <w:t>Acronyms are added at the technical editor’s discretion.</w:t>
      </w:r>
    </w:p>
    <w:p w14:paraId="1E79EEAC" w14:textId="77777777" w:rsidR="005B1896" w:rsidRDefault="005B1896" w:rsidP="005B1896">
      <w:pPr>
        <w:autoSpaceDE w:val="0"/>
        <w:autoSpaceDN w:val="0"/>
        <w:rPr>
          <w:szCs w:val="22"/>
        </w:rPr>
      </w:pPr>
    </w:p>
    <w:p w14:paraId="337A97E2" w14:textId="77777777" w:rsidR="005B1896" w:rsidRPr="00D76E2B" w:rsidRDefault="005B1896" w:rsidP="005B1896">
      <w:pPr>
        <w:autoSpaceDE w:val="0"/>
        <w:autoSpaceDN w:val="0"/>
        <w:rPr>
          <w:szCs w:val="22"/>
        </w:rPr>
      </w:pPr>
    </w:p>
    <w:p w14:paraId="2D57ABF9" w14:textId="77777777" w:rsidR="001762F3" w:rsidRDefault="00480424" w:rsidP="006922F0">
      <w:pPr>
        <w:pStyle w:val="Heading2"/>
      </w:pPr>
      <w:r>
        <w:t>General Description</w:t>
      </w:r>
      <w:r w:rsidR="00E4323C">
        <w:t xml:space="preserve"> (Clause 4)</w:t>
      </w:r>
    </w:p>
    <w:p w14:paraId="534640F3" w14:textId="77777777" w:rsidR="001762F3" w:rsidRDefault="00480424" w:rsidP="008D79B2">
      <w:pPr>
        <w:jc w:val="both"/>
      </w:pPr>
      <w:r>
        <w:t>Clause 4</w:t>
      </w:r>
      <w:r w:rsidR="001762F3">
        <w:t xml:space="preserve"> provides a general description of the wireless system.  It should be written in declarative, not normative, language.</w:t>
      </w:r>
    </w:p>
    <w:p w14:paraId="4936883D" w14:textId="344F0006" w:rsidR="00F907E3" w:rsidRDefault="00480424" w:rsidP="006922F0">
      <w:pPr>
        <w:pStyle w:val="Heading2"/>
      </w:pPr>
      <w:r>
        <w:t>Frame formats</w:t>
      </w:r>
      <w:r w:rsidR="00E4323C">
        <w:t xml:space="preserve"> (Clause </w:t>
      </w:r>
      <w:r w:rsidR="001E412A">
        <w:t>9</w:t>
      </w:r>
      <w:r w:rsidR="00E4323C">
        <w:t>)</w:t>
      </w:r>
    </w:p>
    <w:p w14:paraId="6AAF2E6A" w14:textId="3DB833ED" w:rsidR="00F907E3" w:rsidRDefault="00E4323C" w:rsidP="008D79B2">
      <w:pPr>
        <w:jc w:val="both"/>
      </w:pPr>
      <w:r>
        <w:t xml:space="preserve">Clause </w:t>
      </w:r>
      <w:r w:rsidR="001E412A">
        <w:t xml:space="preserve">9 </w:t>
      </w:r>
      <w:r w:rsidR="00F907E3">
        <w:t>is reserved for describing struc</w:t>
      </w:r>
      <w:r>
        <w:t xml:space="preserve">ture (apart from statements in </w:t>
      </w:r>
      <w:r w:rsidR="001E412A">
        <w:t>9</w:t>
      </w:r>
      <w:r w:rsidR="00F907E3">
        <w:t>.1).</w:t>
      </w:r>
    </w:p>
    <w:p w14:paraId="5D947B56" w14:textId="77777777" w:rsidR="00F907E3" w:rsidRDefault="00F907E3" w:rsidP="008D79B2">
      <w:pPr>
        <w:jc w:val="both"/>
      </w:pPr>
    </w:p>
    <w:p w14:paraId="244C827D" w14:textId="5EACE948" w:rsidR="00F907E3" w:rsidRPr="00F907E3" w:rsidRDefault="00F907E3" w:rsidP="008D79B2">
      <w:pPr>
        <w:jc w:val="both"/>
      </w:pPr>
      <w:r>
        <w:t xml:space="preserve">Statements that describe the actions of a STA </w:t>
      </w:r>
      <w:proofErr w:type="gramStart"/>
      <w:r>
        <w:t>in order to</w:t>
      </w:r>
      <w:proofErr w:type="gramEnd"/>
      <w:r>
        <w:t xml:space="preserve"> determine a value for a field and any other behavioural specification s</w:t>
      </w:r>
      <w:r w:rsidR="00E4323C">
        <w:t xml:space="preserve">hould not be present in Clause </w:t>
      </w:r>
      <w:r w:rsidR="001E412A">
        <w:t>9</w:t>
      </w:r>
      <w:r>
        <w:t>.</w:t>
      </w:r>
    </w:p>
    <w:p w14:paraId="2636ACA2" w14:textId="77777777" w:rsidR="00F907E3" w:rsidRDefault="00F907E3" w:rsidP="008D79B2">
      <w:pPr>
        <w:jc w:val="both"/>
      </w:pPr>
    </w:p>
    <w:p w14:paraId="1A8997AC" w14:textId="77777777" w:rsidR="00F907E3" w:rsidRDefault="00F907E3" w:rsidP="008D79B2">
      <w:pPr>
        <w:jc w:val="both"/>
      </w:pPr>
      <w:r>
        <w:t>This requires a bit of interpretation.</w:t>
      </w:r>
    </w:p>
    <w:p w14:paraId="2B8C6CA4" w14:textId="77777777" w:rsidR="00F907E3" w:rsidRDefault="00F907E3" w:rsidP="008D79B2">
      <w:pPr>
        <w:jc w:val="both"/>
      </w:pPr>
    </w:p>
    <w:p w14:paraId="45308A2C" w14:textId="03F78370" w:rsidR="00F907E3" w:rsidRDefault="00F907E3" w:rsidP="008D79B2">
      <w:pPr>
        <w:jc w:val="both"/>
      </w:pPr>
      <w:r>
        <w:t>For example</w:t>
      </w:r>
      <w:proofErr w:type="gramStart"/>
      <w:r>
        <w:t>:  “</w:t>
      </w:r>
      <w:proofErr w:type="gramEnd"/>
      <w:r>
        <w:t>the Length field is set to the logarithm of the number of octets in the remainder of the frame” is acceptable. The act of calculating a logarithm is not considered to be behaviour.</w:t>
      </w:r>
    </w:p>
    <w:p w14:paraId="72319578" w14:textId="77777777" w:rsidR="00F907E3" w:rsidRDefault="00F907E3" w:rsidP="008D79B2">
      <w:pPr>
        <w:jc w:val="both"/>
      </w:pPr>
    </w:p>
    <w:p w14:paraId="7340147A" w14:textId="1491030A" w:rsidR="00F907E3" w:rsidRDefault="00F907E3" w:rsidP="008D79B2">
      <w:pPr>
        <w:jc w:val="both"/>
      </w:pPr>
      <w:r>
        <w:t>But</w:t>
      </w:r>
      <w:proofErr w:type="gramStart"/>
      <w:r>
        <w:t>:  “</w:t>
      </w:r>
      <w:proofErr w:type="gramEnd"/>
      <w:r>
        <w:t>The Legacy Devices Present field is set to 1 when the STA receives a beacon that does not include an HT Operation element” is clearly a description of behaviour, and therefore not acceptable.</w:t>
      </w:r>
    </w:p>
    <w:p w14:paraId="5019DB42" w14:textId="77777777" w:rsidR="00790540" w:rsidRDefault="00790540" w:rsidP="006922F0">
      <w:pPr>
        <w:pStyle w:val="Heading3"/>
      </w:pPr>
      <w:r>
        <w:t>Use of normative language in structure/field definitions</w:t>
      </w:r>
    </w:p>
    <w:p w14:paraId="314DCD0C" w14:textId="77777777" w:rsidR="00F907E3" w:rsidRPr="00F907E3" w:rsidRDefault="00F907E3" w:rsidP="006922F0">
      <w:r>
        <w:t xml:space="preserve">See </w:t>
      </w:r>
      <w:r w:rsidRPr="00F907E3">
        <w:t>11-09-0433-01-000m-clause-7-normative-language.doc</w:t>
      </w:r>
      <w:r>
        <w:t>.</w:t>
      </w:r>
    </w:p>
    <w:p w14:paraId="10C02559" w14:textId="77777777" w:rsidR="00F907E3" w:rsidRDefault="00F907E3" w:rsidP="006922F0"/>
    <w:p w14:paraId="36656E98" w14:textId="77777777" w:rsidR="005476DD" w:rsidRDefault="00790540" w:rsidP="008D79B2">
      <w:pPr>
        <w:jc w:val="both"/>
      </w:pPr>
      <w:r>
        <w:t>Normative language shall not be used to describe structure.  I.e.</w:t>
      </w:r>
      <w:r w:rsidR="00996A95">
        <w:t>,</w:t>
      </w:r>
      <w:r>
        <w:t xml:space="preserve"> you can say</w:t>
      </w:r>
      <w:proofErr w:type="gramStart"/>
      <w:r>
        <w:t>:  “</w:t>
      </w:r>
      <w:proofErr w:type="gramEnd"/>
      <w:r>
        <w:t>the structure consists of an 3-octet Length field followed by an Amplitude field” – although it is more typical to use tables and figures to define structure.</w:t>
      </w:r>
    </w:p>
    <w:p w14:paraId="6BC86039" w14:textId="77777777" w:rsidR="00790540" w:rsidRDefault="00790540" w:rsidP="008D79B2">
      <w:pPr>
        <w:jc w:val="both"/>
      </w:pPr>
    </w:p>
    <w:p w14:paraId="012048BF" w14:textId="7BA1B411" w:rsidR="009513AC" w:rsidRDefault="00790540" w:rsidP="008D79B2">
      <w:pPr>
        <w:jc w:val="both"/>
      </w:pPr>
      <w:r>
        <w:t>Normative language shall not be used for describing the encodings of fields.   I.e., you can say</w:t>
      </w:r>
      <w:proofErr w:type="gramStart"/>
      <w:r>
        <w:t>:  “</w:t>
      </w:r>
      <w:proofErr w:type="gramEnd"/>
      <w:r>
        <w:t>the value 1 represents Measurement Enabled”, but cannot say:  “the field shall be set to 1 to represent Measurement Enabled”.</w:t>
      </w:r>
    </w:p>
    <w:p w14:paraId="0585E8E4" w14:textId="7D4417EA" w:rsidR="007F0DC1" w:rsidRDefault="007F0DC1" w:rsidP="008D79B2">
      <w:pPr>
        <w:jc w:val="both"/>
      </w:pPr>
    </w:p>
    <w:p w14:paraId="385668D7" w14:textId="049E2928" w:rsidR="007F0DC1" w:rsidRDefault="007F0DC1" w:rsidP="008D79B2">
      <w:pPr>
        <w:jc w:val="both"/>
      </w:pPr>
      <w:r>
        <w:t>The figures in Clause 9 are no</w:t>
      </w:r>
      <w:r w:rsidR="008B473A">
        <w:t>r</w:t>
      </w:r>
      <w:r>
        <w:t>mative</w:t>
      </w:r>
      <w:r w:rsidR="00AF5514">
        <w:t>. D</w:t>
      </w:r>
      <w:r>
        <w:t xml:space="preserve">o not duplicate </w:t>
      </w:r>
      <w:r w:rsidR="00AF5514">
        <w:t xml:space="preserve">the </w:t>
      </w:r>
      <w:r>
        <w:t xml:space="preserve">length information given in figures in Clause 9 text. For example, “The Y field </w:t>
      </w:r>
      <w:r w:rsidRPr="00BC1638">
        <w:t>is x bits/octets in length"</w:t>
      </w:r>
      <w:r>
        <w:t xml:space="preserve"> or</w:t>
      </w:r>
      <w:r w:rsidRPr="00BC1638">
        <w:t xml:space="preserve"> "</w:t>
      </w:r>
      <w:r>
        <w:t xml:space="preserve">The Y field </w:t>
      </w:r>
      <w:r w:rsidRPr="00BC1638">
        <w:t>is an x-bit/octet field"</w:t>
      </w:r>
      <w:r>
        <w:t xml:space="preserve"> are redundant. There is no value in duplicating the information. </w:t>
      </w:r>
    </w:p>
    <w:p w14:paraId="0AA3C48C" w14:textId="738A9E84" w:rsidR="009513AC" w:rsidRDefault="00480424" w:rsidP="006922F0">
      <w:pPr>
        <w:pStyle w:val="Heading2"/>
      </w:pPr>
      <w:r>
        <w:t>SAP Interfaces (Clause 6)</w:t>
      </w:r>
    </w:p>
    <w:p w14:paraId="47B7F30B" w14:textId="77777777" w:rsidR="00DF0904" w:rsidRDefault="00DF0904" w:rsidP="00DF0904">
      <w:pPr>
        <w:pStyle w:val="Heading3"/>
      </w:pPr>
      <w:r>
        <w:t>Presence statements</w:t>
      </w:r>
    </w:p>
    <w:p w14:paraId="76F3D212" w14:textId="77777777" w:rsidR="009513AC" w:rsidRDefault="009513AC" w:rsidP="008D79B2">
      <w:pPr>
        <w:jc w:val="both"/>
      </w:pPr>
      <w:r>
        <w:t>Normative language shall not be used in “Presence” statements, such as occur in primitive parameter tables.  These statements should, wherever possible</w:t>
      </w:r>
      <w:r w:rsidR="00E87A6A">
        <w:t>, follow</w:t>
      </w:r>
      <w:r>
        <w:t xml:space="preserve"> this template:</w:t>
      </w:r>
    </w:p>
    <w:p w14:paraId="25A4D65F" w14:textId="325E151C" w:rsidR="00466E5F" w:rsidRPr="00D76E2B" w:rsidRDefault="009513AC" w:rsidP="00D76E2B">
      <w:pPr>
        <w:ind w:firstLine="720"/>
        <w:rPr>
          <w:b/>
          <w:i/>
        </w:rPr>
      </w:pPr>
      <w:r>
        <w:rPr>
          <w:b/>
          <w:i/>
        </w:rPr>
        <w:t>The &lt;name&gt; &lt;type of structure&gt;</w:t>
      </w:r>
      <w:r w:rsidRPr="008A5625">
        <w:rPr>
          <w:b/>
          <w:i/>
        </w:rPr>
        <w:t xml:space="preserve"> is [optionally] present if &lt;some condition</w:t>
      </w:r>
      <w:proofErr w:type="gramStart"/>
      <w:r w:rsidRPr="008A5625">
        <w:rPr>
          <w:b/>
          <w:i/>
        </w:rPr>
        <w:t>&gt;</w:t>
      </w:r>
      <w:r w:rsidR="00466E5F">
        <w:rPr>
          <w:b/>
          <w:i/>
        </w:rPr>
        <w:t>[</w:t>
      </w:r>
      <w:proofErr w:type="gramEnd"/>
      <w:r w:rsidR="00466E5F">
        <w:rPr>
          <w:b/>
          <w:i/>
        </w:rPr>
        <w:t>; otherwise not present]</w:t>
      </w:r>
      <w:r w:rsidRPr="008A5625">
        <w:rPr>
          <w:b/>
          <w:i/>
        </w:rPr>
        <w:t>.</w:t>
      </w:r>
    </w:p>
    <w:p w14:paraId="6DE1DD62" w14:textId="77777777" w:rsidR="00DF0904" w:rsidRDefault="00DF0904" w:rsidP="00DF0904">
      <w:pPr>
        <w:pStyle w:val="Heading3"/>
      </w:pPr>
      <w:r>
        <w:t>Consistency Requirements</w:t>
      </w:r>
    </w:p>
    <w:p w14:paraId="0CF6E6C0" w14:textId="54DD2FCA" w:rsidR="00DF0904" w:rsidRDefault="00DF0904" w:rsidP="005362CD">
      <w:pPr>
        <w:jc w:val="both"/>
      </w:pPr>
      <w:r>
        <w:t>The SAP interfaces should be reviewed fo</w:t>
      </w:r>
      <w:r w:rsidR="00996A95">
        <w:t>r consistency.   Unfortunately,</w:t>
      </w:r>
      <w:r>
        <w:t xml:space="preserve"> most participants pay little attention to these interfaces, and they often become inconsistent with changes made elsewhere in the document.</w:t>
      </w:r>
    </w:p>
    <w:p w14:paraId="76FF07D2" w14:textId="77777777" w:rsidR="00DF0904" w:rsidRDefault="00DF0904" w:rsidP="005362CD">
      <w:pPr>
        <w:jc w:val="both"/>
      </w:pPr>
    </w:p>
    <w:p w14:paraId="30DC0CB5" w14:textId="77777777" w:rsidR="00DF0904" w:rsidRDefault="00DF0904" w:rsidP="005362CD">
      <w:pPr>
        <w:jc w:val="both"/>
      </w:pPr>
      <w:r>
        <w:t>The following consistencies should exist:</w:t>
      </w:r>
    </w:p>
    <w:p w14:paraId="04E05AB1" w14:textId="77777777" w:rsidR="00DF0904" w:rsidRDefault="00DF0904" w:rsidP="00B36AEC">
      <w:pPr>
        <w:numPr>
          <w:ilvl w:val="0"/>
          <w:numId w:val="4"/>
        </w:numPr>
        <w:jc w:val="both"/>
      </w:pPr>
      <w:r>
        <w:t xml:space="preserve">The parameters in </w:t>
      </w:r>
      <w:proofErr w:type="gramStart"/>
      <w:r>
        <w:t>the .request</w:t>
      </w:r>
      <w:proofErr w:type="gramEnd"/>
      <w:r>
        <w:t xml:space="preserve"> should match (in some sense) the contents of a request frame.</w:t>
      </w:r>
    </w:p>
    <w:p w14:paraId="2E03F119" w14:textId="77777777" w:rsidR="00DF0904" w:rsidRDefault="00DF0904" w:rsidP="00B36AEC">
      <w:pPr>
        <w:numPr>
          <w:ilvl w:val="0"/>
          <w:numId w:val="4"/>
        </w:numPr>
        <w:jc w:val="both"/>
      </w:pPr>
      <w:r>
        <w:t xml:space="preserve">The parameters of </w:t>
      </w:r>
      <w:proofErr w:type="gramStart"/>
      <w:r>
        <w:t xml:space="preserve">a </w:t>
      </w:r>
      <w:r w:rsidR="00DB4328">
        <w:t>.indication</w:t>
      </w:r>
      <w:proofErr w:type="gramEnd"/>
      <w:r>
        <w:t xml:space="preserve"> should match the .request</w:t>
      </w:r>
    </w:p>
    <w:p w14:paraId="684519C8" w14:textId="77777777" w:rsidR="00DF0904" w:rsidRPr="00F94667" w:rsidRDefault="00DF0904" w:rsidP="00B36AEC">
      <w:pPr>
        <w:numPr>
          <w:ilvl w:val="0"/>
          <w:numId w:val="4"/>
        </w:numPr>
        <w:jc w:val="both"/>
      </w:pPr>
      <w:r w:rsidRPr="000210A1">
        <w:t xml:space="preserve">The parameters in </w:t>
      </w:r>
      <w:proofErr w:type="gramStart"/>
      <w:r w:rsidRPr="000210A1">
        <w:t>the .response</w:t>
      </w:r>
      <w:proofErr w:type="gramEnd"/>
      <w:r w:rsidRPr="000210A1">
        <w:t xml:space="preserve"> should match (in some sense) the contents of a response frame.</w:t>
      </w:r>
    </w:p>
    <w:p w14:paraId="3DFAF55C" w14:textId="77777777" w:rsidR="00DF0904" w:rsidRDefault="00DF0904" w:rsidP="00B36AEC">
      <w:pPr>
        <w:numPr>
          <w:ilvl w:val="0"/>
          <w:numId w:val="4"/>
        </w:numPr>
        <w:jc w:val="both"/>
      </w:pPr>
      <w:r>
        <w:t xml:space="preserve">The parameters of </w:t>
      </w:r>
      <w:proofErr w:type="gramStart"/>
      <w:r>
        <w:t>a .confirm</w:t>
      </w:r>
      <w:proofErr w:type="gramEnd"/>
      <w:r>
        <w:t xml:space="preserve"> should match the .response</w:t>
      </w:r>
    </w:p>
    <w:p w14:paraId="5FA38CE2" w14:textId="77777777" w:rsidR="00DB4328" w:rsidRDefault="00DB4328" w:rsidP="00B36AEC">
      <w:pPr>
        <w:numPr>
          <w:ilvl w:val="0"/>
          <w:numId w:val="4"/>
        </w:numPr>
        <w:jc w:val="both"/>
      </w:pPr>
      <w:r>
        <w:t xml:space="preserve">Any Reason Code values enumerated in </w:t>
      </w:r>
      <w:proofErr w:type="gramStart"/>
      <w:r>
        <w:t>a .request</w:t>
      </w:r>
      <w:proofErr w:type="gramEnd"/>
      <w:r>
        <w:t>/.indication should</w:t>
      </w:r>
    </w:p>
    <w:p w14:paraId="2060985D" w14:textId="77777777" w:rsidR="00DF0904" w:rsidRDefault="00DB4328" w:rsidP="00B36AEC">
      <w:pPr>
        <w:numPr>
          <w:ilvl w:val="1"/>
          <w:numId w:val="4"/>
        </w:numPr>
        <w:jc w:val="both"/>
      </w:pPr>
      <w:r>
        <w:t xml:space="preserve">match, and </w:t>
      </w:r>
    </w:p>
    <w:p w14:paraId="34C1EE98" w14:textId="77777777" w:rsidR="00DB4328" w:rsidRDefault="00DB4328" w:rsidP="00B36AEC">
      <w:pPr>
        <w:numPr>
          <w:ilvl w:val="1"/>
          <w:numId w:val="4"/>
        </w:numPr>
        <w:jc w:val="both"/>
      </w:pPr>
      <w:r>
        <w:t>the names of these values should be present in the Reason Code table</w:t>
      </w:r>
      <w:r w:rsidR="00AE2915">
        <w:t xml:space="preserve"> of the Frame Formats clause.</w:t>
      </w:r>
    </w:p>
    <w:p w14:paraId="0EEB09A6" w14:textId="77777777" w:rsidR="00DB4328" w:rsidRDefault="00DB4328" w:rsidP="00B36AEC">
      <w:pPr>
        <w:numPr>
          <w:ilvl w:val="0"/>
          <w:numId w:val="4"/>
        </w:numPr>
        <w:jc w:val="both"/>
      </w:pPr>
      <w:r>
        <w:t xml:space="preserve">Any Status Code values enumerated in </w:t>
      </w:r>
      <w:proofErr w:type="gramStart"/>
      <w:r>
        <w:t>a .response</w:t>
      </w:r>
      <w:proofErr w:type="gramEnd"/>
      <w:r>
        <w:t>/.confirm should</w:t>
      </w:r>
      <w:r w:rsidR="00425CE8">
        <w:t>:</w:t>
      </w:r>
    </w:p>
    <w:p w14:paraId="69DDE345" w14:textId="77777777" w:rsidR="00DB4328" w:rsidRDefault="00DB4328" w:rsidP="00B36AEC">
      <w:pPr>
        <w:numPr>
          <w:ilvl w:val="1"/>
          <w:numId w:val="4"/>
        </w:numPr>
        <w:jc w:val="both"/>
      </w:pPr>
      <w:proofErr w:type="gramStart"/>
      <w:r>
        <w:t>match,  in</w:t>
      </w:r>
      <w:proofErr w:type="gramEnd"/>
      <w:r>
        <w:t xml:space="preserve"> the sense that the .confirm contains all the values of the .response,  plus any locally-gen</w:t>
      </w:r>
      <w:r w:rsidR="00425CE8">
        <w:t xml:space="preserve">erated Status Code values,  </w:t>
      </w:r>
    </w:p>
    <w:p w14:paraId="31C95299" w14:textId="0073F7E6" w:rsidR="00DB4328" w:rsidRDefault="00DB4328" w:rsidP="00B36AEC">
      <w:pPr>
        <w:numPr>
          <w:ilvl w:val="1"/>
          <w:numId w:val="4"/>
        </w:numPr>
        <w:jc w:val="both"/>
      </w:pPr>
      <w:r>
        <w:t xml:space="preserve">the names of the values from </w:t>
      </w:r>
      <w:proofErr w:type="gramStart"/>
      <w:r>
        <w:t>the .response</w:t>
      </w:r>
      <w:proofErr w:type="gramEnd"/>
      <w:r>
        <w:t xml:space="preserve"> should be present in the Status Code table</w:t>
      </w:r>
      <w:r w:rsidR="00AE2915">
        <w:t xml:space="preserve"> of the Frame Formats clause.</w:t>
      </w:r>
    </w:p>
    <w:p w14:paraId="7BF9DEFC" w14:textId="7822AF0F" w:rsidR="00596D29" w:rsidRPr="00DF0904" w:rsidRDefault="00596D29" w:rsidP="00B36AEC">
      <w:pPr>
        <w:numPr>
          <w:ilvl w:val="0"/>
          <w:numId w:val="4"/>
        </w:numPr>
        <w:jc w:val="both"/>
      </w:pPr>
      <w:r>
        <w:t xml:space="preserve">The </w:t>
      </w:r>
      <w:r w:rsidR="00837797">
        <w:t xml:space="preserve">correct type for parameters </w:t>
      </w:r>
      <w:r w:rsidR="00AF5514">
        <w:t xml:space="preserve">of </w:t>
      </w:r>
      <w:r w:rsidR="00837797">
        <w:t>MAC addresses is “MAC address”, not “</w:t>
      </w:r>
      <w:proofErr w:type="spellStart"/>
      <w:r w:rsidR="00837797">
        <w:t>MACAddress</w:t>
      </w:r>
      <w:proofErr w:type="spellEnd"/>
      <w:r w:rsidR="00837797">
        <w:t xml:space="preserve">” nor “MAC Address”. </w:t>
      </w:r>
    </w:p>
    <w:p w14:paraId="137293E6" w14:textId="77777777" w:rsidR="00DF0904" w:rsidRDefault="00DB4328" w:rsidP="00DB4328">
      <w:pPr>
        <w:pStyle w:val="Heading3"/>
      </w:pPr>
      <w:r>
        <w:lastRenderedPageBreak/>
        <w:t>Primitive Patterns</w:t>
      </w:r>
    </w:p>
    <w:p w14:paraId="2DA09807" w14:textId="77777777" w:rsidR="009A13A4" w:rsidRDefault="009A13A4" w:rsidP="009A13A4">
      <w:r>
        <w:t>A service’s primitives should fit one of the following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6"/>
      </w:tblGrid>
      <w:tr w:rsidR="009A13A4" w14:paraId="70D765FA" w14:textId="77777777" w:rsidTr="00824793">
        <w:tc>
          <w:tcPr>
            <w:tcW w:w="2943" w:type="dxa"/>
          </w:tcPr>
          <w:p w14:paraId="04F5043C" w14:textId="77777777" w:rsidR="009A13A4" w:rsidRPr="00824793" w:rsidRDefault="009A13A4" w:rsidP="009A13A4">
            <w:pPr>
              <w:rPr>
                <w:b/>
              </w:rPr>
            </w:pPr>
            <w:r w:rsidRPr="00824793">
              <w:rPr>
                <w:b/>
              </w:rPr>
              <w:t>Type</w:t>
            </w:r>
          </w:p>
        </w:tc>
        <w:tc>
          <w:tcPr>
            <w:tcW w:w="6633" w:type="dxa"/>
          </w:tcPr>
          <w:p w14:paraId="46B03468" w14:textId="77777777" w:rsidR="009A13A4" w:rsidRPr="00824793" w:rsidRDefault="009A13A4" w:rsidP="009A13A4">
            <w:pPr>
              <w:rPr>
                <w:b/>
              </w:rPr>
            </w:pPr>
            <w:r w:rsidRPr="00824793">
              <w:rPr>
                <w:b/>
              </w:rPr>
              <w:t>Primitives</w:t>
            </w:r>
          </w:p>
        </w:tc>
      </w:tr>
      <w:tr w:rsidR="009A13A4" w14:paraId="4BCEB741" w14:textId="77777777" w:rsidTr="00824793">
        <w:tc>
          <w:tcPr>
            <w:tcW w:w="2943" w:type="dxa"/>
          </w:tcPr>
          <w:p w14:paraId="12700CC0" w14:textId="77777777" w:rsidR="009A13A4" w:rsidRDefault="009A13A4" w:rsidP="009A13A4">
            <w:r>
              <w:t xml:space="preserve">1 – </w:t>
            </w:r>
            <w:proofErr w:type="gramStart"/>
            <w:r>
              <w:t xml:space="preserve">Unconfirmed,   </w:t>
            </w:r>
            <w:proofErr w:type="gramEnd"/>
            <w:r>
              <w:t>local</w:t>
            </w:r>
          </w:p>
        </w:tc>
        <w:tc>
          <w:tcPr>
            <w:tcW w:w="6633" w:type="dxa"/>
          </w:tcPr>
          <w:p w14:paraId="6FA5EF00" w14:textId="77777777" w:rsidR="009A13A4" w:rsidRDefault="009A13A4" w:rsidP="009A13A4">
            <w:proofErr w:type="gramStart"/>
            <w:r>
              <w:t>.request</w:t>
            </w:r>
            <w:proofErr w:type="gramEnd"/>
          </w:p>
        </w:tc>
      </w:tr>
      <w:tr w:rsidR="009A13A4" w14:paraId="786FF3C3" w14:textId="77777777" w:rsidTr="00824793">
        <w:tc>
          <w:tcPr>
            <w:tcW w:w="2943" w:type="dxa"/>
          </w:tcPr>
          <w:p w14:paraId="545913F3" w14:textId="77777777" w:rsidR="009A13A4" w:rsidRDefault="009A13A4" w:rsidP="009A13A4">
            <w:r>
              <w:t>2 – Confirmed, local</w:t>
            </w:r>
          </w:p>
        </w:tc>
        <w:tc>
          <w:tcPr>
            <w:tcW w:w="6633" w:type="dxa"/>
          </w:tcPr>
          <w:p w14:paraId="785F3B39" w14:textId="77777777" w:rsidR="009A13A4" w:rsidRDefault="009A13A4" w:rsidP="009A13A4">
            <w:proofErr w:type="gramStart"/>
            <w:r>
              <w:t>.request</w:t>
            </w:r>
            <w:proofErr w:type="gramEnd"/>
            <w:r>
              <w:t xml:space="preserve"> / .confirm</w:t>
            </w:r>
          </w:p>
        </w:tc>
      </w:tr>
      <w:tr w:rsidR="009A13A4" w14:paraId="727DBE5C" w14:textId="77777777" w:rsidTr="00824793">
        <w:tc>
          <w:tcPr>
            <w:tcW w:w="2943" w:type="dxa"/>
          </w:tcPr>
          <w:p w14:paraId="79E77BFE" w14:textId="77777777" w:rsidR="009A13A4" w:rsidRDefault="009A13A4" w:rsidP="009A13A4">
            <w:r>
              <w:t xml:space="preserve">3 – </w:t>
            </w:r>
            <w:proofErr w:type="gramStart"/>
            <w:r>
              <w:t>Unconfirmed,  remote</w:t>
            </w:r>
            <w:proofErr w:type="gramEnd"/>
          </w:p>
        </w:tc>
        <w:tc>
          <w:tcPr>
            <w:tcW w:w="6633" w:type="dxa"/>
          </w:tcPr>
          <w:p w14:paraId="408CBEBA" w14:textId="77777777" w:rsidR="009A13A4" w:rsidRDefault="009A13A4" w:rsidP="009A13A4">
            <w:proofErr w:type="gramStart"/>
            <w:r>
              <w:t>.request</w:t>
            </w:r>
            <w:proofErr w:type="gramEnd"/>
            <w:r>
              <w:t xml:space="preserve"> / .indication</w:t>
            </w:r>
          </w:p>
        </w:tc>
      </w:tr>
      <w:tr w:rsidR="009A13A4" w14:paraId="518A9DD0" w14:textId="77777777" w:rsidTr="00824793">
        <w:tc>
          <w:tcPr>
            <w:tcW w:w="2943" w:type="dxa"/>
          </w:tcPr>
          <w:p w14:paraId="5CFCB2A0" w14:textId="77777777" w:rsidR="009A13A4" w:rsidRDefault="009A13A4" w:rsidP="009A13A4">
            <w:r>
              <w:t>4 – Confirmed, remove</w:t>
            </w:r>
          </w:p>
        </w:tc>
        <w:tc>
          <w:tcPr>
            <w:tcW w:w="6633" w:type="dxa"/>
          </w:tcPr>
          <w:p w14:paraId="655D90D8" w14:textId="77777777" w:rsidR="009A13A4" w:rsidRDefault="009A13A4" w:rsidP="009A13A4">
            <w:proofErr w:type="gramStart"/>
            <w:r>
              <w:t>.request</w:t>
            </w:r>
            <w:proofErr w:type="gramEnd"/>
            <w:r>
              <w:t xml:space="preserve"> / .indication / .response / .confirm</w:t>
            </w:r>
          </w:p>
        </w:tc>
      </w:tr>
      <w:tr w:rsidR="009A13A4" w14:paraId="680A8756" w14:textId="77777777" w:rsidTr="00824793">
        <w:tc>
          <w:tcPr>
            <w:tcW w:w="2943" w:type="dxa"/>
          </w:tcPr>
          <w:p w14:paraId="4DD50B41" w14:textId="77777777" w:rsidR="009A13A4" w:rsidRDefault="009A13A4" w:rsidP="009A13A4">
            <w:r>
              <w:t>5 – Event</w:t>
            </w:r>
          </w:p>
        </w:tc>
        <w:tc>
          <w:tcPr>
            <w:tcW w:w="6633" w:type="dxa"/>
          </w:tcPr>
          <w:p w14:paraId="011D9C87" w14:textId="77777777" w:rsidR="009A13A4" w:rsidRDefault="009A13A4" w:rsidP="009A13A4">
            <w:proofErr w:type="gramStart"/>
            <w:r>
              <w:t>.indication</w:t>
            </w:r>
            <w:proofErr w:type="gramEnd"/>
          </w:p>
        </w:tc>
      </w:tr>
    </w:tbl>
    <w:p w14:paraId="76F6D318" w14:textId="77777777" w:rsidR="009A13A4" w:rsidRDefault="009A13A4" w:rsidP="009A13A4"/>
    <w:p w14:paraId="760D37C0" w14:textId="77777777" w:rsidR="00790540" w:rsidRDefault="009A13A4" w:rsidP="009A13A4">
      <w:pPr>
        <w:pStyle w:val="Heading3"/>
      </w:pPr>
      <w:r>
        <w:t>Locally generated Status Codes</w:t>
      </w:r>
    </w:p>
    <w:p w14:paraId="7420C0A6" w14:textId="77777777" w:rsidR="009A13A4" w:rsidRDefault="009A13A4" w:rsidP="009A13A4">
      <w:proofErr w:type="gramStart"/>
      <w:r>
        <w:t>A .confirm</w:t>
      </w:r>
      <w:proofErr w:type="gramEnd"/>
      <w:r>
        <w:t xml:space="preserve"> primitive should not generally include locally generated status codes that represent:</w:t>
      </w:r>
    </w:p>
    <w:p w14:paraId="278BA2E8" w14:textId="77777777" w:rsidR="009A13A4" w:rsidRDefault="009A13A4" w:rsidP="00B36AEC">
      <w:pPr>
        <w:numPr>
          <w:ilvl w:val="0"/>
          <w:numId w:val="5"/>
        </w:numPr>
      </w:pPr>
      <w:r>
        <w:t>“You asked me to do too much”</w:t>
      </w:r>
      <w:r w:rsidR="009B45B7">
        <w:rPr>
          <w:rStyle w:val="FootnoteReference"/>
        </w:rPr>
        <w:footnoteReference w:id="2"/>
      </w:r>
    </w:p>
    <w:p w14:paraId="32F568D6" w14:textId="77777777" w:rsidR="009A13A4" w:rsidRDefault="009A13A4" w:rsidP="00B36AEC">
      <w:pPr>
        <w:numPr>
          <w:ilvl w:val="0"/>
          <w:numId w:val="5"/>
        </w:numPr>
      </w:pPr>
      <w:r>
        <w:t>“You asked me to do something invalid”</w:t>
      </w:r>
      <w:r w:rsidR="00C67CF6">
        <w:rPr>
          <w:rStyle w:val="FootnoteReference"/>
        </w:rPr>
        <w:footnoteReference w:id="3"/>
      </w:r>
    </w:p>
    <w:p w14:paraId="0BC3A952" w14:textId="77777777" w:rsidR="009A13A4" w:rsidRDefault="009A13A4" w:rsidP="00B36AEC">
      <w:pPr>
        <w:numPr>
          <w:ilvl w:val="0"/>
          <w:numId w:val="5"/>
        </w:numPr>
      </w:pPr>
      <w:r>
        <w:t>Transmission failure / success</w:t>
      </w:r>
      <w:r w:rsidR="00D03A91">
        <w:rPr>
          <w:rStyle w:val="FootnoteReference"/>
        </w:rPr>
        <w:footnoteReference w:id="4"/>
      </w:r>
    </w:p>
    <w:p w14:paraId="6C435E84" w14:textId="77777777" w:rsidR="009A13A4" w:rsidRPr="009A13A4" w:rsidRDefault="009A13A4" w:rsidP="00B36AEC">
      <w:pPr>
        <w:numPr>
          <w:ilvl w:val="0"/>
          <w:numId w:val="5"/>
        </w:numPr>
      </w:pPr>
      <w:r>
        <w:t>Response timeout</w:t>
      </w:r>
      <w:r w:rsidR="00D03A91">
        <w:t xml:space="preserve"> (i.e., “did not receive an </w:t>
      </w:r>
      <w:proofErr w:type="spellStart"/>
      <w:r w:rsidR="00D03A91">
        <w:t>xyz</w:t>
      </w:r>
      <w:proofErr w:type="spellEnd"/>
      <w:r w:rsidR="00D03A91">
        <w:t xml:space="preserve"> response action frame in time”).</w:t>
      </w:r>
    </w:p>
    <w:p w14:paraId="6F8DE2D7" w14:textId="77777777" w:rsidR="009A13A4" w:rsidRDefault="009A13A4" w:rsidP="006922F0"/>
    <w:p w14:paraId="21679CDE" w14:textId="2784680B" w:rsidR="000027A1" w:rsidRDefault="00362423" w:rsidP="005362CD">
      <w:pPr>
        <w:jc w:val="both"/>
      </w:pPr>
      <w:r>
        <w:t>Transmission failure/success and response timeout may be present when specific protocol is defined for the SME that is dependent on these values.</w:t>
      </w:r>
    </w:p>
    <w:p w14:paraId="1A67797A" w14:textId="720A437F" w:rsidR="001E412A" w:rsidRDefault="001E412A" w:rsidP="009C40F3">
      <w:pPr>
        <w:pStyle w:val="Heading2"/>
      </w:pPr>
      <w:r>
        <w:t xml:space="preserve">New </w:t>
      </w:r>
      <w:proofErr w:type="gramStart"/>
      <w:r w:rsidR="00D559B3">
        <w:t>top level</w:t>
      </w:r>
      <w:proofErr w:type="gramEnd"/>
      <w:r w:rsidR="00D559B3">
        <w:t xml:space="preserve"> </w:t>
      </w:r>
      <w:r>
        <w:t>clauses</w:t>
      </w:r>
    </w:p>
    <w:p w14:paraId="7B449FE4" w14:textId="768BF5DE" w:rsidR="00EB2F51" w:rsidRDefault="00EB2F51" w:rsidP="005362CD">
      <w:pPr>
        <w:jc w:val="both"/>
      </w:pPr>
      <w:r>
        <w:t xml:space="preserve">An amendment that adds significant new PHY or MAC features, introduces these features in a new </w:t>
      </w:r>
      <w:proofErr w:type="gramStart"/>
      <w:r>
        <w:t>top level</w:t>
      </w:r>
      <w:proofErr w:type="gramEnd"/>
      <w:r>
        <w:t xml:space="preserve"> clause, </w:t>
      </w:r>
      <w:r w:rsidR="00D559B3">
        <w:t>e.g., “Very high throughput (VHT) PHY specification”</w:t>
      </w:r>
      <w:r>
        <w:t xml:space="preserve"> or “High efficiency (HE) MAC specification</w:t>
      </w:r>
      <w:r w:rsidR="0036389B">
        <w:t>”</w:t>
      </w:r>
      <w:r w:rsidR="00D559B3">
        <w:t>.</w:t>
      </w:r>
    </w:p>
    <w:p w14:paraId="0E0783F8" w14:textId="77777777" w:rsidR="00EB2F51" w:rsidRDefault="00EB2F51" w:rsidP="005362CD">
      <w:pPr>
        <w:jc w:val="both"/>
      </w:pPr>
    </w:p>
    <w:p w14:paraId="515E70E6" w14:textId="56AA81A4" w:rsidR="00EB2F51" w:rsidRDefault="00EB2F51" w:rsidP="005362CD">
      <w:pPr>
        <w:jc w:val="both"/>
      </w:pPr>
      <w:r>
        <w:t>A new MAC specification</w:t>
      </w:r>
      <w:r w:rsidR="00077D25">
        <w:t xml:space="preserve"> should explicitly include </w:t>
      </w:r>
      <w:r>
        <w:t>inherit</w:t>
      </w:r>
      <w:r w:rsidR="00077D25">
        <w:t>ance</w:t>
      </w:r>
      <w:r>
        <w:t xml:space="preserve"> </w:t>
      </w:r>
      <w:r w:rsidR="00077D25">
        <w:t xml:space="preserve">statements. For example, a statement such as “An HE STA is a VHT STA.” </w:t>
      </w:r>
    </w:p>
    <w:p w14:paraId="4C8186CE" w14:textId="77777777" w:rsidR="00EB2F51" w:rsidRDefault="00EB2F51" w:rsidP="005362CD">
      <w:pPr>
        <w:jc w:val="both"/>
      </w:pPr>
    </w:p>
    <w:p w14:paraId="2804B1A8" w14:textId="1D983A6D" w:rsidR="004D4C24" w:rsidRPr="001E412A" w:rsidRDefault="00D559B3" w:rsidP="005362CD">
      <w:pPr>
        <w:jc w:val="both"/>
      </w:pPr>
      <w:r>
        <w:t xml:space="preserve">The use of </w:t>
      </w:r>
      <w:proofErr w:type="gramStart"/>
      <w:r>
        <w:t>top level</w:t>
      </w:r>
      <w:proofErr w:type="gramEnd"/>
      <w:r>
        <w:t xml:space="preserve"> clauses helps </w:t>
      </w:r>
      <w:r w:rsidR="00EC6565">
        <w:t>the</w:t>
      </w:r>
      <w:r w:rsidR="004D4C24">
        <w:t xml:space="preserve"> </w:t>
      </w:r>
      <w:r>
        <w:t>reader</w:t>
      </w:r>
      <w:r w:rsidR="004D4C24">
        <w:t xml:space="preserve"> place </w:t>
      </w:r>
      <w:r w:rsidR="00EC6565">
        <w:t xml:space="preserve">new </w:t>
      </w:r>
      <w:r w:rsidR="004D4C24">
        <w:t xml:space="preserve">features and modifications to </w:t>
      </w:r>
      <w:r w:rsidR="00EC6565">
        <w:t xml:space="preserve">existing </w:t>
      </w:r>
      <w:r w:rsidR="004D4C24">
        <w:t>features in their historical context</w:t>
      </w:r>
      <w:r w:rsidR="00FF7DD3">
        <w:t xml:space="preserve"> by grouping </w:t>
      </w:r>
      <w:r w:rsidR="00EC6565">
        <w:t>features generationally</w:t>
      </w:r>
      <w:r w:rsidR="00FF7DD3">
        <w:t>. F</w:t>
      </w:r>
      <w:r w:rsidR="00EC6565">
        <w:t xml:space="preserve">or example, </w:t>
      </w:r>
      <w:r w:rsidR="00077D25">
        <w:t xml:space="preserve">MAC </w:t>
      </w:r>
      <w:r w:rsidR="00EC6565">
        <w:t>features introduced by the high</w:t>
      </w:r>
      <w:r w:rsidR="00077D25">
        <w:t xml:space="preserve"> efficiency en</w:t>
      </w:r>
      <w:r w:rsidR="00EC6565">
        <w:t xml:space="preserve">hancement amendment are largely collected in </w:t>
      </w:r>
      <w:r w:rsidR="00077D25">
        <w:t>a</w:t>
      </w:r>
      <w:r w:rsidR="00EC6565">
        <w:t xml:space="preserve"> </w:t>
      </w:r>
      <w:proofErr w:type="gramStart"/>
      <w:r w:rsidR="00EC6565">
        <w:t>top level</w:t>
      </w:r>
      <w:proofErr w:type="gramEnd"/>
      <w:r w:rsidR="00EC6565">
        <w:t xml:space="preserve"> claus</w:t>
      </w:r>
      <w:r w:rsidR="00077D25">
        <w:t>e</w:t>
      </w:r>
      <w:r w:rsidR="00EC6565">
        <w:t xml:space="preserve"> “High efficiency (HE) MAC specification” rather than as subclauses or individual statements spread throughout clauses 10 and 11.</w:t>
      </w:r>
    </w:p>
    <w:p w14:paraId="1EF9B3A3" w14:textId="77777777" w:rsidR="001762F3" w:rsidRDefault="00E87A6A" w:rsidP="006922F0">
      <w:pPr>
        <w:pStyle w:val="Heading2"/>
      </w:pPr>
      <w:r>
        <w:t>Annexes</w:t>
      </w:r>
    </w:p>
    <w:p w14:paraId="34D1A95E" w14:textId="77777777" w:rsidR="001762F3" w:rsidRDefault="001762F3" w:rsidP="005362CD">
      <w:pPr>
        <w:jc w:val="both"/>
      </w:pPr>
      <w:r>
        <w:t>Annexes in a revision standard should be ordered (at some point during the balloting process) starting with Bibliography, then all normative Annexes, then all informative.</w:t>
      </w:r>
    </w:p>
    <w:p w14:paraId="6A5B4A32" w14:textId="77777777" w:rsidR="001762F3" w:rsidRDefault="001762F3" w:rsidP="005362CD">
      <w:pPr>
        <w:jc w:val="both"/>
      </w:pPr>
    </w:p>
    <w:p w14:paraId="17708044" w14:textId="7406258F" w:rsidR="001762F3" w:rsidRDefault="001762F3" w:rsidP="005362CD">
      <w:pPr>
        <w:jc w:val="both"/>
      </w:pPr>
      <w:r>
        <w:t xml:space="preserve">Annexes in an amendment should be added after all existing Annexes.  An amendment should not attempt to modify the ordering of annexes in the baseline. </w:t>
      </w:r>
      <w:r w:rsidR="006F45A4">
        <w:t xml:space="preserve"> If any reordering is required,</w:t>
      </w:r>
      <w:r>
        <w:t xml:space="preserve"> i</w:t>
      </w:r>
      <w:r w:rsidR="00064E3D">
        <w:t>t will</w:t>
      </w:r>
      <w:r>
        <w:t xml:space="preserve"> be performed during a revision.</w:t>
      </w:r>
    </w:p>
    <w:p w14:paraId="51F56F58" w14:textId="77777777" w:rsidR="00790540" w:rsidRDefault="00480424" w:rsidP="006922F0">
      <w:pPr>
        <w:pStyle w:val="Heading2"/>
      </w:pPr>
      <w:r>
        <w:lastRenderedPageBreak/>
        <w:t xml:space="preserve">Annex </w:t>
      </w:r>
      <w:r w:rsidR="006F45A4">
        <w:t>A – Bibliography</w:t>
      </w:r>
    </w:p>
    <w:p w14:paraId="4B90CEB6" w14:textId="2ADBE778" w:rsidR="006F45A4" w:rsidRDefault="006F45A4" w:rsidP="005362CD">
      <w:pPr>
        <w:jc w:val="both"/>
      </w:pPr>
      <w:r>
        <w:t>Annex A shall contain the bibliography.  All references appearing in this bibliography shall be cited in the normative or informative text.</w:t>
      </w:r>
    </w:p>
    <w:p w14:paraId="0D56F43C" w14:textId="77777777" w:rsidR="006F45A4" w:rsidRDefault="00480424" w:rsidP="006922F0">
      <w:pPr>
        <w:pStyle w:val="Heading2"/>
      </w:pPr>
      <w:r>
        <w:t>Annex B</w:t>
      </w:r>
      <w:r w:rsidR="006F45A4">
        <w:t xml:space="preserve"> – PICS</w:t>
      </w:r>
    </w:p>
    <w:p w14:paraId="652907C0" w14:textId="77777777" w:rsidR="006F45A4" w:rsidRDefault="006F45A4" w:rsidP="005362CD">
      <w:pPr>
        <w:jc w:val="both"/>
      </w:pPr>
      <w:r>
        <w:t>The 802.11 Standard shall include a PICS (Protocol Implementation Conformance Statement) proforma.</w:t>
      </w:r>
    </w:p>
    <w:p w14:paraId="721B3CB8" w14:textId="77777777" w:rsidR="006F45A4" w:rsidRDefault="006F45A4" w:rsidP="005362CD">
      <w:pPr>
        <w:jc w:val="both"/>
      </w:pPr>
    </w:p>
    <w:p w14:paraId="19F5553C" w14:textId="4B6FDB19" w:rsidR="006F45A4" w:rsidRDefault="006F45A4" w:rsidP="005362CD">
      <w:pPr>
        <w:jc w:val="both"/>
      </w:pPr>
      <w:r>
        <w:t>The level of detail to be included in the PICS is left to the discretion of the voters.  Historically the PICS has identifie</w:t>
      </w:r>
      <w:r w:rsidR="00D82AB4">
        <w:t>d</w:t>
      </w:r>
      <w:r>
        <w:t xml:space="preserve"> major components of the wireless system, identified whether their implementation is mandatory or optional, and indicated any interaction between </w:t>
      </w:r>
      <w:r w:rsidR="00CA7276">
        <w:t>implementation requirements.  Histori</w:t>
      </w:r>
      <w:r>
        <w:t xml:space="preserve">cally the PICS has not included an entry corresponding to </w:t>
      </w:r>
      <w:proofErr w:type="gramStart"/>
      <w:r>
        <w:t>each and every</w:t>
      </w:r>
      <w:proofErr w:type="gramEnd"/>
      <w:r>
        <w:t xml:space="preserve"> “shall” in the normative text.</w:t>
      </w:r>
    </w:p>
    <w:p w14:paraId="73D391F8" w14:textId="77777777" w:rsidR="00064E3D" w:rsidRDefault="00064E3D" w:rsidP="006922F0"/>
    <w:p w14:paraId="41106C6C" w14:textId="514BBEA2" w:rsidR="006F45A4" w:rsidRDefault="00064E3D" w:rsidP="005362CD">
      <w:pPr>
        <w:jc w:val="both"/>
      </w:pPr>
      <w:r>
        <w:t>Note that the PICS does not create requirements for conformance, it merely reflects what is stated in the body of the standard.</w:t>
      </w:r>
    </w:p>
    <w:p w14:paraId="2E1C45E6" w14:textId="2F004C37" w:rsidR="006F45A4" w:rsidRDefault="00480424" w:rsidP="006922F0">
      <w:pPr>
        <w:pStyle w:val="Heading2"/>
      </w:pPr>
      <w:r>
        <w:t>Annex C</w:t>
      </w:r>
      <w:r w:rsidR="006F45A4">
        <w:t xml:space="preserve"> – MIB</w:t>
      </w:r>
    </w:p>
    <w:p w14:paraId="0E395C98" w14:textId="77777777" w:rsidR="006F45A4" w:rsidRDefault="006F45A4" w:rsidP="005362CD">
      <w:pPr>
        <w:jc w:val="both"/>
      </w:pPr>
      <w:r>
        <w:t>The 802.11 Standard shall include a MIB (Management Information Base).</w:t>
      </w:r>
    </w:p>
    <w:p w14:paraId="49A1DF34" w14:textId="77777777" w:rsidR="006F45A4" w:rsidRDefault="006F45A4" w:rsidP="005362CD">
      <w:pPr>
        <w:jc w:val="both"/>
      </w:pPr>
    </w:p>
    <w:p w14:paraId="61FC9944" w14:textId="0F2925C1" w:rsidR="006F45A4" w:rsidRDefault="006F45A4" w:rsidP="005362CD">
      <w:pPr>
        <w:jc w:val="both"/>
      </w:pPr>
      <w:r>
        <w:t xml:space="preserve">Each MIB </w:t>
      </w:r>
      <w:r w:rsidR="00180A4C">
        <w:t xml:space="preserve">attribute </w:t>
      </w:r>
      <w:r>
        <w:t xml:space="preserve">shall be classified as capability, control, or status, as described in </w:t>
      </w:r>
      <w:r w:rsidRPr="003607A3">
        <w:t>11-09-0533-01-0arc-recomendation-re-mib-types-and-usage.ppt</w:t>
      </w:r>
      <w:r>
        <w:t>.</w:t>
      </w:r>
    </w:p>
    <w:p w14:paraId="01F2DF45" w14:textId="77777777" w:rsidR="00180A4C" w:rsidRDefault="00180A4C" w:rsidP="005362CD">
      <w:pPr>
        <w:jc w:val="both"/>
      </w:pPr>
    </w:p>
    <w:p w14:paraId="5D6BFA36" w14:textId="126AC08A" w:rsidR="00180A4C" w:rsidRDefault="00180A4C" w:rsidP="005362CD">
      <w:pPr>
        <w:jc w:val="both"/>
      </w:pPr>
      <w:r>
        <w:t xml:space="preserve">The definition of the MIB attributes with a </w:t>
      </w:r>
      <w:proofErr w:type="spellStart"/>
      <w:r>
        <w:t>TruthValue</w:t>
      </w:r>
      <w:proofErr w:type="spellEnd"/>
      <w:r>
        <w:t xml:space="preserve"> data type (“SYNTAX </w:t>
      </w:r>
      <w:proofErr w:type="spellStart"/>
      <w:r>
        <w:t>TruthValue</w:t>
      </w:r>
      <w:proofErr w:type="spellEnd"/>
      <w:r>
        <w:t>”) shall follow the patterns defined in 11-15-0355-13-0arc-mib-truthvalue-usage-pattern.docx.</w:t>
      </w:r>
    </w:p>
    <w:p w14:paraId="3290BB91" w14:textId="77777777" w:rsidR="00480424" w:rsidRDefault="00480424" w:rsidP="005362CD">
      <w:pPr>
        <w:jc w:val="both"/>
      </w:pPr>
    </w:p>
    <w:p w14:paraId="24B31D3A" w14:textId="7CA0718E" w:rsidR="00480424" w:rsidRDefault="00480424" w:rsidP="005362CD">
      <w:pPr>
        <w:jc w:val="both"/>
      </w:pPr>
      <w:r>
        <w:t xml:space="preserve">MIB authors should follow the recommendations in C.2.    Each amendment should ensure that its MIB compiles, as described in C.1.   This is a non-trivial </w:t>
      </w:r>
      <w:proofErr w:type="gramStart"/>
      <w:r>
        <w:t xml:space="preserve">task,   </w:t>
      </w:r>
      <w:proofErr w:type="gramEnd"/>
      <w:r>
        <w:t>as it requires rolling in the MIB from previous amendments to discover numbering and naming collisio</w:t>
      </w:r>
      <w:r w:rsidR="00064E3D">
        <w:t>ns.   (This is</w:t>
      </w:r>
      <w:r>
        <w:t xml:space="preserve"> a requireme</w:t>
      </w:r>
      <w:r w:rsidR="00064E3D">
        <w:t>nt of a WG802.11 MDR</w:t>
      </w:r>
      <w:r>
        <w:t xml:space="preserve"> prior to </w:t>
      </w:r>
      <w:r w:rsidR="00CF722A" w:rsidRPr="005B1896">
        <w:t>SA</w:t>
      </w:r>
      <w:r>
        <w:t xml:space="preserve"> ballot).</w:t>
      </w:r>
    </w:p>
    <w:p w14:paraId="0675000F" w14:textId="77777777" w:rsidR="000C2DB0" w:rsidRDefault="000C2DB0" w:rsidP="006922F0">
      <w:pPr>
        <w:pStyle w:val="Heading3"/>
      </w:pPr>
      <w:r>
        <w:t>Naming of MIB Variables</w:t>
      </w:r>
    </w:p>
    <w:p w14:paraId="186796CB" w14:textId="1B5430E7" w:rsidR="000C2DB0" w:rsidRDefault="000C2DB0" w:rsidP="005362CD">
      <w:pPr>
        <w:jc w:val="both"/>
      </w:pPr>
      <w:r>
        <w:t xml:space="preserve">MIB Variables shall be named and described according to the conventions in </w:t>
      </w:r>
      <w:r w:rsidRPr="003607A3">
        <w:t>11-09-0533-01-0arc-recomendation-re-mib-types-and-usage.ppt</w:t>
      </w:r>
      <w:r>
        <w:t>.</w:t>
      </w:r>
    </w:p>
    <w:p w14:paraId="5910A16B" w14:textId="77777777" w:rsidR="000C2DB0" w:rsidRDefault="00CA7276" w:rsidP="006922F0">
      <w:pPr>
        <w:pStyle w:val="Heading3"/>
      </w:pPr>
      <w:r>
        <w:t>Description o</w:t>
      </w:r>
      <w:r w:rsidR="000C2DB0">
        <w:t>f MIB Variables</w:t>
      </w:r>
    </w:p>
    <w:p w14:paraId="6E0D5E22" w14:textId="77777777" w:rsidR="006F45A4" w:rsidRDefault="000C2DB0" w:rsidP="006922F0">
      <w:r>
        <w:t>The DESCRIPTION of each MIB variable follows a standardized format:</w:t>
      </w:r>
    </w:p>
    <w:p w14:paraId="11E13D82" w14:textId="77777777" w:rsidR="000C2DB0" w:rsidRDefault="000C2DB0" w:rsidP="006922F0">
      <w:r>
        <w:t>Line #1:   "This is a &lt;type&gt; variable</w:t>
      </w:r>
      <w:proofErr w:type="gramStart"/>
      <w:r>
        <w:t>"  (</w:t>
      </w:r>
      <w:proofErr w:type="gramEnd"/>
      <w:r>
        <w:t>either control, status, or capability)</w:t>
      </w:r>
    </w:p>
    <w:p w14:paraId="71B29DCA" w14:textId="77777777" w:rsidR="005E4345" w:rsidRPr="001E412A" w:rsidRDefault="005E4345" w:rsidP="005E4345">
      <w:commentRangeStart w:id="8"/>
      <w:r w:rsidRPr="001E412A">
        <w:t>Line #2:</w:t>
      </w:r>
      <w:proofErr w:type="gramStart"/>
      <w:r w:rsidRPr="001E412A">
        <w:t xml:space="preserve">   (</w:t>
      </w:r>
      <w:proofErr w:type="gramEnd"/>
      <w:r w:rsidRPr="001E412A">
        <w:t>control) "It is written by &lt;writer&gt;[ when &lt;condition&gt;]"</w:t>
      </w:r>
    </w:p>
    <w:p w14:paraId="34D886A8" w14:textId="4509B691" w:rsidR="005E4345" w:rsidRPr="005E4345" w:rsidRDefault="005E4345" w:rsidP="006922F0">
      <w:r w:rsidRPr="001E412A">
        <w:t xml:space="preserve">or (capability </w:t>
      </w:r>
      <w:proofErr w:type="gramStart"/>
      <w:r w:rsidRPr="001E412A">
        <w:t>only)“</w:t>
      </w:r>
      <w:proofErr w:type="gramEnd"/>
      <w:r w:rsidRPr="001E412A">
        <w:t xml:space="preserve">Its value is determined by device capabilities.” </w:t>
      </w:r>
      <w:commentRangeEnd w:id="8"/>
      <w:r w:rsidRPr="005E4345">
        <w:rPr>
          <w:rStyle w:val="CommentReference"/>
        </w:rPr>
        <w:commentReference w:id="8"/>
      </w:r>
    </w:p>
    <w:p w14:paraId="14F895C5" w14:textId="77777777" w:rsidR="000C2DB0" w:rsidRDefault="000C2DB0" w:rsidP="006922F0">
      <w:r>
        <w:t>Line #3:</w:t>
      </w:r>
      <w:proofErr w:type="gramStart"/>
      <w:r>
        <w:t xml:space="preserve">   (</w:t>
      </w:r>
      <w:proofErr w:type="gramEnd"/>
      <w:r>
        <w:t>optionally) "The change takes effect &lt;when&gt;"</w:t>
      </w:r>
    </w:p>
    <w:p w14:paraId="68A40BAA" w14:textId="07E4E177" w:rsidR="000C2DB0" w:rsidRDefault="000C2DB0" w:rsidP="006922F0">
      <w:r>
        <w:t>Follow these two/three lines with a blank line, then any further descriptive text</w:t>
      </w:r>
    </w:p>
    <w:p w14:paraId="78605524" w14:textId="77777777" w:rsidR="00687972" w:rsidRDefault="00687972" w:rsidP="00687972">
      <w:pPr>
        <w:pStyle w:val="Heading3"/>
      </w:pPr>
      <w:r>
        <w:t>Compliance requirement</w:t>
      </w:r>
      <w:r w:rsidR="0066605D">
        <w:t>s</w:t>
      </w:r>
    </w:p>
    <w:p w14:paraId="22AF44DC" w14:textId="77777777" w:rsidR="00687972" w:rsidRDefault="00687972" w:rsidP="005362CD">
      <w:pPr>
        <w:jc w:val="both"/>
      </w:pPr>
      <w:r>
        <w:t>This is</w:t>
      </w:r>
      <w:r w:rsidR="00064E3D">
        <w:t xml:space="preserve"> a work in progress.   However,</w:t>
      </w:r>
      <w:r>
        <w:t xml:space="preserve"> it appears that we have repeatedly broken the IETF rules relating to modifying existing groups and compliance statements.</w:t>
      </w:r>
    </w:p>
    <w:p w14:paraId="38F16C49" w14:textId="77777777" w:rsidR="00687972" w:rsidRDefault="00687972" w:rsidP="005362CD">
      <w:pPr>
        <w:jc w:val="both"/>
      </w:pPr>
    </w:p>
    <w:p w14:paraId="20D4077C" w14:textId="77777777" w:rsidR="00687972" w:rsidRDefault="00064E3D" w:rsidP="005362CD">
      <w:pPr>
        <w:jc w:val="both"/>
      </w:pPr>
      <w:r>
        <w:t>See document 11-11/0544,</w:t>
      </w:r>
      <w:r w:rsidR="004E7450">
        <w:t xml:space="preserve"> which states:</w:t>
      </w:r>
    </w:p>
    <w:p w14:paraId="012FE728" w14:textId="77777777" w:rsidR="004E7450" w:rsidRDefault="004E7450" w:rsidP="00B36AEC">
      <w:pPr>
        <w:numPr>
          <w:ilvl w:val="0"/>
          <w:numId w:val="7"/>
        </w:numPr>
        <w:jc w:val="both"/>
      </w:pPr>
      <w:r>
        <w:t>An amendment may not modify any existing group</w:t>
      </w:r>
    </w:p>
    <w:p w14:paraId="25C3AB78" w14:textId="77777777" w:rsidR="004E7450" w:rsidRDefault="004E7450" w:rsidP="00B36AEC">
      <w:pPr>
        <w:numPr>
          <w:ilvl w:val="0"/>
          <w:numId w:val="7"/>
        </w:numPr>
        <w:jc w:val="both"/>
      </w:pPr>
      <w:r>
        <w:t>An amendment must include each new variable in a new group</w:t>
      </w:r>
    </w:p>
    <w:p w14:paraId="5E95EE70" w14:textId="77777777" w:rsidR="004E7450" w:rsidRDefault="004E7450" w:rsidP="00B36AEC">
      <w:pPr>
        <w:numPr>
          <w:ilvl w:val="0"/>
          <w:numId w:val="7"/>
        </w:numPr>
        <w:jc w:val="both"/>
      </w:pPr>
      <w:r>
        <w:t>An amendment should</w:t>
      </w:r>
      <w:r w:rsidR="00064E3D">
        <w:t xml:space="preserve"> not replace an existing group,</w:t>
      </w:r>
      <w:r>
        <w:t xml:space="preserve"> e.g., no “dot11smtBase&lt;n&gt;” increments.</w:t>
      </w:r>
    </w:p>
    <w:p w14:paraId="38E92DD8" w14:textId="77777777" w:rsidR="004E7450" w:rsidRDefault="004E7450" w:rsidP="00B36AEC">
      <w:pPr>
        <w:numPr>
          <w:ilvl w:val="1"/>
          <w:numId w:val="7"/>
        </w:numPr>
        <w:jc w:val="both"/>
      </w:pPr>
      <w:r>
        <w:t>Note it will be the job of the revision to sweep up any changes to these “fundamental” groups.</w:t>
      </w:r>
    </w:p>
    <w:p w14:paraId="64908FE2" w14:textId="1D3520CE" w:rsidR="004E7450" w:rsidRDefault="004E7450" w:rsidP="00B36AEC">
      <w:pPr>
        <w:numPr>
          <w:ilvl w:val="0"/>
          <w:numId w:val="7"/>
        </w:numPr>
        <w:jc w:val="both"/>
      </w:pPr>
      <w:r>
        <w:lastRenderedPageBreak/>
        <w:t>An amendment must provide a new module-compliance statement for each module it introduces new objects/group into.</w:t>
      </w:r>
    </w:p>
    <w:p w14:paraId="18ECB7D5" w14:textId="77777777" w:rsidR="004E7450" w:rsidRPr="00B36F7D" w:rsidRDefault="004E7450" w:rsidP="00B36AEC">
      <w:pPr>
        <w:numPr>
          <w:ilvl w:val="1"/>
          <w:numId w:val="7"/>
        </w:numPr>
        <w:jc w:val="both"/>
      </w:pPr>
      <w:r>
        <w:t>Each new group must be cited in at least one module-compliance statement.</w:t>
      </w:r>
    </w:p>
    <w:p w14:paraId="4C551AFA" w14:textId="77777777" w:rsidR="004E7450" w:rsidRDefault="004E7450" w:rsidP="005362CD">
      <w:pPr>
        <w:jc w:val="both"/>
      </w:pPr>
    </w:p>
    <w:p w14:paraId="77F8D64A" w14:textId="77777777" w:rsidR="000C2DB0" w:rsidRDefault="0066605D" w:rsidP="005362CD">
      <w:pPr>
        <w:jc w:val="both"/>
      </w:pPr>
      <w:r>
        <w:t xml:space="preserve">It may be that the best way to </w:t>
      </w:r>
      <w:proofErr w:type="spellStart"/>
      <w:r>
        <w:t>procede</w:t>
      </w:r>
      <w:proofErr w:type="spellEnd"/>
      <w:r>
        <w:t xml:space="preserve"> is a </w:t>
      </w:r>
      <w:proofErr w:type="gramStart"/>
      <w:r>
        <w:t>middle-ground</w:t>
      </w:r>
      <w:proofErr w:type="gramEnd"/>
      <w:r>
        <w:t>:</w:t>
      </w:r>
    </w:p>
    <w:p w14:paraId="2041BD2F" w14:textId="77777777" w:rsidR="0066605D" w:rsidRDefault="0066605D" w:rsidP="00B36AEC">
      <w:pPr>
        <w:numPr>
          <w:ilvl w:val="0"/>
          <w:numId w:val="10"/>
        </w:numPr>
        <w:jc w:val="both"/>
      </w:pPr>
      <w:r>
        <w:t xml:space="preserve">Allow the Amendments to break the </w:t>
      </w:r>
      <w:r w:rsidR="008E2B30">
        <w:t xml:space="preserve">IETF </w:t>
      </w:r>
      <w:r>
        <w:t>rules by editing existing groups and compliance statements</w:t>
      </w:r>
    </w:p>
    <w:p w14:paraId="4E3BA19A" w14:textId="172AA614" w:rsidR="00A3306F" w:rsidRDefault="0066605D" w:rsidP="00B36AEC">
      <w:pPr>
        <w:numPr>
          <w:ilvl w:val="0"/>
          <w:numId w:val="10"/>
        </w:numPr>
        <w:jc w:val="both"/>
      </w:pPr>
      <w:r>
        <w:t>In a revision, define new groups and compliance statements for any that were modified by amendments to the previous revision, and deprecate the superseded ones.</w:t>
      </w:r>
    </w:p>
    <w:p w14:paraId="5A321A37" w14:textId="77777777" w:rsidR="00A3306F" w:rsidRDefault="00A3306F" w:rsidP="005362CD">
      <w:pPr>
        <w:ind w:left="720"/>
        <w:jc w:val="both"/>
      </w:pPr>
    </w:p>
    <w:p w14:paraId="7E7B93FC" w14:textId="75D16545" w:rsidR="00A3306F" w:rsidRPr="008741F6" w:rsidRDefault="00A3306F" w:rsidP="005362CD">
      <w:pPr>
        <w:jc w:val="both"/>
      </w:pPr>
      <w:r w:rsidRPr="008741F6">
        <w:t>Procedure of deprecating a MIB variable</w:t>
      </w:r>
      <w:r>
        <w:t xml:space="preserve">: </w:t>
      </w:r>
    </w:p>
    <w:p w14:paraId="3E0B4EA2" w14:textId="77777777" w:rsidR="00A3306F" w:rsidRPr="00646C6C" w:rsidRDefault="00A3306F" w:rsidP="005362CD">
      <w:pPr>
        <w:pStyle w:val="ListParagraph"/>
        <w:spacing w:after="240"/>
        <w:ind w:left="0"/>
        <w:jc w:val="both"/>
      </w:pPr>
      <w:r w:rsidRPr="00646C6C">
        <w:t>Step 1: Change the status of the MIB variable to “Deprecated”.</w:t>
      </w:r>
    </w:p>
    <w:p w14:paraId="52D47C4F" w14:textId="77777777" w:rsidR="00A3306F" w:rsidRPr="00646C6C" w:rsidRDefault="00A3306F" w:rsidP="00B36AEC">
      <w:pPr>
        <w:pStyle w:val="ListParagraph"/>
        <w:numPr>
          <w:ilvl w:val="0"/>
          <w:numId w:val="31"/>
        </w:numPr>
        <w:spacing w:after="240"/>
        <w:jc w:val="both"/>
      </w:pPr>
      <w:r w:rsidRPr="00646C6C">
        <w:t>Change its STATUS to “Deprecated”.</w:t>
      </w:r>
    </w:p>
    <w:p w14:paraId="0BF670A6" w14:textId="6908981D" w:rsidR="00A3306F" w:rsidRPr="00646C6C" w:rsidRDefault="00A3306F" w:rsidP="00B36AEC">
      <w:pPr>
        <w:pStyle w:val="ListParagraph"/>
        <w:numPr>
          <w:ilvl w:val="0"/>
          <w:numId w:val="31"/>
        </w:numPr>
        <w:spacing w:after="240"/>
        <w:jc w:val="both"/>
      </w:pPr>
      <w:r w:rsidRPr="00646C6C">
        <w:t>Insert a new first line in the DESCRIPTION: “Deprecated as the related feature has been removed from the standard”.</w:t>
      </w:r>
    </w:p>
    <w:p w14:paraId="084C5445" w14:textId="77777777" w:rsidR="00A3306F" w:rsidRPr="00646C6C" w:rsidRDefault="00A3306F" w:rsidP="005362CD">
      <w:pPr>
        <w:pStyle w:val="ListParagraph"/>
        <w:spacing w:after="240"/>
        <w:ind w:left="0"/>
        <w:jc w:val="both"/>
      </w:pPr>
      <w:r w:rsidRPr="00646C6C">
        <w:t>Step 2: In the draft, find any reference to the variable in any GROUPs and re-instate this reference.</w:t>
      </w:r>
    </w:p>
    <w:p w14:paraId="734984E0" w14:textId="77777777" w:rsidR="00A3306F" w:rsidRPr="00646C6C" w:rsidRDefault="00A3306F" w:rsidP="00B36AEC">
      <w:pPr>
        <w:pStyle w:val="ListParagraph"/>
        <w:numPr>
          <w:ilvl w:val="0"/>
          <w:numId w:val="32"/>
        </w:numPr>
        <w:spacing w:after="240"/>
        <w:jc w:val="both"/>
      </w:pPr>
      <w:r w:rsidRPr="00646C6C">
        <w:t>Change the group’s STATUS to “Deprecated”.</w:t>
      </w:r>
    </w:p>
    <w:p w14:paraId="667B6CD9" w14:textId="77777777" w:rsidR="00A3306F" w:rsidRPr="00646C6C" w:rsidRDefault="00A3306F" w:rsidP="00B36AEC">
      <w:pPr>
        <w:pStyle w:val="ListParagraph"/>
        <w:numPr>
          <w:ilvl w:val="0"/>
          <w:numId w:val="32"/>
        </w:numPr>
        <w:spacing w:after="240"/>
        <w:jc w:val="both"/>
      </w:pPr>
      <w:r w:rsidRPr="00646C6C">
        <w:t>In the DESCRIPTION, insert a new first line: “Superseded by YYYY.” (Note that “YYYY” is the new GROUP name.)</w:t>
      </w:r>
    </w:p>
    <w:p w14:paraId="280BBB31" w14:textId="77777777" w:rsidR="00A3306F" w:rsidRPr="00646C6C" w:rsidRDefault="00A3306F" w:rsidP="00B36AEC">
      <w:pPr>
        <w:pStyle w:val="ListParagraph"/>
        <w:numPr>
          <w:ilvl w:val="0"/>
          <w:numId w:val="32"/>
        </w:numPr>
        <w:spacing w:after="240"/>
        <w:jc w:val="both"/>
      </w:pPr>
      <w:r w:rsidRPr="00646C6C">
        <w:t>For each of the groups noted above, copy the group, set its status to “Current” and increment (or add) a number after the name of the group name (</w:t>
      </w:r>
      <w:proofErr w:type="gramStart"/>
      <w:r w:rsidRPr="00646C6C">
        <w:t>e.g.</w:t>
      </w:r>
      <w:proofErr w:type="gramEnd"/>
      <w:r w:rsidRPr="00646C6C">
        <w:t xml:space="preserve"> dot11SMTbase11 -&gt; dot11SMTbase12).</w:t>
      </w:r>
    </w:p>
    <w:p w14:paraId="65191207" w14:textId="77777777" w:rsidR="00A3306F" w:rsidRPr="00646C6C" w:rsidRDefault="00A3306F" w:rsidP="00B36AEC">
      <w:pPr>
        <w:pStyle w:val="ListParagraph"/>
        <w:numPr>
          <w:ilvl w:val="0"/>
          <w:numId w:val="32"/>
        </w:numPr>
        <w:spacing w:after="240"/>
        <w:jc w:val="both"/>
      </w:pPr>
      <w:r w:rsidRPr="00646C6C">
        <w:t>Make the corresponding changes (</w:t>
      </w:r>
      <w:proofErr w:type="gramStart"/>
      <w:r w:rsidRPr="00646C6C">
        <w:t>e.g.</w:t>
      </w:r>
      <w:proofErr w:type="gramEnd"/>
      <w:r w:rsidRPr="00646C6C">
        <w:t xml:space="preserve"> add or remove MIB </w:t>
      </w:r>
      <w:proofErr w:type="spellStart"/>
      <w:r w:rsidRPr="00646C6C">
        <w:t>varables</w:t>
      </w:r>
      <w:proofErr w:type="spellEnd"/>
      <w:r w:rsidRPr="00646C6C">
        <w:t>) in the new group.</w:t>
      </w:r>
    </w:p>
    <w:p w14:paraId="2FAF9889" w14:textId="1D31B4D2" w:rsidR="00A3306F" w:rsidRDefault="00A3306F" w:rsidP="005362CD">
      <w:pPr>
        <w:pStyle w:val="ListParagraph"/>
        <w:spacing w:after="240"/>
        <w:ind w:left="0"/>
        <w:jc w:val="both"/>
      </w:pPr>
      <w:r w:rsidRPr="00646C6C">
        <w:t>Step 3: For each reference to one of the noted groups from a compliance statement, update it to refer to the new group.</w:t>
      </w:r>
    </w:p>
    <w:p w14:paraId="43822607" w14:textId="77777777" w:rsidR="009833A1" w:rsidRDefault="009833A1" w:rsidP="009833A1">
      <w:pPr>
        <w:pStyle w:val="Heading3"/>
      </w:pPr>
      <w:r>
        <w:t>Lexical requirements</w:t>
      </w:r>
    </w:p>
    <w:p w14:paraId="72F9A458" w14:textId="674F21EF" w:rsidR="009833A1" w:rsidRDefault="009833A1" w:rsidP="005362CD">
      <w:pPr>
        <w:jc w:val="both"/>
      </w:pPr>
      <w:r>
        <w:t xml:space="preserve">The MIB needs to be </w:t>
      </w:r>
      <w:proofErr w:type="spellStart"/>
      <w:r>
        <w:t>compilable</w:t>
      </w:r>
      <w:proofErr w:type="spellEnd"/>
      <w:r>
        <w:t xml:space="preserve">.  The </w:t>
      </w:r>
      <w:proofErr w:type="spellStart"/>
      <w:r>
        <w:t>smtools</w:t>
      </w:r>
      <w:proofErr w:type="spellEnd"/>
      <w:r>
        <w:t xml:space="preserve"> compiler (see reference</w:t>
      </w:r>
      <w:r w:rsidR="005362CD">
        <w:t xml:space="preserve"> in C.2) requires 7-bit ASCII, </w:t>
      </w:r>
      <w:r>
        <w:t>or compilation will be aborted.  Note the following:</w:t>
      </w:r>
    </w:p>
    <w:p w14:paraId="6E22C0F2" w14:textId="77777777" w:rsidR="009833A1" w:rsidRDefault="009833A1" w:rsidP="00B36AEC">
      <w:pPr>
        <w:pStyle w:val="ListParagraph"/>
        <w:numPr>
          <w:ilvl w:val="0"/>
          <w:numId w:val="16"/>
        </w:numPr>
      </w:pPr>
      <w:r>
        <w:t xml:space="preserve">Greek </w:t>
      </w:r>
      <w:r w:rsidR="00A9524D">
        <w:t xml:space="preserve">or Unicode </w:t>
      </w:r>
      <w:r>
        <w:t>characters are not allowed.  Spell out the units in full.</w:t>
      </w:r>
    </w:p>
    <w:p w14:paraId="46510338" w14:textId="77777777" w:rsidR="009833A1" w:rsidRDefault="000C5CFC" w:rsidP="00B36AEC">
      <w:pPr>
        <w:pStyle w:val="ListParagraph"/>
        <w:numPr>
          <w:ilvl w:val="0"/>
          <w:numId w:val="16"/>
        </w:numPr>
      </w:pPr>
      <w:r>
        <w:t>Font effects,</w:t>
      </w:r>
      <w:r w:rsidR="00A9524D">
        <w:t xml:space="preserve"> such as superscript,</w:t>
      </w:r>
      <w:r w:rsidR="009833A1">
        <w:t xml:space="preserve"> will</w:t>
      </w:r>
      <w:r>
        <w:t xml:space="preserve"> be lost if the MIB is read in .txt format.   For exponentiation,</w:t>
      </w:r>
      <w:r w:rsidR="009833A1">
        <w:t xml:space="preserve"> use “**” (e.g., 2**32).</w:t>
      </w:r>
    </w:p>
    <w:p w14:paraId="19F1B174" w14:textId="528BDF9F" w:rsidR="00137FFD" w:rsidRDefault="00FD01E2" w:rsidP="00B36AEC">
      <w:pPr>
        <w:pStyle w:val="ListParagraph"/>
        <w:numPr>
          <w:ilvl w:val="0"/>
          <w:numId w:val="16"/>
        </w:numPr>
      </w:pPr>
      <w:r>
        <w:t>Long n</w:t>
      </w:r>
      <w:r w:rsidR="002F24F8" w:rsidRPr="00D76E2B">
        <w:t xml:space="preserve">umbers in the MIB </w:t>
      </w:r>
      <w:r>
        <w:t>shall</w:t>
      </w:r>
      <w:r w:rsidR="002F24F8" w:rsidRPr="002E0D5D">
        <w:t xml:space="preserve"> not have a space </w:t>
      </w:r>
      <w:r>
        <w:t xml:space="preserve">to group digits in thousands </w:t>
      </w:r>
      <w:r w:rsidR="002F24F8" w:rsidRPr="00D76E2B">
        <w:t xml:space="preserve">since this will affect compilation. </w:t>
      </w:r>
      <w:r>
        <w:t>Long n</w:t>
      </w:r>
      <w:r w:rsidR="002F24F8" w:rsidRPr="00D76E2B">
        <w:t xml:space="preserve">umbers in a MIB object description </w:t>
      </w:r>
      <w:r w:rsidR="00180A4C">
        <w:t xml:space="preserve">should not </w:t>
      </w:r>
      <w:r w:rsidR="002F24F8" w:rsidRPr="00D76E2B">
        <w:t>have a space</w:t>
      </w:r>
      <w:r w:rsidR="00180A4C">
        <w:t xml:space="preserve"> either; this is not consistent with style elsewhere in the standard (see</w:t>
      </w:r>
      <w:r>
        <w:t xml:space="preserve"> </w:t>
      </w:r>
      <w:r>
        <w:fldChar w:fldCharType="begin"/>
      </w:r>
      <w:r>
        <w:instrText xml:space="preserve"> REF _Ref3264620 \w \h </w:instrText>
      </w:r>
      <w:r>
        <w:fldChar w:fldCharType="separate"/>
      </w:r>
      <w:r>
        <w:t>2.9</w:t>
      </w:r>
      <w:r>
        <w:fldChar w:fldCharType="end"/>
      </w:r>
      <w:r w:rsidR="00180A4C">
        <w:t>)</w:t>
      </w:r>
      <w:r w:rsidR="002F24F8" w:rsidRPr="00D76E2B">
        <w:t xml:space="preserve">, but </w:t>
      </w:r>
      <w:r w:rsidR="00180A4C">
        <w:t xml:space="preserve">the MIB is a </w:t>
      </w:r>
      <w:proofErr w:type="spellStart"/>
      <w:r w:rsidR="00180A4C">
        <w:t>standardalone</w:t>
      </w:r>
      <w:proofErr w:type="spellEnd"/>
      <w:r w:rsidR="00180A4C">
        <w:t xml:space="preserve"> entity and spaces here may lead to confusion. </w:t>
      </w:r>
    </w:p>
    <w:p w14:paraId="541ECD28" w14:textId="3824941C" w:rsidR="00414F91" w:rsidRDefault="00414F91" w:rsidP="009C40F3">
      <w:pPr>
        <w:pStyle w:val="Heading2"/>
      </w:pPr>
      <w:r>
        <w:t>Annex G – Frame exchange sequences</w:t>
      </w:r>
    </w:p>
    <w:p w14:paraId="5BE18930" w14:textId="0FB0B221" w:rsidR="00414F91" w:rsidRPr="00414F91" w:rsidRDefault="00414F91" w:rsidP="005362CD">
      <w:r>
        <w:t>An amendment that adds new frame exchange sequences shall update the normative Annex G.</w:t>
      </w:r>
      <w:r w:rsidR="005362CD">
        <w:t xml:space="preserve"> </w:t>
      </w:r>
      <w:r>
        <w:t>It will not successfully exit the MDR unless it has satisfied this requirement.</w:t>
      </w:r>
    </w:p>
    <w:p w14:paraId="4D89C4E9" w14:textId="1A4B2FF1" w:rsidR="003B103A" w:rsidRDefault="003B103A" w:rsidP="00B1767D">
      <w:pPr>
        <w:pStyle w:val="Heading1"/>
      </w:pPr>
      <w:r>
        <w:lastRenderedPageBreak/>
        <w:t>Amendment Editor Instruction</w:t>
      </w:r>
    </w:p>
    <w:p w14:paraId="68FC9498" w14:textId="7B0AA240" w:rsidR="00D12D5D" w:rsidRDefault="00D12D5D" w:rsidP="005362CD">
      <w:pPr>
        <w:jc w:val="both"/>
      </w:pPr>
      <w:r>
        <w:t xml:space="preserve">When using </w:t>
      </w:r>
      <w:r w:rsidR="008A6FC8">
        <w:t xml:space="preserve">the </w:t>
      </w:r>
      <w:r>
        <w:t xml:space="preserve">“Insert” instruction, please identify the </w:t>
      </w:r>
      <w:r w:rsidR="00AF5514">
        <w:t>first</w:t>
      </w:r>
      <w:r>
        <w:t xml:space="preserve"> sentence of the </w:t>
      </w:r>
      <w:r w:rsidR="008A6FC8">
        <w:t xml:space="preserve">positioning </w:t>
      </w:r>
      <w:r>
        <w:t xml:space="preserve">paragraph. </w:t>
      </w:r>
    </w:p>
    <w:p w14:paraId="0C8FC18B" w14:textId="77777777" w:rsidR="00D12D5D" w:rsidRDefault="00D12D5D" w:rsidP="005362CD">
      <w:pPr>
        <w:jc w:val="both"/>
      </w:pPr>
    </w:p>
    <w:p w14:paraId="3F74FDB8" w14:textId="55449B7C" w:rsidR="00D12D5D" w:rsidRPr="003B103A" w:rsidRDefault="00D12D5D" w:rsidP="005362CD">
      <w:pPr>
        <w:jc w:val="both"/>
      </w:pPr>
      <w:r>
        <w:t xml:space="preserve">For example, </w:t>
      </w:r>
      <w:r>
        <w:rPr>
          <w:rStyle w:val="SC8204815"/>
        </w:rPr>
        <w:t>“Insert the following paragraph after the second paragraph (“The FT protocol provides ...”):”</w:t>
      </w:r>
      <w:r w:rsidR="00AF5514">
        <w:rPr>
          <w:rStyle w:val="SC8204815"/>
        </w:rPr>
        <w:t>.</w:t>
      </w:r>
    </w:p>
    <w:p w14:paraId="2695A069" w14:textId="06365C48" w:rsidR="00D12D5D" w:rsidRDefault="00D12D5D" w:rsidP="003B103A"/>
    <w:p w14:paraId="2CF54633" w14:textId="05815440" w:rsidR="00B1767D" w:rsidRDefault="00B1767D" w:rsidP="00B1767D">
      <w:pPr>
        <w:pStyle w:val="Heading1"/>
      </w:pPr>
      <w:r>
        <w:lastRenderedPageBreak/>
        <w:t>Changes in the IEEE-SA Style Guide</w:t>
      </w:r>
    </w:p>
    <w:p w14:paraId="37A2F4F7" w14:textId="5B0EB88B" w:rsidR="00B1767D" w:rsidRDefault="00B1767D" w:rsidP="00B1767D">
      <w:r>
        <w:t>This section summarises changes in the style guide.</w:t>
      </w:r>
    </w:p>
    <w:p w14:paraId="019C8146" w14:textId="77777777" w:rsidR="00B1767D" w:rsidRDefault="00B1767D" w:rsidP="00B1767D">
      <w:pPr>
        <w:pStyle w:val="Heading2"/>
      </w:pPr>
      <w:r>
        <w:t>2009 to 2012</w:t>
      </w:r>
    </w:p>
    <w:p w14:paraId="72336AF1" w14:textId="31700C62" w:rsidR="00B1767D" w:rsidRDefault="00B1767D" w:rsidP="00B36AEC">
      <w:pPr>
        <w:pStyle w:val="ListParagraph"/>
        <w:numPr>
          <w:ilvl w:val="0"/>
          <w:numId w:val="17"/>
        </w:numPr>
        <w:jc w:val="both"/>
      </w:pPr>
      <w:r>
        <w:t xml:space="preserve">Scope and purpose statements no longer </w:t>
      </w:r>
      <w:proofErr w:type="gramStart"/>
      <w:r>
        <w:t>have to</w:t>
      </w:r>
      <w:proofErr w:type="gramEnd"/>
      <w:r>
        <w:t xml:space="preserve"> match exactly the PAR, they merely need to be within the scope of the statements in the PAR, </w:t>
      </w:r>
      <w:r w:rsidRPr="00B1767D">
        <w:rPr>
          <w:b/>
        </w:rPr>
        <w:t>as determined by the</w:t>
      </w:r>
      <w:r w:rsidR="006A50F1">
        <w:rPr>
          <w:b/>
        </w:rPr>
        <w:t xml:space="preserve"> (</w:t>
      </w:r>
      <w:r w:rsidR="00CF722A" w:rsidRPr="005B1896">
        <w:rPr>
          <w:b/>
        </w:rPr>
        <w:t>SA</w:t>
      </w:r>
      <w:r w:rsidR="006A50F1">
        <w:rPr>
          <w:b/>
        </w:rPr>
        <w:t>)</w:t>
      </w:r>
      <w:r w:rsidRPr="00B1767D">
        <w:rPr>
          <w:b/>
        </w:rPr>
        <w:t xml:space="preserve"> balloting group</w:t>
      </w:r>
      <w:r>
        <w:t>.</w:t>
      </w:r>
    </w:p>
    <w:p w14:paraId="399A9E41" w14:textId="77777777" w:rsidR="00B1767D" w:rsidRDefault="006A50F1" w:rsidP="00B36AEC">
      <w:pPr>
        <w:pStyle w:val="ListParagraph"/>
        <w:numPr>
          <w:ilvl w:val="0"/>
          <w:numId w:val="17"/>
        </w:numPr>
        <w:jc w:val="both"/>
      </w:pPr>
      <w:r>
        <w:t>The</w:t>
      </w:r>
      <w:r w:rsidR="00B1767D" w:rsidRPr="00B1767D">
        <w:t xml:space="preserve"> </w:t>
      </w:r>
      <w:r>
        <w:t>Standards Dictionary</w:t>
      </w:r>
      <w:r w:rsidR="007C54BB">
        <w:t xml:space="preserve"> (IEEE 100) is now available as</w:t>
      </w:r>
      <w:r w:rsidR="00B1767D">
        <w:t xml:space="preserve"> an online database:</w:t>
      </w:r>
    </w:p>
    <w:p w14:paraId="7BB60371" w14:textId="77777777" w:rsidR="00B1767D" w:rsidRDefault="00D21E32" w:rsidP="00B36AEC">
      <w:pPr>
        <w:pStyle w:val="ListParagraph"/>
        <w:numPr>
          <w:ilvl w:val="1"/>
          <w:numId w:val="17"/>
        </w:numPr>
        <w:jc w:val="both"/>
      </w:pPr>
      <w:hyperlink r:id="rId19" w:history="1">
        <w:r w:rsidR="00B1767D" w:rsidRPr="00C367B0">
          <w:rPr>
            <w:rStyle w:val="Hyperlink"/>
          </w:rPr>
          <w:t>http://dictionary.ieee.org/dictionary_welcome.html</w:t>
        </w:r>
      </w:hyperlink>
    </w:p>
    <w:p w14:paraId="10AF1278" w14:textId="77777777" w:rsidR="007C54BB" w:rsidRDefault="007C54BB" w:rsidP="00B36AEC">
      <w:pPr>
        <w:pStyle w:val="ListParagraph"/>
        <w:numPr>
          <w:ilvl w:val="1"/>
          <w:numId w:val="17"/>
        </w:numPr>
        <w:jc w:val="both"/>
      </w:pPr>
      <w:r>
        <w:t xml:space="preserve">Access is granted to WG officers and </w:t>
      </w:r>
      <w:proofErr w:type="gramStart"/>
      <w:r>
        <w:t>editors, and</w:t>
      </w:r>
      <w:proofErr w:type="gramEnd"/>
      <w:r>
        <w:t xml:space="preserve"> requires approval by our staff liaison.</w:t>
      </w:r>
    </w:p>
    <w:p w14:paraId="2764485B" w14:textId="77777777" w:rsidR="007C54BB" w:rsidRDefault="007C54BB" w:rsidP="00B36AEC">
      <w:pPr>
        <w:pStyle w:val="ListParagraph"/>
        <w:numPr>
          <w:ilvl w:val="1"/>
          <w:numId w:val="17"/>
        </w:numPr>
        <w:jc w:val="both"/>
      </w:pPr>
      <w:r>
        <w:t xml:space="preserve">The CD ROM can be ordered from </w:t>
      </w:r>
      <w:proofErr w:type="spellStart"/>
      <w:r>
        <w:t>Techstreet</w:t>
      </w:r>
      <w:proofErr w:type="spellEnd"/>
      <w:r>
        <w:t xml:space="preserve"> (</w:t>
      </w:r>
      <w:hyperlink r:id="rId20" w:history="1">
        <w:r w:rsidRPr="00C367B0">
          <w:rPr>
            <w:rStyle w:val="Hyperlink"/>
          </w:rPr>
          <w:t>http://www.techstreet.com/cgi-bin/detail?product_id=1588912</w:t>
        </w:r>
      </w:hyperlink>
      <w:r>
        <w:t>, $213.00)</w:t>
      </w:r>
    </w:p>
    <w:p w14:paraId="4D389ED4" w14:textId="77777777" w:rsidR="00B1767D" w:rsidRDefault="00C043D2" w:rsidP="00B36AEC">
      <w:pPr>
        <w:pStyle w:val="ListParagraph"/>
        <w:numPr>
          <w:ilvl w:val="0"/>
          <w:numId w:val="17"/>
        </w:numPr>
        <w:jc w:val="both"/>
      </w:pPr>
      <w:r>
        <w:t>Do not use words that imply any properties regarding safety (this shouldn’t be an issue for us).</w:t>
      </w:r>
    </w:p>
    <w:p w14:paraId="103207B5" w14:textId="77777777" w:rsidR="00C043D2" w:rsidRDefault="00C043D2" w:rsidP="00B36AEC">
      <w:pPr>
        <w:pStyle w:val="ListParagraph"/>
        <w:numPr>
          <w:ilvl w:val="0"/>
          <w:numId w:val="17"/>
        </w:numPr>
        <w:jc w:val="both"/>
      </w:pPr>
      <w:r>
        <w:t>Example of “Hanging paragraph” added.</w:t>
      </w:r>
    </w:p>
    <w:p w14:paraId="6A5E5250" w14:textId="77777777" w:rsidR="00C043D2" w:rsidRDefault="00C043D2" w:rsidP="00B36AEC">
      <w:pPr>
        <w:pStyle w:val="ListParagraph"/>
        <w:numPr>
          <w:ilvl w:val="0"/>
          <w:numId w:val="17"/>
        </w:numPr>
        <w:jc w:val="both"/>
      </w:pPr>
      <w:r>
        <w:t>New material describing use of italics in equations.</w:t>
      </w:r>
    </w:p>
    <w:p w14:paraId="3F88C3AB" w14:textId="77777777" w:rsidR="006D6272" w:rsidRDefault="006D6272" w:rsidP="00B36AEC">
      <w:pPr>
        <w:pStyle w:val="ListParagraph"/>
        <w:numPr>
          <w:ilvl w:val="0"/>
          <w:numId w:val="17"/>
        </w:numPr>
        <w:jc w:val="both"/>
      </w:pPr>
      <w:r>
        <w:t>Standards cited in a Bibliography can be either dated or undated, as appropriate.</w:t>
      </w:r>
    </w:p>
    <w:p w14:paraId="7CC75394" w14:textId="77777777" w:rsidR="006D6272" w:rsidRDefault="006D6272" w:rsidP="00B36AEC">
      <w:pPr>
        <w:pStyle w:val="ListParagraph"/>
        <w:numPr>
          <w:ilvl w:val="0"/>
          <w:numId w:val="17"/>
        </w:numPr>
        <w:jc w:val="both"/>
      </w:pPr>
      <w:r>
        <w:t>Chicago Manual of Style cited for various aspects of style.</w:t>
      </w:r>
    </w:p>
    <w:p w14:paraId="05DE5A84" w14:textId="77777777" w:rsidR="006D6272" w:rsidRDefault="006D6272" w:rsidP="00B36AEC">
      <w:pPr>
        <w:pStyle w:val="ListParagraph"/>
        <w:numPr>
          <w:ilvl w:val="0"/>
          <w:numId w:val="17"/>
        </w:numPr>
        <w:jc w:val="both"/>
      </w:pPr>
      <w:r>
        <w:t>New guidelines and best practices for the creation and maintenance of IEEE standards terms and definitions.</w:t>
      </w:r>
    </w:p>
    <w:p w14:paraId="3E433645" w14:textId="77777777" w:rsidR="00A124BD" w:rsidRDefault="00A124BD" w:rsidP="00A124BD">
      <w:pPr>
        <w:pStyle w:val="Heading2"/>
      </w:pPr>
      <w:proofErr w:type="spellStart"/>
      <w:r>
        <w:t>REVmc</w:t>
      </w:r>
      <w:proofErr w:type="spellEnd"/>
      <w:r>
        <w:t xml:space="preserve"> D1.0</w:t>
      </w:r>
    </w:p>
    <w:p w14:paraId="30A43D57" w14:textId="77777777" w:rsidR="00A124BD" w:rsidRPr="00A124BD" w:rsidRDefault="00A124BD" w:rsidP="005362CD">
      <w:pPr>
        <w:jc w:val="both"/>
      </w:pPr>
      <w:r>
        <w:t>Changes made based on the following comment resolutions:</w:t>
      </w:r>
      <w:r w:rsidR="0091708F" w:rsidRPr="00A124BD">
        <w:t xml:space="preserve"> </w:t>
      </w:r>
    </w:p>
    <w:p w14:paraId="27D206AD" w14:textId="77777777" w:rsidR="00B1767D" w:rsidRDefault="006208AD" w:rsidP="00B36AEC">
      <w:pPr>
        <w:pStyle w:val="ListParagraph"/>
        <w:numPr>
          <w:ilvl w:val="0"/>
          <w:numId w:val="21"/>
        </w:numPr>
        <w:jc w:val="both"/>
      </w:pPr>
      <w:r w:rsidRPr="004B307D">
        <w:t>Optional fields</w:t>
      </w:r>
      <w:r>
        <w:t xml:space="preserve"> in octet figures should show “0 or &lt;n&gt;”</w:t>
      </w:r>
    </w:p>
    <w:p w14:paraId="3F56ED0B" w14:textId="77777777" w:rsidR="006208AD" w:rsidRDefault="006208AD" w:rsidP="00B36AEC">
      <w:pPr>
        <w:pStyle w:val="ListParagraph"/>
        <w:numPr>
          <w:ilvl w:val="0"/>
          <w:numId w:val="21"/>
        </w:numPr>
        <w:jc w:val="both"/>
      </w:pPr>
      <w:r>
        <w:t>Clarifications on naming of frames (to remove unnecessary decoration and ensure consistent capitalization)</w:t>
      </w:r>
    </w:p>
    <w:p w14:paraId="04D0A2CE" w14:textId="77777777" w:rsidR="006208AD" w:rsidRDefault="006208AD" w:rsidP="00B36AEC">
      <w:pPr>
        <w:pStyle w:val="ListParagraph"/>
        <w:numPr>
          <w:ilvl w:val="0"/>
          <w:numId w:val="21"/>
        </w:numPr>
        <w:jc w:val="both"/>
      </w:pPr>
      <w:r>
        <w:t>Do not include local definitions of Element ID and Length fields in an element definition</w:t>
      </w:r>
    </w:p>
    <w:p w14:paraId="53026A36" w14:textId="77777777" w:rsidR="006208AD" w:rsidRDefault="006208AD" w:rsidP="00B36AEC">
      <w:pPr>
        <w:pStyle w:val="ListParagraph"/>
        <w:numPr>
          <w:ilvl w:val="0"/>
          <w:numId w:val="21"/>
        </w:numPr>
        <w:jc w:val="both"/>
      </w:pPr>
      <w:r>
        <w:t>SIFS is already a noun</w:t>
      </w:r>
    </w:p>
    <w:p w14:paraId="1EB18E5C" w14:textId="77777777" w:rsidR="006208AD" w:rsidRDefault="006208AD" w:rsidP="00B36AEC">
      <w:pPr>
        <w:pStyle w:val="ListParagraph"/>
        <w:numPr>
          <w:ilvl w:val="0"/>
          <w:numId w:val="21"/>
        </w:numPr>
        <w:jc w:val="both"/>
      </w:pPr>
      <w:r>
        <w:t>twos complement -&gt; 2s complement</w:t>
      </w:r>
    </w:p>
    <w:p w14:paraId="036F137D" w14:textId="7D96050F" w:rsidR="00B1767D" w:rsidRPr="00B1767D" w:rsidRDefault="005362CD" w:rsidP="00B36AEC">
      <w:pPr>
        <w:pStyle w:val="ListParagraph"/>
        <w:numPr>
          <w:ilvl w:val="0"/>
          <w:numId w:val="21"/>
        </w:numPr>
        <w:jc w:val="both"/>
      </w:pPr>
      <w:r>
        <w:t>C</w:t>
      </w:r>
      <w:r w:rsidR="006208AD">
        <w:t xml:space="preserve">onsistency of use of </w:t>
      </w:r>
      <w:proofErr w:type="gramStart"/>
      <w:r w:rsidR="006208AD">
        <w:t>Int(</w:t>
      </w:r>
      <w:proofErr w:type="gramEnd"/>
      <w:r w:rsidR="006208AD">
        <w:t>), Floor(), Ceil() and their symbolic forms.</w:t>
      </w:r>
    </w:p>
    <w:p w14:paraId="574B5DAD" w14:textId="0DFC8D48" w:rsidR="009833A1" w:rsidRDefault="007D6D0F" w:rsidP="007D6D0F">
      <w:pPr>
        <w:pStyle w:val="Heading2"/>
      </w:pPr>
      <w:proofErr w:type="spellStart"/>
      <w:r>
        <w:t>REVmc</w:t>
      </w:r>
      <w:proofErr w:type="spellEnd"/>
      <w:r>
        <w:t xml:space="preserve"> D2.0</w:t>
      </w:r>
    </w:p>
    <w:p w14:paraId="08C61CC9" w14:textId="56FFA125" w:rsidR="007D6D0F" w:rsidRDefault="007D6D0F" w:rsidP="005362CD">
      <w:pPr>
        <w:jc w:val="both"/>
      </w:pPr>
      <w:r>
        <w:t>Changes made based on comment resolutions</w:t>
      </w:r>
      <w:r w:rsidR="009C4225">
        <w:t xml:space="preserve"> from </w:t>
      </w:r>
      <w:proofErr w:type="spellStart"/>
      <w:r w:rsidR="009C4225">
        <w:t>REVmc</w:t>
      </w:r>
      <w:proofErr w:type="spellEnd"/>
      <w:r w:rsidR="009C4225">
        <w:t xml:space="preserve"> D1.0</w:t>
      </w:r>
      <w:r>
        <w:t>:</w:t>
      </w:r>
    </w:p>
    <w:p w14:paraId="334B0D1B" w14:textId="128E1552" w:rsidR="007D6D0F" w:rsidRDefault="007D6D0F" w:rsidP="00B36AEC">
      <w:pPr>
        <w:pStyle w:val="ListParagraph"/>
        <w:numPr>
          <w:ilvl w:val="0"/>
          <w:numId w:val="26"/>
        </w:numPr>
        <w:jc w:val="both"/>
      </w:pPr>
      <w:r>
        <w:t>Definitions for PPDU and MPDU point to “frame” as an abbreviation of both, based on context.</w:t>
      </w:r>
    </w:p>
    <w:p w14:paraId="28384A7B" w14:textId="67C425A1" w:rsidR="007D6D0F" w:rsidRDefault="007D6D0F" w:rsidP="00B36AEC">
      <w:pPr>
        <w:pStyle w:val="ListParagraph"/>
        <w:numPr>
          <w:ilvl w:val="0"/>
          <w:numId w:val="26"/>
        </w:numPr>
        <w:jc w:val="both"/>
      </w:pPr>
      <w:r>
        <w:t xml:space="preserve">“Ack frame” preferred over “Ack MPDU” </w:t>
      </w:r>
    </w:p>
    <w:p w14:paraId="6AE49057" w14:textId="45E2123A" w:rsidR="007D6D0F" w:rsidRDefault="007D6D0F" w:rsidP="00B36AEC">
      <w:pPr>
        <w:pStyle w:val="ListParagraph"/>
        <w:numPr>
          <w:ilvl w:val="0"/>
          <w:numId w:val="26"/>
        </w:numPr>
        <w:jc w:val="both"/>
      </w:pPr>
      <w:r>
        <w:t>Bit numbering using “B&lt;number&gt;”</w:t>
      </w:r>
    </w:p>
    <w:p w14:paraId="0CE212F7" w14:textId="589B4053" w:rsidR="009C4225" w:rsidRDefault="009C4225" w:rsidP="00B36AEC">
      <w:pPr>
        <w:pStyle w:val="ListParagraph"/>
        <w:numPr>
          <w:ilvl w:val="0"/>
          <w:numId w:val="26"/>
        </w:numPr>
        <w:jc w:val="both"/>
      </w:pPr>
      <w:r>
        <w:t>Some requests and reports use initial caps – i.e., are a valid proper noun.</w:t>
      </w:r>
    </w:p>
    <w:p w14:paraId="7F0A4E72" w14:textId="78C93EF9" w:rsidR="00844F6F" w:rsidRDefault="00844F6F" w:rsidP="003F0497">
      <w:pPr>
        <w:pStyle w:val="Heading2"/>
      </w:pPr>
      <w:proofErr w:type="spellStart"/>
      <w:r>
        <w:t>REVmc</w:t>
      </w:r>
      <w:proofErr w:type="spellEnd"/>
      <w:r>
        <w:t xml:space="preserve"> D3.0 (MDR)</w:t>
      </w:r>
    </w:p>
    <w:p w14:paraId="49706B17" w14:textId="7A13F277" w:rsidR="00844F6F" w:rsidRDefault="005362CD" w:rsidP="00B36AEC">
      <w:pPr>
        <w:pStyle w:val="ListParagraph"/>
        <w:numPr>
          <w:ilvl w:val="0"/>
          <w:numId w:val="35"/>
        </w:numPr>
        <w:jc w:val="both"/>
      </w:pPr>
      <w:r>
        <w:t>Include full names of frames,</w:t>
      </w:r>
      <w:r w:rsidR="00844F6F">
        <w:t xml:space="preserve"> </w:t>
      </w:r>
      <w:proofErr w:type="gramStart"/>
      <w:r w:rsidR="00844F6F">
        <w:t>e.g.</w:t>
      </w:r>
      <w:proofErr w:type="gramEnd"/>
      <w:r w:rsidR="00844F6F">
        <w:t xml:space="preserve"> “ADDBA frame” is wrong.</w:t>
      </w:r>
    </w:p>
    <w:p w14:paraId="2B17148E" w14:textId="0F03478B" w:rsidR="00844F6F" w:rsidRDefault="00844F6F" w:rsidP="00B36AEC">
      <w:pPr>
        <w:pStyle w:val="ListParagraph"/>
        <w:numPr>
          <w:ilvl w:val="0"/>
          <w:numId w:val="35"/>
        </w:numPr>
        <w:jc w:val="both"/>
      </w:pPr>
      <w:proofErr w:type="gramStart"/>
      <w:r>
        <w:t>”true</w:t>
      </w:r>
      <w:proofErr w:type="gramEnd"/>
      <w:r>
        <w:t>” and “false” can be used in 802.1X state machine description</w:t>
      </w:r>
    </w:p>
    <w:p w14:paraId="20B2F83E" w14:textId="3E07FA6A" w:rsidR="00844F6F" w:rsidRDefault="00844F6F" w:rsidP="00B36AEC">
      <w:pPr>
        <w:pStyle w:val="ListParagraph"/>
        <w:numPr>
          <w:ilvl w:val="0"/>
          <w:numId w:val="35"/>
        </w:numPr>
        <w:jc w:val="both"/>
      </w:pPr>
      <w:proofErr w:type="gramStart"/>
      <w:r>
        <w:t>”should</w:t>
      </w:r>
      <w:proofErr w:type="gramEnd"/>
      <w:r>
        <w:t>” permitted in informative Annexes and NOTES</w:t>
      </w:r>
    </w:p>
    <w:p w14:paraId="531E7E50" w14:textId="4A2ECD18" w:rsidR="00844F6F" w:rsidRDefault="00844F6F" w:rsidP="00B36AEC">
      <w:pPr>
        <w:pStyle w:val="ListParagraph"/>
        <w:numPr>
          <w:ilvl w:val="0"/>
          <w:numId w:val="35"/>
        </w:numPr>
        <w:jc w:val="both"/>
      </w:pPr>
      <w:proofErr w:type="gramStart"/>
      <w:r>
        <w:t>”shall</w:t>
      </w:r>
      <w:proofErr w:type="gramEnd"/>
      <w:r>
        <w:t xml:space="preserve"> only” should be replaced with an alternative</w:t>
      </w:r>
    </w:p>
    <w:p w14:paraId="007EF66D" w14:textId="7262AE93" w:rsidR="00844F6F" w:rsidRDefault="00844F6F" w:rsidP="00B36AEC">
      <w:pPr>
        <w:pStyle w:val="ListParagraph"/>
        <w:numPr>
          <w:ilvl w:val="0"/>
          <w:numId w:val="35"/>
        </w:numPr>
        <w:jc w:val="both"/>
      </w:pPr>
      <w:r>
        <w:t>“Shall ensure” is OK</w:t>
      </w:r>
    </w:p>
    <w:p w14:paraId="4ED03F2D" w14:textId="1CB82985" w:rsidR="00844F6F" w:rsidRDefault="00844F6F" w:rsidP="00B36AEC">
      <w:pPr>
        <w:pStyle w:val="ListParagraph"/>
        <w:numPr>
          <w:ilvl w:val="0"/>
          <w:numId w:val="35"/>
        </w:numPr>
        <w:jc w:val="both"/>
      </w:pPr>
      <w:r>
        <w:t>Variables holding bit values can be called “b0”</w:t>
      </w:r>
    </w:p>
    <w:p w14:paraId="66F66210" w14:textId="73DC76DA" w:rsidR="0099034C" w:rsidRDefault="0099034C" w:rsidP="0099034C">
      <w:pPr>
        <w:pStyle w:val="Heading2"/>
      </w:pPr>
      <w:r>
        <w:t>MIB design patterns</w:t>
      </w:r>
    </w:p>
    <w:p w14:paraId="62D2FD6E" w14:textId="38C7BB28" w:rsidR="0099034C" w:rsidRPr="0099034C" w:rsidRDefault="0099034C" w:rsidP="0099034C">
      <w:r>
        <w:t>Reference 15/355r13</w:t>
      </w:r>
    </w:p>
    <w:p w14:paraId="2A7B42E3" w14:textId="77777777" w:rsidR="0091708F" w:rsidRDefault="0091708F" w:rsidP="0091708F"/>
    <w:p w14:paraId="26B80954" w14:textId="67EFB217" w:rsidR="00A44052" w:rsidRDefault="00A44052" w:rsidP="00A44052">
      <w:pPr>
        <w:pStyle w:val="Heading2"/>
      </w:pPr>
      <w:proofErr w:type="spellStart"/>
      <w:r>
        <w:lastRenderedPageBreak/>
        <w:t>REVmd</w:t>
      </w:r>
      <w:proofErr w:type="spellEnd"/>
      <w:r>
        <w:t xml:space="preserve"> D2.1 (MDR)</w:t>
      </w:r>
    </w:p>
    <w:p w14:paraId="7616F3A4" w14:textId="77777777" w:rsidR="0099034C" w:rsidRDefault="0099034C" w:rsidP="00B36AEC">
      <w:pPr>
        <w:pStyle w:val="ListParagraph"/>
        <w:numPr>
          <w:ilvl w:val="0"/>
          <w:numId w:val="36"/>
        </w:numPr>
      </w:pPr>
      <w:r>
        <w:t>Repeated fields</w:t>
      </w:r>
    </w:p>
    <w:p w14:paraId="3C71753C" w14:textId="5D5411BC" w:rsidR="0099034C" w:rsidRDefault="0099034C" w:rsidP="00B36AEC">
      <w:pPr>
        <w:pStyle w:val="ListParagraph"/>
        <w:numPr>
          <w:ilvl w:val="0"/>
          <w:numId w:val="36"/>
        </w:numPr>
      </w:pPr>
      <w:r>
        <w:t>Deprecate terms unicast and multicast</w:t>
      </w:r>
    </w:p>
    <w:p w14:paraId="31A84B94" w14:textId="19ABA63C" w:rsidR="0099034C" w:rsidRDefault="0099034C" w:rsidP="00B36AEC">
      <w:pPr>
        <w:pStyle w:val="ListParagraph"/>
        <w:numPr>
          <w:ilvl w:val="0"/>
          <w:numId w:val="36"/>
        </w:numPr>
      </w:pPr>
      <w:r>
        <w:t>Figure titles: “Figure &lt;number)—Name frame/field/element/etc format”</w:t>
      </w:r>
    </w:p>
    <w:p w14:paraId="7E8FC9E3" w14:textId="087D7290" w:rsidR="00255150" w:rsidRDefault="00255150" w:rsidP="00255150">
      <w:pPr>
        <w:pStyle w:val="Heading2"/>
      </w:pPr>
      <w:proofErr w:type="spellStart"/>
      <w:r>
        <w:t>REVmd</w:t>
      </w:r>
      <w:proofErr w:type="spellEnd"/>
      <w:r>
        <w:t xml:space="preserve"> D</w:t>
      </w:r>
      <w:r w:rsidR="00C66591">
        <w:t>5</w:t>
      </w:r>
      <w:r>
        <w:t>.0</w:t>
      </w:r>
    </w:p>
    <w:p w14:paraId="070D5D11" w14:textId="4C4615B4" w:rsidR="00A44052" w:rsidRDefault="00255150" w:rsidP="005362CD">
      <w:pPr>
        <w:jc w:val="both"/>
      </w:pPr>
      <w:r>
        <w:t xml:space="preserve">For proper names, all words in the name should be capitalized, including prepositions and conjunctions. </w:t>
      </w:r>
    </w:p>
    <w:p w14:paraId="7A259F1F" w14:textId="77777777" w:rsidR="005362CD" w:rsidRDefault="005362CD" w:rsidP="005362CD">
      <w:pPr>
        <w:jc w:val="both"/>
      </w:pPr>
    </w:p>
    <w:p w14:paraId="572308B3" w14:textId="2B38FA2F" w:rsidR="00255150" w:rsidRDefault="00A54FC1" w:rsidP="005362CD">
      <w:pPr>
        <w:jc w:val="both"/>
      </w:pPr>
      <w:r>
        <w:t>Arrow</w:t>
      </w:r>
      <w:r w:rsidR="00255150">
        <w:t xml:space="preserve"> should not be used</w:t>
      </w:r>
      <w:r>
        <w:t xml:space="preserve"> in the frame format figures</w:t>
      </w:r>
      <w:r w:rsidR="00255150">
        <w:t xml:space="preserve">, except where labelling parts of the structure </w:t>
      </w:r>
      <w:r>
        <w:t xml:space="preserve">or the MAC Header in the top-level frame format. </w:t>
      </w:r>
    </w:p>
    <w:p w14:paraId="10566D0A" w14:textId="77777777" w:rsidR="005362CD" w:rsidRDefault="005362CD" w:rsidP="005362CD">
      <w:pPr>
        <w:jc w:val="both"/>
      </w:pPr>
    </w:p>
    <w:p w14:paraId="437A4927" w14:textId="20BE5A4C" w:rsidR="004A2D07" w:rsidRDefault="008B473A" w:rsidP="005362CD">
      <w:pPr>
        <w:jc w:val="both"/>
      </w:pPr>
      <w:r>
        <w:t>The figures in Clause 9 are no</w:t>
      </w:r>
      <w:r w:rsidR="00453E37">
        <w:t>r</w:t>
      </w:r>
      <w:r>
        <w:t>mative, do not duplicate length information given in figures in Clause 9 text.</w:t>
      </w:r>
      <w:r w:rsidR="005362CD">
        <w:t xml:space="preserve"> </w:t>
      </w:r>
      <w:r w:rsidR="00E23AD1">
        <w:t>In the bit-aligned figure, the bit position should always start with B0.</w:t>
      </w:r>
    </w:p>
    <w:p w14:paraId="5EA1C703" w14:textId="77777777" w:rsidR="005362CD" w:rsidRDefault="005362CD" w:rsidP="005362CD">
      <w:pPr>
        <w:jc w:val="both"/>
      </w:pPr>
    </w:p>
    <w:p w14:paraId="5882E6B0" w14:textId="7781E4BA" w:rsidR="004A2D07" w:rsidRPr="00B2427E" w:rsidRDefault="004A2D07" w:rsidP="005362CD">
      <w:pPr>
        <w:jc w:val="both"/>
      </w:pPr>
      <w:r>
        <w:t>Normative and Informative.</w:t>
      </w:r>
    </w:p>
    <w:p w14:paraId="4B1386AC" w14:textId="5F5976D5" w:rsidR="004A2D07" w:rsidRPr="0091708F" w:rsidRDefault="00D12D5D" w:rsidP="005362CD">
      <w:pPr>
        <w:jc w:val="both"/>
      </w:pPr>
      <w:r>
        <w:t>Amendment Editor Instruction</w:t>
      </w:r>
    </w:p>
    <w:sectPr w:rsidR="004A2D07" w:rsidRPr="0091708F" w:rsidSect="000027A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rian Stephens 9" w:date="2012-04-21T14:55:00Z" w:initials="aps_">
    <w:p w14:paraId="03DF1433" w14:textId="77777777" w:rsidR="005B1896" w:rsidRDefault="005B1896">
      <w:pPr>
        <w:pStyle w:val="CommentText"/>
      </w:pPr>
      <w:r>
        <w:rPr>
          <w:rStyle w:val="CommentReference"/>
        </w:rPr>
        <w:annotationRef/>
      </w:r>
      <w:r>
        <w:t>Indefinite article because no antecedent.</w:t>
      </w:r>
    </w:p>
  </w:comment>
  <w:comment w:id="2" w:author="Adrian Stephens 9" w:date="2012-04-21T14:55:00Z" w:initials="aps_">
    <w:p w14:paraId="20169470" w14:textId="77777777" w:rsidR="005B1896" w:rsidRDefault="005B1896">
      <w:pPr>
        <w:pStyle w:val="CommentText"/>
      </w:pPr>
      <w:r>
        <w:rPr>
          <w:rStyle w:val="CommentReference"/>
        </w:rPr>
        <w:annotationRef/>
      </w:r>
      <w:r>
        <w:t>No antecedent.</w:t>
      </w:r>
    </w:p>
  </w:comment>
  <w:comment w:id="3" w:author="Adrian Stephens 9" w:date="2012-04-21T14:55:00Z" w:initials="aps_">
    <w:p w14:paraId="1D495119" w14:textId="77777777" w:rsidR="005B1896" w:rsidRDefault="005B1896">
      <w:pPr>
        <w:pStyle w:val="CommentText"/>
      </w:pPr>
      <w:r>
        <w:rPr>
          <w:rStyle w:val="CommentReference"/>
        </w:rPr>
        <w:annotationRef/>
      </w:r>
      <w:r>
        <w:t>No antecedent.</w:t>
      </w:r>
    </w:p>
  </w:comment>
  <w:comment w:id="4" w:author="Adrian Stephens 9" w:date="2012-04-21T14:55:00Z" w:initials="aps_">
    <w:p w14:paraId="20B8FFB4" w14:textId="77777777" w:rsidR="005B1896" w:rsidRDefault="005B1896">
      <w:pPr>
        <w:pStyle w:val="CommentText"/>
      </w:pPr>
      <w:r>
        <w:rPr>
          <w:rStyle w:val="CommentReference"/>
        </w:rPr>
        <w:annotationRef/>
      </w:r>
      <w:r>
        <w:t xml:space="preserve">The previous sentence provides the </w:t>
      </w:r>
      <w:proofErr w:type="gramStart"/>
      <w:r>
        <w:t>antecedent,  so</w:t>
      </w:r>
      <w:proofErr w:type="gramEnd"/>
      <w:r>
        <w:t xml:space="preserve"> “the” is used.</w:t>
      </w:r>
    </w:p>
  </w:comment>
  <w:comment w:id="5" w:author="Adrian Stephens 9" w:date="2012-04-21T14:55:00Z" w:initials="aps_">
    <w:p w14:paraId="74366B23" w14:textId="77777777" w:rsidR="005B1896" w:rsidRDefault="005B1896">
      <w:pPr>
        <w:pStyle w:val="CommentText"/>
      </w:pPr>
      <w:r>
        <w:rPr>
          <w:rStyle w:val="CommentReference"/>
        </w:rPr>
        <w:annotationRef/>
      </w:r>
      <w:r>
        <w:t>Seeing as there is only one such field, “the” is appropriate.</w:t>
      </w:r>
    </w:p>
  </w:comment>
  <w:comment w:id="6" w:author="Adrian Stephens 9" w:date="2012-04-21T14:55:00Z" w:initials="aps_">
    <w:p w14:paraId="66B91A3E" w14:textId="77777777" w:rsidR="005B1896" w:rsidRDefault="005B1896">
      <w:pPr>
        <w:pStyle w:val="CommentText"/>
      </w:pPr>
      <w:r>
        <w:rPr>
          <w:rStyle w:val="CommentReference"/>
        </w:rPr>
        <w:annotationRef/>
      </w:r>
      <w:r>
        <w:t>Antecedent established in first sentence.</w:t>
      </w:r>
    </w:p>
  </w:comment>
  <w:comment w:id="8" w:author="Adrian Stephens 6" w:date="2015-02-26T17:44:00Z" w:initials="aps">
    <w:p w14:paraId="2B56CCCA" w14:textId="77777777" w:rsidR="005B1896" w:rsidRDefault="005B1896" w:rsidP="005E4345">
      <w:pPr>
        <w:pStyle w:val="CommentText"/>
      </w:pPr>
      <w:r>
        <w:rPr>
          <w:rStyle w:val="CommentReference"/>
        </w:rPr>
        <w:annotationRef/>
      </w:r>
      <w:r>
        <w:t>WG Style update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DF1433" w15:done="0"/>
  <w15:commentEx w15:paraId="20169470" w15:done="0"/>
  <w15:commentEx w15:paraId="1D495119" w15:done="0"/>
  <w15:commentEx w15:paraId="20B8FFB4" w15:done="0"/>
  <w15:commentEx w15:paraId="74366B23" w15:done="0"/>
  <w15:commentEx w15:paraId="66B91A3E" w15:done="0"/>
  <w15:commentEx w15:paraId="2B56CC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F25C" w14:textId="77777777" w:rsidR="00D21E32" w:rsidRDefault="00D21E32">
      <w:r>
        <w:separator/>
      </w:r>
    </w:p>
  </w:endnote>
  <w:endnote w:type="continuationSeparator" w:id="0">
    <w:p w14:paraId="5DF46E28" w14:textId="77777777" w:rsidR="00D21E32" w:rsidRDefault="00D2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SegoeUI,Italic">
    <w:altName w:val="Cambria"/>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50560654" w:rsidR="005B1896" w:rsidRDefault="00AD3BFF">
    <w:pPr>
      <w:pStyle w:val="Footer"/>
      <w:tabs>
        <w:tab w:val="clear" w:pos="6480"/>
        <w:tab w:val="center" w:pos="4680"/>
        <w:tab w:val="right" w:pos="9360"/>
      </w:tabs>
    </w:pPr>
    <w:fldSimple w:instr=" SUBJECT  \* MERGEFORMAT ">
      <w:r w:rsidR="005B1896">
        <w:t>Submission</w:t>
      </w:r>
    </w:fldSimple>
    <w:r w:rsidR="005B1896">
      <w:tab/>
      <w:t xml:space="preserve">page </w:t>
    </w:r>
    <w:r w:rsidR="005B1896">
      <w:fldChar w:fldCharType="begin"/>
    </w:r>
    <w:r w:rsidR="005B1896">
      <w:instrText xml:space="preserve">page </w:instrText>
    </w:r>
    <w:r w:rsidR="005B1896">
      <w:fldChar w:fldCharType="separate"/>
    </w:r>
    <w:r w:rsidR="005B1896">
      <w:rPr>
        <w:noProof/>
      </w:rPr>
      <w:t>21</w:t>
    </w:r>
    <w:r w:rsidR="005B1896">
      <w:rPr>
        <w:noProof/>
      </w:rPr>
      <w:fldChar w:fldCharType="end"/>
    </w:r>
    <w:r w:rsidR="005B1896">
      <w:tab/>
    </w:r>
    <w:fldSimple w:instr=" COMMENTS  \* MERGEFORMAT ">
      <w:r w:rsidR="005B1896">
        <w:t>Robert Stacey, Intel</w:t>
      </w:r>
      <w:r w:rsidR="005B1896">
        <w:tab/>
      </w:r>
    </w:fldSimple>
  </w:p>
  <w:p w14:paraId="2E84C2CD" w14:textId="77777777" w:rsidR="005B1896" w:rsidRDefault="005B18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5717" w14:textId="77777777" w:rsidR="00D21E32" w:rsidRDefault="00D21E32">
      <w:r>
        <w:separator/>
      </w:r>
    </w:p>
  </w:footnote>
  <w:footnote w:type="continuationSeparator" w:id="0">
    <w:p w14:paraId="31A337AD" w14:textId="77777777" w:rsidR="00D21E32" w:rsidRDefault="00D21E32">
      <w:r>
        <w:continuationSeparator/>
      </w:r>
    </w:p>
  </w:footnote>
  <w:footnote w:id="1">
    <w:p w14:paraId="239FA80C" w14:textId="77777777" w:rsidR="005B1896" w:rsidRDefault="005B1896" w:rsidP="008D79B2">
      <w:pPr>
        <w:pStyle w:val="FootnoteText"/>
        <w:jc w:val="both"/>
      </w:pPr>
      <w:r>
        <w:rPr>
          <w:rStyle w:val="FootnoteReference"/>
        </w:rPr>
        <w:footnoteRef/>
      </w:r>
      <w:r>
        <w:t xml:space="preserve"> Note 802.11-2016 1.4 states: ‘If &lt;x&gt; represents a scalar field, scalar subfield, scalar parameter or scalar MIB attribute:</w:t>
      </w:r>
    </w:p>
    <w:p w14:paraId="3EFE928D" w14:textId="77777777" w:rsidR="005B1896" w:rsidRDefault="005B1896" w:rsidP="008D79B2">
      <w:pPr>
        <w:pStyle w:val="FootnoteText"/>
        <w:jc w:val="both"/>
      </w:pPr>
      <w:r>
        <w:t>— if “&lt;x&gt; is” is used in a context that relates to the testing or setting the value of “&lt;x&gt;” this usage is to</w:t>
      </w:r>
    </w:p>
    <w:p w14:paraId="4748FBEC" w14:textId="77777777" w:rsidR="005B1896" w:rsidRDefault="005B1896" w:rsidP="008D79B2">
      <w:pPr>
        <w:pStyle w:val="FootnoteText"/>
        <w:jc w:val="both"/>
      </w:pPr>
      <w:r>
        <w:t>be interpreted as though written “the value of &lt;x&gt; is”</w:t>
      </w:r>
    </w:p>
    <w:p w14:paraId="55F55843" w14:textId="77777777" w:rsidR="005B1896" w:rsidRDefault="005B1896" w:rsidP="008D79B2">
      <w:pPr>
        <w:pStyle w:val="FootnoteText"/>
        <w:jc w:val="both"/>
      </w:pPr>
      <w:r>
        <w:t>— “&lt;x&gt; indicate(s)” is to be interpreted as though written “the value of &lt;x&gt; indicate(s)”</w:t>
      </w:r>
    </w:p>
    <w:p w14:paraId="4047DFC7" w14:textId="77777777" w:rsidR="005B1896" w:rsidRDefault="005B1896" w:rsidP="008D79B2">
      <w:pPr>
        <w:pStyle w:val="FootnoteText"/>
        <w:jc w:val="both"/>
      </w:pPr>
      <w:r>
        <w:t>— “indicated by &lt;x&gt;” is to be interpreted as though written “indicated by the value of &lt;x&gt;”</w:t>
      </w:r>
    </w:p>
    <w:p w14:paraId="7458F4D0" w14:textId="62B03234" w:rsidR="005B1896" w:rsidRDefault="005B1896" w:rsidP="008D79B2">
      <w:pPr>
        <w:pStyle w:val="FootnoteText"/>
        <w:jc w:val="both"/>
      </w:pPr>
      <w:r>
        <w:t xml:space="preserve">— “&lt;x&gt; that indicate” </w:t>
      </w:r>
      <w:proofErr w:type="spellStart"/>
      <w:r>
        <w:t>isto</w:t>
      </w:r>
      <w:proofErr w:type="spellEnd"/>
      <w:r>
        <w:t xml:space="preserve"> be interpreted as though written “&lt;x&gt; whose value indicates</w:t>
      </w:r>
      <w:proofErr w:type="gramStart"/>
      <w:r>
        <w:t>” ’</w:t>
      </w:r>
      <w:proofErr w:type="gramEnd"/>
    </w:p>
  </w:footnote>
  <w:footnote w:id="2">
    <w:p w14:paraId="21EC319B" w14:textId="77777777" w:rsidR="005B1896" w:rsidRDefault="005B1896" w:rsidP="005362CD">
      <w:pPr>
        <w:pStyle w:val="FootnoteText"/>
        <w:jc w:val="both"/>
      </w:pPr>
      <w:r>
        <w:rPr>
          <w:rStyle w:val="FootnoteReference"/>
        </w:rPr>
        <w:footnoteRef/>
      </w:r>
      <w:r>
        <w:t xml:space="preserve"> Resource limits that are purely local are not relevant to the protocol and should not appear.   This is different from resource limits that are negotiated on-the-air.  These can be a proper subject of status codes.</w:t>
      </w:r>
    </w:p>
  </w:footnote>
  <w:footnote w:id="3">
    <w:p w14:paraId="7D37D30F" w14:textId="77777777" w:rsidR="005B1896" w:rsidRDefault="005B1896" w:rsidP="005362CD">
      <w:pPr>
        <w:pStyle w:val="FootnoteText"/>
        <w:jc w:val="both"/>
      </w:pPr>
      <w:r>
        <w:rPr>
          <w:rStyle w:val="FootnoteReference"/>
        </w:rPr>
        <w:footnoteRef/>
      </w:r>
      <w:r>
        <w:t xml:space="preserve"> See 11-11/0284 for a detailed rationale.   But in brief, the reason is that both SME and MLME are in equal possession of knowledge about what is valid, from the point of view of operation of the protocol.  The SME should not ask the MLME to do something that is invalid, and the MLME shouldn’t need to report such errors.</w:t>
      </w:r>
    </w:p>
  </w:footnote>
  <w:footnote w:id="4">
    <w:p w14:paraId="61A8D8CA" w14:textId="77777777" w:rsidR="005B1896" w:rsidRDefault="005B1896" w:rsidP="005362CD">
      <w:pPr>
        <w:pStyle w:val="FootnoteText"/>
        <w:jc w:val="both"/>
      </w:pPr>
      <w:r>
        <w:rPr>
          <w:rStyle w:val="FootnoteReference"/>
        </w:rPr>
        <w:footnoteRef/>
      </w:r>
      <w:r>
        <w:t xml:space="preserve"> These may appear when there is an MLME protocol described that generates such a timeout, or an SME protocol described that makes use of such an event.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5284751A" w:rsidR="005B1896" w:rsidRDefault="006647C6">
    <w:pPr>
      <w:pStyle w:val="Header"/>
      <w:tabs>
        <w:tab w:val="clear" w:pos="6480"/>
        <w:tab w:val="center" w:pos="4680"/>
        <w:tab w:val="right" w:pos="9360"/>
      </w:tabs>
    </w:pPr>
    <w:r>
      <w:t>March</w:t>
    </w:r>
    <w:r w:rsidR="005B1896">
      <w:t xml:space="preserve"> 202</w:t>
    </w:r>
    <w:r>
      <w:t>2</w:t>
    </w:r>
    <w:r w:rsidR="005B1896">
      <w:tab/>
    </w:r>
    <w:r w:rsidR="005B1896">
      <w:tab/>
    </w:r>
    <w:fldSimple w:instr=" TITLE  \* MERGEFORMAT ">
      <w:r w:rsidR="005B1896">
        <w:t>doc.: IEEE 802.11-09/1034r</w:t>
      </w:r>
      <w:r>
        <w:t>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838"/>
    <w:multiLevelType w:val="hybridMultilevel"/>
    <w:tmpl w:val="E6E0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414CC"/>
    <w:multiLevelType w:val="hybridMultilevel"/>
    <w:tmpl w:val="723A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038F9"/>
    <w:multiLevelType w:val="hybridMultilevel"/>
    <w:tmpl w:val="B28E7A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F217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BE52E9"/>
    <w:multiLevelType w:val="hybridMultilevel"/>
    <w:tmpl w:val="F12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86379"/>
    <w:multiLevelType w:val="hybridMultilevel"/>
    <w:tmpl w:val="C89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00C2D"/>
    <w:multiLevelType w:val="hybridMultilevel"/>
    <w:tmpl w:val="A2D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41260"/>
    <w:multiLevelType w:val="hybridMultilevel"/>
    <w:tmpl w:val="5DF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116F9"/>
    <w:multiLevelType w:val="hybridMultilevel"/>
    <w:tmpl w:val="E89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42F39"/>
    <w:multiLevelType w:val="hybridMultilevel"/>
    <w:tmpl w:val="C42C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17479"/>
    <w:multiLevelType w:val="hybridMultilevel"/>
    <w:tmpl w:val="4B3E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80123"/>
    <w:multiLevelType w:val="hybridMultilevel"/>
    <w:tmpl w:val="A3E2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D3C55"/>
    <w:multiLevelType w:val="hybridMultilevel"/>
    <w:tmpl w:val="6CC4F8F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38B11137"/>
    <w:multiLevelType w:val="hybridMultilevel"/>
    <w:tmpl w:val="4364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85FA6"/>
    <w:multiLevelType w:val="hybridMultilevel"/>
    <w:tmpl w:val="436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A3EB1"/>
    <w:multiLevelType w:val="hybridMultilevel"/>
    <w:tmpl w:val="BCD6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42025"/>
    <w:multiLevelType w:val="hybridMultilevel"/>
    <w:tmpl w:val="A510E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440F07"/>
    <w:multiLevelType w:val="hybridMultilevel"/>
    <w:tmpl w:val="881A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82B76"/>
    <w:multiLevelType w:val="hybridMultilevel"/>
    <w:tmpl w:val="3208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D0755"/>
    <w:multiLevelType w:val="hybridMultilevel"/>
    <w:tmpl w:val="CD72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F489B"/>
    <w:multiLevelType w:val="hybridMultilevel"/>
    <w:tmpl w:val="329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D2745"/>
    <w:multiLevelType w:val="hybridMultilevel"/>
    <w:tmpl w:val="61AC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3C1315"/>
    <w:multiLevelType w:val="hybridMultilevel"/>
    <w:tmpl w:val="6C0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1718D"/>
    <w:multiLevelType w:val="hybridMultilevel"/>
    <w:tmpl w:val="4A20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B44528"/>
    <w:multiLevelType w:val="hybridMultilevel"/>
    <w:tmpl w:val="8E32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D648FF"/>
    <w:multiLevelType w:val="hybridMultilevel"/>
    <w:tmpl w:val="35AEA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8B7948"/>
    <w:multiLevelType w:val="hybridMultilevel"/>
    <w:tmpl w:val="39388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A47229"/>
    <w:multiLevelType w:val="hybridMultilevel"/>
    <w:tmpl w:val="B95C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952E7"/>
    <w:multiLevelType w:val="hybridMultilevel"/>
    <w:tmpl w:val="628612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CC507A"/>
    <w:multiLevelType w:val="hybridMultilevel"/>
    <w:tmpl w:val="0DE08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11"/>
  </w:num>
  <w:num w:numId="5">
    <w:abstractNumId w:val="9"/>
  </w:num>
  <w:num w:numId="6">
    <w:abstractNumId w:val="14"/>
  </w:num>
  <w:num w:numId="7">
    <w:abstractNumId w:val="21"/>
  </w:num>
  <w:num w:numId="8">
    <w:abstractNumId w:val="12"/>
  </w:num>
  <w:num w:numId="9">
    <w:abstractNumId w:val="8"/>
  </w:num>
  <w:num w:numId="10">
    <w:abstractNumId w:val="36"/>
  </w:num>
  <w:num w:numId="11">
    <w:abstractNumId w:val="28"/>
  </w:num>
  <w:num w:numId="12">
    <w:abstractNumId w:val="6"/>
  </w:num>
  <w:num w:numId="13">
    <w:abstractNumId w:val="19"/>
  </w:num>
  <w:num w:numId="14">
    <w:abstractNumId w:val="32"/>
  </w:num>
  <w:num w:numId="15">
    <w:abstractNumId w:val="10"/>
  </w:num>
  <w:num w:numId="16">
    <w:abstractNumId w:val="27"/>
  </w:num>
  <w:num w:numId="17">
    <w:abstractNumId w:val="31"/>
  </w:num>
  <w:num w:numId="18">
    <w:abstractNumId w:val="24"/>
  </w:num>
  <w:num w:numId="19">
    <w:abstractNumId w:val="18"/>
  </w:num>
  <w:num w:numId="20">
    <w:abstractNumId w:val="29"/>
  </w:num>
  <w:num w:numId="21">
    <w:abstractNumId w:val="33"/>
  </w:num>
  <w:num w:numId="22">
    <w:abstractNumId w:val="2"/>
  </w:num>
  <w:num w:numId="23">
    <w:abstractNumId w:val="37"/>
  </w:num>
  <w:num w:numId="24">
    <w:abstractNumId w:val="5"/>
  </w:num>
  <w:num w:numId="25">
    <w:abstractNumId w:val="22"/>
  </w:num>
  <w:num w:numId="26">
    <w:abstractNumId w:val="26"/>
  </w:num>
  <w:num w:numId="27">
    <w:abstractNumId w:val="0"/>
  </w:num>
  <w:num w:numId="28">
    <w:abstractNumId w:val="35"/>
  </w:num>
  <w:num w:numId="29">
    <w:abstractNumId w:val="25"/>
  </w:num>
  <w:num w:numId="30">
    <w:abstractNumId w:val="16"/>
  </w:num>
  <w:num w:numId="31">
    <w:abstractNumId w:val="3"/>
  </w:num>
  <w:num w:numId="32">
    <w:abstractNumId w:val="34"/>
  </w:num>
  <w:num w:numId="33">
    <w:abstractNumId w:val="17"/>
  </w:num>
  <w:num w:numId="34">
    <w:abstractNumId w:val="30"/>
  </w:num>
  <w:num w:numId="35">
    <w:abstractNumId w:val="23"/>
  </w:num>
  <w:num w:numId="36">
    <w:abstractNumId w:val="13"/>
  </w:num>
  <w:num w:numId="37">
    <w:abstractNumId w:val="7"/>
  </w:num>
  <w:num w:numId="38">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20F54"/>
    <w:rsid w:val="000210A1"/>
    <w:rsid w:val="00025CC4"/>
    <w:rsid w:val="00051FA0"/>
    <w:rsid w:val="0006060F"/>
    <w:rsid w:val="0006226E"/>
    <w:rsid w:val="00064E3D"/>
    <w:rsid w:val="000737BC"/>
    <w:rsid w:val="0007726F"/>
    <w:rsid w:val="00077D25"/>
    <w:rsid w:val="000817C1"/>
    <w:rsid w:val="00083CC7"/>
    <w:rsid w:val="00091639"/>
    <w:rsid w:val="000A31AD"/>
    <w:rsid w:val="000A5972"/>
    <w:rsid w:val="000A5E71"/>
    <w:rsid w:val="000C2DB0"/>
    <w:rsid w:val="000C5CFC"/>
    <w:rsid w:val="000C6EC4"/>
    <w:rsid w:val="000F136B"/>
    <w:rsid w:val="000F2EC5"/>
    <w:rsid w:val="000F71C2"/>
    <w:rsid w:val="001002CA"/>
    <w:rsid w:val="00100514"/>
    <w:rsid w:val="00105488"/>
    <w:rsid w:val="00110919"/>
    <w:rsid w:val="00111EA1"/>
    <w:rsid w:val="001135AB"/>
    <w:rsid w:val="001206DC"/>
    <w:rsid w:val="001346EE"/>
    <w:rsid w:val="00136770"/>
    <w:rsid w:val="0013766F"/>
    <w:rsid w:val="00137FFD"/>
    <w:rsid w:val="00142C2B"/>
    <w:rsid w:val="001453AF"/>
    <w:rsid w:val="00145A88"/>
    <w:rsid w:val="001673AF"/>
    <w:rsid w:val="00167F24"/>
    <w:rsid w:val="001762F3"/>
    <w:rsid w:val="00180A4C"/>
    <w:rsid w:val="001865A3"/>
    <w:rsid w:val="00192F8C"/>
    <w:rsid w:val="00194DD2"/>
    <w:rsid w:val="001964FB"/>
    <w:rsid w:val="001A3997"/>
    <w:rsid w:val="001A44F6"/>
    <w:rsid w:val="001C0E5E"/>
    <w:rsid w:val="001C47B4"/>
    <w:rsid w:val="001D2606"/>
    <w:rsid w:val="001D4E61"/>
    <w:rsid w:val="001E412A"/>
    <w:rsid w:val="002234C5"/>
    <w:rsid w:val="002325C9"/>
    <w:rsid w:val="002438FB"/>
    <w:rsid w:val="00255150"/>
    <w:rsid w:val="002620AE"/>
    <w:rsid w:val="002735C1"/>
    <w:rsid w:val="002922A0"/>
    <w:rsid w:val="00295693"/>
    <w:rsid w:val="002A4655"/>
    <w:rsid w:val="002B577F"/>
    <w:rsid w:val="002B6348"/>
    <w:rsid w:val="002B6B6D"/>
    <w:rsid w:val="002D45B5"/>
    <w:rsid w:val="002D5D1C"/>
    <w:rsid w:val="002E0D5D"/>
    <w:rsid w:val="002E4CBA"/>
    <w:rsid w:val="002E6B44"/>
    <w:rsid w:val="002F24F8"/>
    <w:rsid w:val="002F54B9"/>
    <w:rsid w:val="00321F7B"/>
    <w:rsid w:val="003250FA"/>
    <w:rsid w:val="003257AB"/>
    <w:rsid w:val="00327445"/>
    <w:rsid w:val="00327F6F"/>
    <w:rsid w:val="00333B4A"/>
    <w:rsid w:val="003370E2"/>
    <w:rsid w:val="003430D2"/>
    <w:rsid w:val="003441F2"/>
    <w:rsid w:val="0035144A"/>
    <w:rsid w:val="00352794"/>
    <w:rsid w:val="00353CAA"/>
    <w:rsid w:val="003551F8"/>
    <w:rsid w:val="00356611"/>
    <w:rsid w:val="003607A3"/>
    <w:rsid w:val="00362423"/>
    <w:rsid w:val="0036389B"/>
    <w:rsid w:val="003651F6"/>
    <w:rsid w:val="00382AF4"/>
    <w:rsid w:val="00382DFC"/>
    <w:rsid w:val="00390776"/>
    <w:rsid w:val="003A1404"/>
    <w:rsid w:val="003A202A"/>
    <w:rsid w:val="003B103A"/>
    <w:rsid w:val="003B23DB"/>
    <w:rsid w:val="003E156A"/>
    <w:rsid w:val="003E35D7"/>
    <w:rsid w:val="003E6282"/>
    <w:rsid w:val="003F0497"/>
    <w:rsid w:val="003F27A6"/>
    <w:rsid w:val="003F2C81"/>
    <w:rsid w:val="0041287B"/>
    <w:rsid w:val="00414F91"/>
    <w:rsid w:val="00422A48"/>
    <w:rsid w:val="00425CE8"/>
    <w:rsid w:val="00436155"/>
    <w:rsid w:val="0043776D"/>
    <w:rsid w:val="00440303"/>
    <w:rsid w:val="00442037"/>
    <w:rsid w:val="00442E2A"/>
    <w:rsid w:val="004440CB"/>
    <w:rsid w:val="00447976"/>
    <w:rsid w:val="00452E87"/>
    <w:rsid w:val="00453E37"/>
    <w:rsid w:val="00455A37"/>
    <w:rsid w:val="00460992"/>
    <w:rsid w:val="00465E2E"/>
    <w:rsid w:val="00466E5F"/>
    <w:rsid w:val="00480424"/>
    <w:rsid w:val="00485D36"/>
    <w:rsid w:val="00494C2F"/>
    <w:rsid w:val="00495327"/>
    <w:rsid w:val="0049752C"/>
    <w:rsid w:val="004A2D07"/>
    <w:rsid w:val="004B307D"/>
    <w:rsid w:val="004D4C24"/>
    <w:rsid w:val="004E7450"/>
    <w:rsid w:val="004F044A"/>
    <w:rsid w:val="004F4248"/>
    <w:rsid w:val="00517242"/>
    <w:rsid w:val="00522458"/>
    <w:rsid w:val="005350DC"/>
    <w:rsid w:val="005362CD"/>
    <w:rsid w:val="00537C16"/>
    <w:rsid w:val="0054443A"/>
    <w:rsid w:val="005462D3"/>
    <w:rsid w:val="005476DD"/>
    <w:rsid w:val="00575ECE"/>
    <w:rsid w:val="005773E6"/>
    <w:rsid w:val="00591A71"/>
    <w:rsid w:val="00596D29"/>
    <w:rsid w:val="005A7FE0"/>
    <w:rsid w:val="005B1896"/>
    <w:rsid w:val="005B4009"/>
    <w:rsid w:val="005C28B4"/>
    <w:rsid w:val="005C59CC"/>
    <w:rsid w:val="005E4345"/>
    <w:rsid w:val="005F30AC"/>
    <w:rsid w:val="00605A13"/>
    <w:rsid w:val="00610673"/>
    <w:rsid w:val="00611BBE"/>
    <w:rsid w:val="006135B1"/>
    <w:rsid w:val="0061586D"/>
    <w:rsid w:val="006208AD"/>
    <w:rsid w:val="0062280C"/>
    <w:rsid w:val="006301B0"/>
    <w:rsid w:val="00630391"/>
    <w:rsid w:val="00635B52"/>
    <w:rsid w:val="00647E3F"/>
    <w:rsid w:val="00651727"/>
    <w:rsid w:val="006518B8"/>
    <w:rsid w:val="006647C6"/>
    <w:rsid w:val="0066605D"/>
    <w:rsid w:val="00670904"/>
    <w:rsid w:val="00677A86"/>
    <w:rsid w:val="00687972"/>
    <w:rsid w:val="00691AD3"/>
    <w:rsid w:val="006922F0"/>
    <w:rsid w:val="00695A44"/>
    <w:rsid w:val="006A50F1"/>
    <w:rsid w:val="006B2230"/>
    <w:rsid w:val="006C767C"/>
    <w:rsid w:val="006D09F7"/>
    <w:rsid w:val="006D6272"/>
    <w:rsid w:val="006E145F"/>
    <w:rsid w:val="006E2D40"/>
    <w:rsid w:val="006F45A4"/>
    <w:rsid w:val="006F564E"/>
    <w:rsid w:val="0070615C"/>
    <w:rsid w:val="007069CB"/>
    <w:rsid w:val="00726CB9"/>
    <w:rsid w:val="00737C13"/>
    <w:rsid w:val="00737C80"/>
    <w:rsid w:val="00747AF6"/>
    <w:rsid w:val="0075364A"/>
    <w:rsid w:val="00770572"/>
    <w:rsid w:val="00790540"/>
    <w:rsid w:val="0079058F"/>
    <w:rsid w:val="00790A82"/>
    <w:rsid w:val="00792251"/>
    <w:rsid w:val="007A1AC2"/>
    <w:rsid w:val="007A45FF"/>
    <w:rsid w:val="007C0203"/>
    <w:rsid w:val="007C54BB"/>
    <w:rsid w:val="007C5D47"/>
    <w:rsid w:val="007C7DD1"/>
    <w:rsid w:val="007D6D0F"/>
    <w:rsid w:val="007E221D"/>
    <w:rsid w:val="007E4638"/>
    <w:rsid w:val="007E54C7"/>
    <w:rsid w:val="007F0DC1"/>
    <w:rsid w:val="007F37E3"/>
    <w:rsid w:val="007F405B"/>
    <w:rsid w:val="007F5319"/>
    <w:rsid w:val="00810966"/>
    <w:rsid w:val="00824793"/>
    <w:rsid w:val="008248CB"/>
    <w:rsid w:val="0082610A"/>
    <w:rsid w:val="00834BD3"/>
    <w:rsid w:val="00837797"/>
    <w:rsid w:val="00844F6F"/>
    <w:rsid w:val="008741F6"/>
    <w:rsid w:val="008A463F"/>
    <w:rsid w:val="008A6FC8"/>
    <w:rsid w:val="008B473A"/>
    <w:rsid w:val="008C6C89"/>
    <w:rsid w:val="008D2EF6"/>
    <w:rsid w:val="008D58CD"/>
    <w:rsid w:val="008D6A17"/>
    <w:rsid w:val="008D79B2"/>
    <w:rsid w:val="008E15A6"/>
    <w:rsid w:val="008E2B30"/>
    <w:rsid w:val="008F23BE"/>
    <w:rsid w:val="00907A76"/>
    <w:rsid w:val="00907ACF"/>
    <w:rsid w:val="00913BC7"/>
    <w:rsid w:val="0091708F"/>
    <w:rsid w:val="00924E2B"/>
    <w:rsid w:val="00940FE1"/>
    <w:rsid w:val="0094285B"/>
    <w:rsid w:val="009513AC"/>
    <w:rsid w:val="00952763"/>
    <w:rsid w:val="00954A40"/>
    <w:rsid w:val="00954D6E"/>
    <w:rsid w:val="00960D25"/>
    <w:rsid w:val="009676C1"/>
    <w:rsid w:val="00973F61"/>
    <w:rsid w:val="009833A1"/>
    <w:rsid w:val="0099034C"/>
    <w:rsid w:val="00992FA7"/>
    <w:rsid w:val="009942A4"/>
    <w:rsid w:val="00994FF2"/>
    <w:rsid w:val="00996A95"/>
    <w:rsid w:val="009A13A4"/>
    <w:rsid w:val="009A4CCC"/>
    <w:rsid w:val="009B1D7A"/>
    <w:rsid w:val="009B2C51"/>
    <w:rsid w:val="009B45B7"/>
    <w:rsid w:val="009B5E1A"/>
    <w:rsid w:val="009C34C8"/>
    <w:rsid w:val="009C40F3"/>
    <w:rsid w:val="009C4225"/>
    <w:rsid w:val="009C751F"/>
    <w:rsid w:val="009D6356"/>
    <w:rsid w:val="009E1436"/>
    <w:rsid w:val="009F0CFC"/>
    <w:rsid w:val="009F7DAB"/>
    <w:rsid w:val="00A06B3D"/>
    <w:rsid w:val="00A124BD"/>
    <w:rsid w:val="00A16D3E"/>
    <w:rsid w:val="00A22715"/>
    <w:rsid w:val="00A243D7"/>
    <w:rsid w:val="00A32255"/>
    <w:rsid w:val="00A3306F"/>
    <w:rsid w:val="00A36794"/>
    <w:rsid w:val="00A44052"/>
    <w:rsid w:val="00A50378"/>
    <w:rsid w:val="00A54FC1"/>
    <w:rsid w:val="00A7785B"/>
    <w:rsid w:val="00A82FC4"/>
    <w:rsid w:val="00A8392C"/>
    <w:rsid w:val="00A94F13"/>
    <w:rsid w:val="00A9524D"/>
    <w:rsid w:val="00A96AD3"/>
    <w:rsid w:val="00AA427C"/>
    <w:rsid w:val="00AA50BF"/>
    <w:rsid w:val="00AC3A69"/>
    <w:rsid w:val="00AD3BFF"/>
    <w:rsid w:val="00AE0463"/>
    <w:rsid w:val="00AE2915"/>
    <w:rsid w:val="00AE70FC"/>
    <w:rsid w:val="00AF2A07"/>
    <w:rsid w:val="00AF5514"/>
    <w:rsid w:val="00B074B8"/>
    <w:rsid w:val="00B1767D"/>
    <w:rsid w:val="00B22DB2"/>
    <w:rsid w:val="00B2427E"/>
    <w:rsid w:val="00B32CF0"/>
    <w:rsid w:val="00B33DAC"/>
    <w:rsid w:val="00B35E1A"/>
    <w:rsid w:val="00B36719"/>
    <w:rsid w:val="00B36AEC"/>
    <w:rsid w:val="00B460CF"/>
    <w:rsid w:val="00B5042C"/>
    <w:rsid w:val="00B52E93"/>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55A7"/>
    <w:rsid w:val="00C2087A"/>
    <w:rsid w:val="00C26520"/>
    <w:rsid w:val="00C304CA"/>
    <w:rsid w:val="00C3389F"/>
    <w:rsid w:val="00C3451A"/>
    <w:rsid w:val="00C353DA"/>
    <w:rsid w:val="00C4125D"/>
    <w:rsid w:val="00C4411A"/>
    <w:rsid w:val="00C473A2"/>
    <w:rsid w:val="00C52F95"/>
    <w:rsid w:val="00C56B3C"/>
    <w:rsid w:val="00C60496"/>
    <w:rsid w:val="00C6406C"/>
    <w:rsid w:val="00C66591"/>
    <w:rsid w:val="00C67CF6"/>
    <w:rsid w:val="00C71DD0"/>
    <w:rsid w:val="00C740ED"/>
    <w:rsid w:val="00C87438"/>
    <w:rsid w:val="00C911A8"/>
    <w:rsid w:val="00CA09B2"/>
    <w:rsid w:val="00CA6E7E"/>
    <w:rsid w:val="00CA7276"/>
    <w:rsid w:val="00CD709D"/>
    <w:rsid w:val="00CE0F4C"/>
    <w:rsid w:val="00CF363C"/>
    <w:rsid w:val="00CF722A"/>
    <w:rsid w:val="00D03A91"/>
    <w:rsid w:val="00D12D5D"/>
    <w:rsid w:val="00D21E32"/>
    <w:rsid w:val="00D256D8"/>
    <w:rsid w:val="00D26733"/>
    <w:rsid w:val="00D315FE"/>
    <w:rsid w:val="00D40EB7"/>
    <w:rsid w:val="00D43DE2"/>
    <w:rsid w:val="00D559B3"/>
    <w:rsid w:val="00D76E2B"/>
    <w:rsid w:val="00D77EEC"/>
    <w:rsid w:val="00D82AB4"/>
    <w:rsid w:val="00DA0A35"/>
    <w:rsid w:val="00DA158B"/>
    <w:rsid w:val="00DA6E5B"/>
    <w:rsid w:val="00DB2384"/>
    <w:rsid w:val="00DB4328"/>
    <w:rsid w:val="00DB7A3B"/>
    <w:rsid w:val="00DD5E42"/>
    <w:rsid w:val="00DD6956"/>
    <w:rsid w:val="00DD7EE2"/>
    <w:rsid w:val="00DE54A4"/>
    <w:rsid w:val="00DF0904"/>
    <w:rsid w:val="00DF490C"/>
    <w:rsid w:val="00DF4A06"/>
    <w:rsid w:val="00E05C24"/>
    <w:rsid w:val="00E11C4C"/>
    <w:rsid w:val="00E23AD1"/>
    <w:rsid w:val="00E36D13"/>
    <w:rsid w:val="00E4323C"/>
    <w:rsid w:val="00E6229C"/>
    <w:rsid w:val="00E87A6A"/>
    <w:rsid w:val="00EB2B37"/>
    <w:rsid w:val="00EB2F51"/>
    <w:rsid w:val="00EC50FB"/>
    <w:rsid w:val="00EC6565"/>
    <w:rsid w:val="00ED0691"/>
    <w:rsid w:val="00EE040F"/>
    <w:rsid w:val="00EE14BF"/>
    <w:rsid w:val="00EE3EFF"/>
    <w:rsid w:val="00EF1CFC"/>
    <w:rsid w:val="00EF2097"/>
    <w:rsid w:val="00EF6842"/>
    <w:rsid w:val="00F0145C"/>
    <w:rsid w:val="00F107BB"/>
    <w:rsid w:val="00F215C4"/>
    <w:rsid w:val="00F26211"/>
    <w:rsid w:val="00F31649"/>
    <w:rsid w:val="00F324E9"/>
    <w:rsid w:val="00F55859"/>
    <w:rsid w:val="00F6798E"/>
    <w:rsid w:val="00F71AF7"/>
    <w:rsid w:val="00F907E3"/>
    <w:rsid w:val="00F94667"/>
    <w:rsid w:val="00F9501E"/>
    <w:rsid w:val="00FA1C78"/>
    <w:rsid w:val="00FA1FF2"/>
    <w:rsid w:val="00FA20E8"/>
    <w:rsid w:val="00FA747E"/>
    <w:rsid w:val="00FC4D36"/>
    <w:rsid w:val="00FC637C"/>
    <w:rsid w:val="00FD01E2"/>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9513AC"/>
    <w:pPr>
      <w:keepNext/>
      <w:keepLines/>
      <w:pageBreakBefore/>
      <w:numPr>
        <w:numId w:val="3"/>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3"/>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3"/>
      </w:numPr>
      <w:spacing w:before="240" w:after="60"/>
      <w:outlineLvl w:val="2"/>
    </w:pPr>
    <w:rPr>
      <w:rFonts w:ascii="Arial" w:hAnsi="Arial"/>
      <w:b/>
      <w:sz w:val="24"/>
    </w:rPr>
  </w:style>
  <w:style w:type="paragraph" w:styleId="Heading4">
    <w:name w:val="heading 4"/>
    <w:basedOn w:val="Normal"/>
    <w:qFormat/>
    <w:rsid w:val="00677A86"/>
    <w:pPr>
      <w:numPr>
        <w:ilvl w:val="3"/>
        <w:numId w:val="3"/>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13AC"/>
    <w:rPr>
      <w:rFonts w:ascii="Arial" w:hAnsi="Arial"/>
      <w:b/>
      <w:sz w:val="32"/>
      <w:u w:val="single"/>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SP8262264">
    <w:name w:val="SP.8.262264"/>
    <w:basedOn w:val="Normal"/>
    <w:next w:val="Normal"/>
    <w:uiPriority w:val="99"/>
    <w:rsid w:val="00D12D5D"/>
    <w:pPr>
      <w:autoSpaceDE w:val="0"/>
      <w:autoSpaceDN w:val="0"/>
      <w:adjustRightInd w:val="0"/>
    </w:pPr>
    <w:rPr>
      <w:sz w:val="24"/>
      <w:szCs w:val="24"/>
      <w:lang w:val="en-US"/>
    </w:rPr>
  </w:style>
  <w:style w:type="paragraph" w:customStyle="1" w:styleId="SP8262340">
    <w:name w:val="SP.8.262340"/>
    <w:basedOn w:val="Normal"/>
    <w:next w:val="Normal"/>
    <w:uiPriority w:val="99"/>
    <w:rsid w:val="00D12D5D"/>
    <w:pPr>
      <w:autoSpaceDE w:val="0"/>
      <w:autoSpaceDN w:val="0"/>
      <w:adjustRightInd w:val="0"/>
    </w:pPr>
    <w:rPr>
      <w:sz w:val="24"/>
      <w:szCs w:val="24"/>
      <w:lang w:val="en-US"/>
    </w:rPr>
  </w:style>
  <w:style w:type="paragraph" w:customStyle="1" w:styleId="SP8262318">
    <w:name w:val="SP.8.262318"/>
    <w:basedOn w:val="Normal"/>
    <w:next w:val="Normal"/>
    <w:uiPriority w:val="99"/>
    <w:rsid w:val="00D12D5D"/>
    <w:pPr>
      <w:autoSpaceDE w:val="0"/>
      <w:autoSpaceDN w:val="0"/>
      <w:adjustRightInd w:val="0"/>
    </w:pPr>
    <w:rPr>
      <w:sz w:val="24"/>
      <w:szCs w:val="24"/>
      <w:lang w:val="en-US"/>
    </w:rPr>
  </w:style>
  <w:style w:type="character" w:customStyle="1" w:styleId="SC8204815">
    <w:name w:val="SC.8.204815"/>
    <w:uiPriority w:val="99"/>
    <w:rsid w:val="00D12D5D"/>
    <w:rPr>
      <w:b/>
      <w:bCs/>
      <w:i/>
      <w:iCs/>
      <w:color w:val="000000"/>
      <w:sz w:val="22"/>
      <w:szCs w:val="22"/>
    </w:rPr>
  </w:style>
  <w:style w:type="paragraph" w:customStyle="1" w:styleId="SP8262356">
    <w:name w:val="SP.8.262356"/>
    <w:basedOn w:val="Normal"/>
    <w:next w:val="Normal"/>
    <w:uiPriority w:val="99"/>
    <w:rsid w:val="00D12D5D"/>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9375186">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www.techstreet.com/cgi-bin/detail?product_id=15889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hyperlink" Target="http://dictionary.ieee.org/dictionary_welcom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624F4-38A8-415E-A893-012DEF1B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2716</TotalTime>
  <Pages>23</Pages>
  <Words>6970</Words>
  <Characters>39734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doc.: IEEE 802.11-09/1034r18</vt:lpstr>
    </vt:vector>
  </TitlesOfParts>
  <Company>Intel Corporation</Company>
  <LinksUpToDate>false</LinksUpToDate>
  <CharactersWithSpaces>46611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802.11-09/1034r18</dc:title>
  <dc:subject>Submission</dc:subject>
  <dc:creator>Adrian Stephens</dc:creator>
  <cp:keywords>June 2021 (Draft r18)</cp:keywords>
  <dc:description/>
  <cp:lastModifiedBy>Stacey, Robert</cp:lastModifiedBy>
  <cp:revision>7</cp:revision>
  <cp:lastPrinted>1901-01-01T10:30:00Z</cp:lastPrinted>
  <dcterms:created xsi:type="dcterms:W3CDTF">2022-03-02T17:32:00Z</dcterms:created>
  <dcterms:modified xsi:type="dcterms:W3CDTF">2022-03-07T22:36:00Z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