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 w:rsidP="004A7C43">
            <w:pPr>
              <w:pStyle w:val="Title"/>
            </w:pPr>
            <w:bookmarkStart w:id="0" w:name="OLE_LINK150"/>
            <w:bookmarkStart w:id="1" w:name="OLE_LINK151"/>
            <w:r>
              <w:t>Minutes</w:t>
            </w:r>
            <w:r w:rsidR="00F65F1F">
              <w:t>,</w:t>
            </w:r>
            <w:r>
              <w:t xml:space="preserve"> </w:t>
            </w:r>
            <w:r w:rsidR="00F65F1F">
              <w:t>Nendica M</w:t>
            </w:r>
            <w:r w:rsidR="004A7C43">
              <w:t>eeting</w:t>
            </w:r>
            <w:r w:rsidR="00F65F1F">
              <w:t>, 6 March 2016</w:t>
            </w:r>
            <w:bookmarkEnd w:id="0"/>
            <w:bookmarkEnd w:id="1"/>
          </w:p>
        </w:tc>
      </w:tr>
      <w:tr w:rsidR="009A6DCD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tabs>
                <w:tab w:val="left" w:pos="3282"/>
              </w:tabs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                   2018-</w:t>
            </w:r>
            <w:r w:rsidR="00F65F1F">
              <w:rPr>
                <w:b/>
              </w:rPr>
              <w:t>03</w:t>
            </w:r>
            <w:r>
              <w:rPr>
                <w:b/>
              </w:rPr>
              <w:t>-1</w:t>
            </w:r>
            <w:r w:rsidR="00F93045">
              <w:rPr>
                <w:b/>
              </w:rPr>
              <w:t>9</w:t>
            </w:r>
          </w:p>
        </w:tc>
      </w:tr>
      <w:tr w:rsidR="009A6DCD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9A6DCD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6DCD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Walter Pienciak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IEEE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9A6DCD" w:rsidRDefault="00373F9D">
            <w:r>
              <w:t>w.pienciak@ieee.org</w:t>
            </w:r>
          </w:p>
        </w:tc>
      </w:tr>
    </w:tbl>
    <w:p w:rsidR="009A6DCD" w:rsidRDefault="009A6DCD"/>
    <w:p w:rsidR="009A6DCD" w:rsidRDefault="009A6DCD"/>
    <w:p w:rsidR="009A6DCD" w:rsidRDefault="009A6DCD"/>
    <w:p w:rsidR="009A6DCD" w:rsidRDefault="00373F9D">
      <w:pPr>
        <w:pStyle w:val="Heading2"/>
      </w:pPr>
      <w:r>
        <w:t>Abstract</w:t>
      </w:r>
    </w:p>
    <w:p w:rsidR="009A6DCD" w:rsidRDefault="009A6DCD"/>
    <w:p w:rsidR="009A6DCD" w:rsidRDefault="00373F9D">
      <w:r>
        <w:t>Minutes of the IEEE 802 Network Evolution for the Next Decade Industry Connecti</w:t>
      </w:r>
      <w:r w:rsidR="00311863">
        <w:t xml:space="preserve">ons </w:t>
      </w:r>
      <w:r w:rsidR="00F65F1F">
        <w:t xml:space="preserve">(Nendica) </w:t>
      </w:r>
      <w:r w:rsidR="004A7C43">
        <w:t xml:space="preserve">meeting in </w:t>
      </w:r>
      <w:r w:rsidR="00F65F1F">
        <w:t>Rosemont</w:t>
      </w:r>
      <w:r w:rsidR="004A7C43">
        <w:t>, IL, March 6</w:t>
      </w:r>
      <w:r>
        <w:t>, 2018.</w:t>
      </w:r>
    </w:p>
    <w:p w:rsidR="009A6DCD" w:rsidRDefault="009A6DCD" w:rsidP="00F93045">
      <w:pPr>
        <w:suppressAutoHyphens w:val="0"/>
        <w:spacing w:after="0" w:line="240" w:lineRule="auto"/>
        <w:jc w:val="center"/>
      </w:pPr>
      <w:bookmarkStart w:id="2" w:name="h.gjdgxs"/>
      <w:bookmarkEnd w:id="2"/>
    </w:p>
    <w:p w:rsidR="009A6DCD" w:rsidRDefault="00373F9D">
      <w:r>
        <w:t>Chair: Glenn Parsons</w:t>
      </w:r>
      <w:r w:rsidR="004A7C43">
        <w:t>, Roger Marks</w:t>
      </w:r>
    </w:p>
    <w:p w:rsidR="009A6DCD" w:rsidRDefault="00373F9D">
      <w:r>
        <w:t xml:space="preserve">Recording secretary: </w:t>
      </w:r>
      <w:r>
        <w:rPr>
          <w:lang w:eastAsia="zh-CN"/>
        </w:rPr>
        <w:t>Walter Pienciak</w:t>
      </w:r>
    </w:p>
    <w:p w:rsidR="009A6DCD" w:rsidRDefault="009A6DCD">
      <w:pPr>
        <w:rPr>
          <w:lang w:eastAsia="zh-CN"/>
        </w:rPr>
      </w:pPr>
    </w:p>
    <w:p w:rsidR="004A7C43" w:rsidRDefault="00373F9D" w:rsidP="004A7C43">
      <w:pPr>
        <w:pStyle w:val="Heading2"/>
      </w:pPr>
      <w:r>
        <w:t>Call to order</w:t>
      </w:r>
    </w:p>
    <w:p w:rsidR="004A7C43" w:rsidRPr="004A7C43" w:rsidRDefault="004A7C43" w:rsidP="004A7C43"/>
    <w:p w:rsidR="004A7C43" w:rsidRDefault="004A7C43" w:rsidP="004A7C43">
      <w:r>
        <w:t xml:space="preserve">Glenn Parsons began speaking at 19:34 </w:t>
      </w:r>
      <w:r w:rsidR="00F65F1F">
        <w:t>local</w:t>
      </w:r>
      <w:r>
        <w:t xml:space="preserve"> time.</w:t>
      </w:r>
    </w:p>
    <w:p w:rsidR="004A7C43" w:rsidRDefault="004A7C43" w:rsidP="004A7C43"/>
    <w:p w:rsidR="004A7C43" w:rsidRDefault="004A7C43" w:rsidP="004A7C43">
      <w:r>
        <w:t xml:space="preserve">He announced that Roger Marks has volunteered to lead the activity, and that he is happy to announce that Roger will lead the </w:t>
      </w:r>
      <w:r w:rsidR="006B0862">
        <w:t xml:space="preserve">Nendica </w:t>
      </w:r>
      <w:r>
        <w:t>group going forward.  Roger took over the mike at that point, as incoming chair, to run the meeting.</w:t>
      </w:r>
    </w:p>
    <w:p w:rsidR="009A6DCD" w:rsidRDefault="009A6DCD">
      <w:pPr>
        <w:pStyle w:val="Normal-bullet"/>
      </w:pPr>
    </w:p>
    <w:p w:rsidR="009A6DCD" w:rsidRDefault="00373F9D">
      <w:pPr>
        <w:pStyle w:val="Heading2"/>
      </w:pPr>
      <w:r>
        <w:rPr>
          <w:lang w:eastAsia="zh-CN"/>
        </w:rPr>
        <w:t>Minutes</w:t>
      </w:r>
    </w:p>
    <w:p w:rsidR="009A6DCD" w:rsidRDefault="009A6DCD">
      <w:pPr>
        <w:rPr>
          <w:lang w:eastAsia="zh-CN"/>
        </w:rPr>
      </w:pPr>
    </w:p>
    <w:p w:rsidR="009A6DCD" w:rsidRDefault="00373F9D">
      <w:pPr>
        <w:pStyle w:val="Normal-bullet"/>
      </w:pPr>
      <w:r>
        <w:rPr>
          <w:lang w:eastAsia="zh-CN"/>
        </w:rPr>
        <w:t xml:space="preserve">Walter Pienciak </w:t>
      </w:r>
      <w:r w:rsidR="003665FA">
        <w:rPr>
          <w:lang w:eastAsia="zh-CN"/>
        </w:rPr>
        <w:t>took</w:t>
      </w:r>
      <w:r>
        <w:rPr>
          <w:lang w:eastAsia="zh-CN"/>
        </w:rPr>
        <w:t xml:space="preserve"> notes.</w:t>
      </w:r>
    </w:p>
    <w:p w:rsidR="009A6DCD" w:rsidRDefault="009A6DCD">
      <w:pPr>
        <w:pStyle w:val="Normal-bullet"/>
        <w:rPr>
          <w:lang w:eastAsia="zh-CN"/>
        </w:rPr>
      </w:pPr>
    </w:p>
    <w:p w:rsidR="009A6DCD" w:rsidRDefault="00373F9D">
      <w:pPr>
        <w:pStyle w:val="Heading2"/>
      </w:pPr>
      <w:r>
        <w:rPr>
          <w:lang w:eastAsia="zh-CN"/>
        </w:rPr>
        <w:t>Introduction</w:t>
      </w:r>
    </w:p>
    <w:p w:rsidR="009A6DCD" w:rsidRDefault="009A6DCD">
      <w:pPr>
        <w:rPr>
          <w:lang w:eastAsia="zh-CN"/>
        </w:rPr>
      </w:pPr>
    </w:p>
    <w:p w:rsidR="003665FA" w:rsidRDefault="003665FA" w:rsidP="003665FA">
      <w:r>
        <w:t>Roger noted that he will use the term Nendica (Network Enhancements for the Next Decade Industry Connection Activity) for the group.</w:t>
      </w:r>
    </w:p>
    <w:p w:rsidR="003665FA" w:rsidRDefault="003665FA" w:rsidP="003665FA"/>
    <w:p w:rsidR="003665FA" w:rsidRDefault="003665FA" w:rsidP="003665FA">
      <w:r>
        <w:t>He noted that Glenn has done a great job leading the group and getting it to this point.</w:t>
      </w:r>
    </w:p>
    <w:p w:rsidR="003665FA" w:rsidRDefault="003665FA" w:rsidP="003665FA"/>
    <w:p w:rsidR="003665FA" w:rsidRDefault="003665FA" w:rsidP="003665FA">
      <w:r>
        <w:lastRenderedPageBreak/>
        <w:t>Roger commented that he has some proposals about how the group can be a bit more formal and progress the work.</w:t>
      </w:r>
    </w:p>
    <w:p w:rsidR="006B0862" w:rsidRDefault="006B0862" w:rsidP="003665FA"/>
    <w:p w:rsidR="003665FA" w:rsidRDefault="003E34CB" w:rsidP="003665FA">
      <w:pPr>
        <w:pStyle w:val="Heading2"/>
      </w:pPr>
      <w:r>
        <w:t>Activity</w:t>
      </w:r>
      <w:r w:rsidR="00B43E8B">
        <w:t xml:space="preserve"> g</w:t>
      </w:r>
      <w:r w:rsidR="003665FA">
        <w:t>uidelines</w:t>
      </w:r>
    </w:p>
    <w:p w:rsidR="003665FA" w:rsidRDefault="003665FA" w:rsidP="003665FA"/>
    <w:p w:rsidR="003E34CB" w:rsidRDefault="003665FA" w:rsidP="003665FA">
      <w:r>
        <w:t xml:space="preserve">Roger presented </w:t>
      </w:r>
      <w:r w:rsidR="003E34CB">
        <w:t>an introductory slide set:</w:t>
      </w:r>
    </w:p>
    <w:p w:rsidR="003E34CB" w:rsidRDefault="000478F8" w:rsidP="003E34CB">
      <w:hyperlink r:id="rId8">
        <w:r w:rsidR="003E34CB">
          <w:rPr>
            <w:rStyle w:val="InternetLink"/>
          </w:rPr>
          <w:t>https://mentor.ieee.org/802.1/dcn/18/1-18-0015-00-ICne-nendica-meeting-overview-and-agenda-2018-03-06.pptx</w:t>
        </w:r>
      </w:hyperlink>
    </w:p>
    <w:p w:rsidR="003665FA" w:rsidRDefault="003E34CB" w:rsidP="003665FA">
      <w:r>
        <w:t xml:space="preserve">including </w:t>
      </w:r>
      <w:r w:rsidR="003665FA">
        <w:t>meeting guidelines</w:t>
      </w:r>
      <w:r>
        <w:t xml:space="preserve"> (slide 2)</w:t>
      </w:r>
      <w:r w:rsidR="003665FA">
        <w:t xml:space="preserve"> and participation</w:t>
      </w:r>
      <w:r>
        <w:t xml:space="preserve"> (slide 3)</w:t>
      </w:r>
      <w:r w:rsidR="003665FA">
        <w:t>.</w:t>
      </w:r>
    </w:p>
    <w:p w:rsidR="003665FA" w:rsidRDefault="003665FA" w:rsidP="003665FA"/>
    <w:p w:rsidR="003665FA" w:rsidRDefault="003665FA" w:rsidP="003665FA">
      <w:pPr>
        <w:pStyle w:val="Heading2"/>
      </w:pPr>
      <w:r>
        <w:t>Agenda approval</w:t>
      </w:r>
    </w:p>
    <w:p w:rsidR="003665FA" w:rsidRDefault="003665FA" w:rsidP="003665FA"/>
    <w:p w:rsidR="003665FA" w:rsidRDefault="003665FA">
      <w:r>
        <w:t>Roger presented the proposed agenda</w:t>
      </w:r>
      <w:r w:rsidR="003E34CB">
        <w:t xml:space="preserve"> (slide 4)</w:t>
      </w:r>
      <w:r w:rsidR="00B76691">
        <w:t>.</w:t>
      </w:r>
      <w:r w:rsidR="003E34CB">
        <w:t xml:space="preserve"> </w:t>
      </w:r>
    </w:p>
    <w:p w:rsidR="003665FA" w:rsidRDefault="009B6347" w:rsidP="003665FA">
      <w:r>
        <w:t>Roger pointed o</w:t>
      </w:r>
      <w:r w:rsidR="00EE2563">
        <w:t>ut that</w:t>
      </w:r>
      <w:r>
        <w:t xml:space="preserve"> the agenda proposed to first address process issues, and he </w:t>
      </w:r>
      <w:r w:rsidR="003665FA">
        <w:t>noted the meeting may run past 21:30.</w:t>
      </w:r>
    </w:p>
    <w:p w:rsidR="003665FA" w:rsidRDefault="003665FA" w:rsidP="003665FA"/>
    <w:p w:rsidR="001C2197" w:rsidRDefault="003665FA" w:rsidP="000574B0">
      <w:r>
        <w:t xml:space="preserve">He asked for comments on the agenda.  Yin Yue mentioned that he would </w:t>
      </w:r>
      <w:r w:rsidR="003E34CB">
        <w:t xml:space="preserve">present document 0012 </w:t>
      </w:r>
      <w:r>
        <w:t>on behalf of Jianglong Wang, who could not attend.  The agenda was then approved</w:t>
      </w:r>
      <w:r w:rsidR="00E33579">
        <w:t xml:space="preserve"> as proposed, without objection</w:t>
      </w:r>
      <w:r>
        <w:t>.</w:t>
      </w:r>
    </w:p>
    <w:p w:rsidR="006B0862" w:rsidRDefault="006B0862">
      <w:pPr>
        <w:pStyle w:val="Heading2"/>
      </w:pPr>
      <w:bookmarkStart w:id="3" w:name="OLE_LINK137"/>
      <w:bookmarkStart w:id="4" w:name="OLE_LINK138"/>
      <w:bookmarkStart w:id="5" w:name="OLE_LINK135"/>
      <w:bookmarkStart w:id="6" w:name="OLE_LINK136"/>
      <w:bookmarkStart w:id="7" w:name="OLE_LINK139"/>
    </w:p>
    <w:p w:rsidR="009A6DCD" w:rsidRDefault="00373F9D">
      <w:pPr>
        <w:pStyle w:val="Heading2"/>
      </w:pPr>
      <w:r>
        <w:t>Background review</w:t>
      </w:r>
      <w:r w:rsidR="00B43E8B">
        <w:t xml:space="preserve"> and current activity</w:t>
      </w:r>
      <w:bookmarkEnd w:id="3"/>
      <w:bookmarkEnd w:id="4"/>
    </w:p>
    <w:bookmarkEnd w:id="5"/>
    <w:bookmarkEnd w:id="6"/>
    <w:bookmarkEnd w:id="7"/>
    <w:p w:rsidR="009A6DCD" w:rsidRDefault="009A6DCD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6B0862" w:rsidRDefault="00447F0E" w:rsidP="00135E7C">
      <w:pPr>
        <w:rPr>
          <w:szCs w:val="22"/>
        </w:rPr>
      </w:pPr>
      <w:r w:rsidRPr="00B43E8B">
        <w:rPr>
          <w:color w:val="222222"/>
          <w:szCs w:val="22"/>
        </w:rPr>
        <w:t xml:space="preserve">Roger led a </w:t>
      </w:r>
      <w:r w:rsidR="00373F9D" w:rsidRPr="00B43E8B">
        <w:rPr>
          <w:color w:val="222222"/>
          <w:szCs w:val="22"/>
        </w:rPr>
        <w:t xml:space="preserve">review of </w:t>
      </w:r>
      <w:r w:rsidR="009B6347">
        <w:rPr>
          <w:color w:val="222222"/>
          <w:szCs w:val="22"/>
        </w:rPr>
        <w:t>Nendica, per slides 5-7</w:t>
      </w:r>
      <w:r w:rsidR="00373F9D" w:rsidRPr="00B43E8B">
        <w:rPr>
          <w:color w:val="222222"/>
          <w:szCs w:val="22"/>
        </w:rPr>
        <w:t>.</w:t>
      </w:r>
      <w:r w:rsidR="00B43E8B" w:rsidRPr="00B43E8B">
        <w:rPr>
          <w:color w:val="222222"/>
          <w:szCs w:val="22"/>
        </w:rPr>
        <w:t xml:space="preserve"> </w:t>
      </w:r>
      <w:r w:rsidR="00B43E8B" w:rsidRPr="00B43E8B">
        <w:rPr>
          <w:szCs w:val="22"/>
        </w:rPr>
        <w:t xml:space="preserve">He noted that </w:t>
      </w:r>
      <w:r w:rsidR="00EE2563">
        <w:rPr>
          <w:szCs w:val="22"/>
        </w:rPr>
        <w:t>the</w:t>
      </w:r>
      <w:r w:rsidR="009B6347">
        <w:rPr>
          <w:szCs w:val="22"/>
        </w:rPr>
        <w:t xml:space="preserve"> ICA</w:t>
      </w:r>
      <w:r w:rsidR="009B6347" w:rsidRPr="00B43E8B">
        <w:rPr>
          <w:szCs w:val="22"/>
        </w:rPr>
        <w:t xml:space="preserve"> </w:t>
      </w:r>
      <w:r w:rsidR="009B6347">
        <w:rPr>
          <w:szCs w:val="22"/>
        </w:rPr>
        <w:t>could be</w:t>
      </w:r>
      <w:r w:rsidR="00B43E8B" w:rsidRPr="00B43E8B">
        <w:rPr>
          <w:szCs w:val="22"/>
        </w:rPr>
        <w:t xml:space="preserve"> extended </w:t>
      </w:r>
      <w:r w:rsidR="009B6347">
        <w:rPr>
          <w:szCs w:val="22"/>
        </w:rPr>
        <w:t xml:space="preserve">beyond the current March 2019 expiration </w:t>
      </w:r>
      <w:r w:rsidR="00B43E8B" w:rsidRPr="00B43E8B">
        <w:rPr>
          <w:szCs w:val="22"/>
        </w:rPr>
        <w:t xml:space="preserve">and that the group should be thinking about </w:t>
      </w:r>
      <w:r w:rsidR="009B6347">
        <w:rPr>
          <w:szCs w:val="22"/>
        </w:rPr>
        <w:t>such an extension</w:t>
      </w:r>
      <w:r w:rsidR="00B43E8B" w:rsidRPr="00B43E8B">
        <w:rPr>
          <w:szCs w:val="22"/>
        </w:rPr>
        <w:t xml:space="preserve"> by the end of the year if it looks to be moving in that direction.</w:t>
      </w:r>
    </w:p>
    <w:p w:rsidR="00135E7C" w:rsidRPr="00135E7C" w:rsidRDefault="00135E7C" w:rsidP="00135E7C">
      <w:pPr>
        <w:rPr>
          <w:rFonts w:ascii="arial;sans-serif" w:hAnsi="arial;sans-serif" w:hint="eastAsia"/>
          <w:color w:val="222222"/>
          <w:sz w:val="24"/>
        </w:rPr>
      </w:pPr>
    </w:p>
    <w:p w:rsidR="00342604" w:rsidRPr="00EE2563" w:rsidRDefault="00342604" w:rsidP="00EE2563">
      <w:pPr>
        <w:pStyle w:val="Heading2"/>
      </w:pPr>
      <w:r w:rsidRPr="00342604">
        <w:t>Report Progression Process</w:t>
      </w:r>
    </w:p>
    <w:p w:rsidR="00342604" w:rsidRDefault="00342604">
      <w:pPr>
        <w:spacing w:after="0"/>
        <w:rPr>
          <w:rFonts w:ascii="arial;sans-serif" w:hAnsi="arial;sans-serif" w:hint="eastAsia"/>
          <w:color w:val="222222"/>
          <w:sz w:val="24"/>
        </w:rPr>
      </w:pPr>
    </w:p>
    <w:p w:rsidR="00B43E8B" w:rsidRPr="00B43E8B" w:rsidRDefault="00342604">
      <w:pPr>
        <w:spacing w:after="0"/>
        <w:rPr>
          <w:color w:val="222222"/>
          <w:szCs w:val="22"/>
        </w:rPr>
      </w:pPr>
      <w:r>
        <w:rPr>
          <w:color w:val="222222"/>
          <w:szCs w:val="22"/>
        </w:rPr>
        <w:t>Roger</w:t>
      </w:r>
      <w:r w:rsidRPr="00B43E8B">
        <w:rPr>
          <w:color w:val="222222"/>
          <w:szCs w:val="22"/>
        </w:rPr>
        <w:t xml:space="preserve"> </w:t>
      </w:r>
      <w:r w:rsidR="00B43E8B" w:rsidRPr="00B43E8B">
        <w:rPr>
          <w:color w:val="222222"/>
          <w:szCs w:val="22"/>
        </w:rPr>
        <w:t xml:space="preserve">then presented his Proposed Nendica </w:t>
      </w:r>
      <w:bookmarkStart w:id="8" w:name="OLE_LINK140"/>
      <w:bookmarkStart w:id="9" w:name="OLE_LINK141"/>
      <w:r w:rsidR="00B43E8B" w:rsidRPr="00B43E8B">
        <w:rPr>
          <w:color w:val="222222"/>
          <w:szCs w:val="22"/>
        </w:rPr>
        <w:t>Report Progression Process</w:t>
      </w:r>
      <w:bookmarkEnd w:id="8"/>
      <w:bookmarkEnd w:id="9"/>
      <w:r w:rsidR="00B43E8B" w:rsidRPr="00B43E8B">
        <w:rPr>
          <w:color w:val="222222"/>
          <w:szCs w:val="22"/>
        </w:rPr>
        <w:t>:</w:t>
      </w:r>
    </w:p>
    <w:p w:rsidR="00B43E8B" w:rsidRDefault="000478F8">
      <w:pPr>
        <w:spacing w:after="0"/>
        <w:rPr>
          <w:rStyle w:val="InternetLink"/>
          <w:szCs w:val="22"/>
        </w:rPr>
      </w:pPr>
      <w:hyperlink r:id="rId9">
        <w:r w:rsidR="00B43E8B" w:rsidRPr="00B43E8B">
          <w:rPr>
            <w:rStyle w:val="InternetLink"/>
            <w:szCs w:val="22"/>
          </w:rPr>
          <w:t>https://mentor.ieee.org/802.1/dcn/18/1-18-0016-00-ICne-proposed-nendica-report-progression-process.pptx</w:t>
        </w:r>
      </w:hyperlink>
    </w:p>
    <w:p w:rsidR="00B22669" w:rsidRDefault="00B22669" w:rsidP="00B43E8B"/>
    <w:p w:rsidR="006B0862" w:rsidRPr="006B0862" w:rsidRDefault="006B0862" w:rsidP="006B0862">
      <w:r w:rsidRPr="006B0862">
        <w:t>This proposed to formalize the development of the NEND ICA report as a set of deliverables on specific topics. It suggested that work be organized as a set of semi-autonomous Work Items leading to Nendica Reports. The intentions are to steer the activity toward the production of high-quality documentation of significance, and to stimulate the engagement of interested parties in both the Work Item and Nendica as a whole</w:t>
      </w:r>
      <w:r>
        <w:t>.</w:t>
      </w:r>
    </w:p>
    <w:p w:rsidR="006B0862" w:rsidRDefault="006B0862" w:rsidP="00B22669"/>
    <w:p w:rsidR="00B22669" w:rsidRDefault="00B22669" w:rsidP="00B22669">
      <w:r>
        <w:t>The proposal included numerous procedural details for initiating Work Items and approved Nendica Reports. It indicated that new Work Items could be initiated by Nendica vote at a face-to-face meeting. It proposed that the two ongoing efforts (Flexible Factory IoT and Lossless Network for Data Centers) be recognized as approved Work Items.</w:t>
      </w:r>
    </w:p>
    <w:p w:rsidR="00B22669" w:rsidRDefault="00B22669" w:rsidP="00B43E8B"/>
    <w:p w:rsidR="00B43E8B" w:rsidRDefault="00B43E8B" w:rsidP="00B43E8B">
      <w:r>
        <w:lastRenderedPageBreak/>
        <w:t xml:space="preserve">Roger made the point that the IEEE copyright statement on the recently supplied template means </w:t>
      </w:r>
      <w:r w:rsidR="00AC73DD">
        <w:t xml:space="preserve">that IEEE </w:t>
      </w:r>
      <w:r>
        <w:t xml:space="preserve">approval </w:t>
      </w:r>
      <w:r w:rsidR="00AC73DD">
        <w:t xml:space="preserve">must </w:t>
      </w:r>
      <w:r>
        <w:t xml:space="preserve">be sought before </w:t>
      </w:r>
      <w:r w:rsidR="00AC73DD">
        <w:t xml:space="preserve">public </w:t>
      </w:r>
      <w:r>
        <w:t xml:space="preserve">circulation of </w:t>
      </w:r>
      <w:r w:rsidR="00AC73DD">
        <w:t xml:space="preserve">copyrighted </w:t>
      </w:r>
      <w:r>
        <w:t xml:space="preserve">report </w:t>
      </w:r>
      <w:r w:rsidR="00AC73DD">
        <w:t xml:space="preserve">drafts </w:t>
      </w:r>
      <w:r>
        <w:t>by the group.</w:t>
      </w:r>
      <w:r w:rsidR="00AC73DD">
        <w:t xml:space="preserve"> Marks indicated that he will consult with IEEE staff.</w:t>
      </w:r>
    </w:p>
    <w:p w:rsidR="00B43E8B" w:rsidRDefault="00B43E8B" w:rsidP="00B43E8B"/>
    <w:p w:rsidR="00B43E8B" w:rsidRDefault="00AC73DD" w:rsidP="00B43E8B">
      <w:r>
        <w:t xml:space="preserve">Marks </w:t>
      </w:r>
      <w:r w:rsidR="00B43E8B">
        <w:t xml:space="preserve">asked for discussion. </w:t>
      </w:r>
      <w:r w:rsidR="0005448A">
        <w:t>No objections were raise</w:t>
      </w:r>
      <w:r w:rsidR="00EE2563">
        <w:t>d</w:t>
      </w:r>
      <w:r w:rsidR="0005448A">
        <w:t xml:space="preserve"> regarding the proposals. </w:t>
      </w:r>
      <w:r w:rsidR="00B43E8B">
        <w:t>Nader Zein asked about the template for documents already in process.  Roger said the existing template can be continued, perhaps with some header modification to include the Nendica document number.</w:t>
      </w:r>
    </w:p>
    <w:p w:rsidR="006B0862" w:rsidRDefault="006B0862" w:rsidP="00B43E8B"/>
    <w:p w:rsidR="00B43E8B" w:rsidRPr="00B43E8B" w:rsidRDefault="00B43E8B">
      <w:pPr>
        <w:spacing w:after="0"/>
        <w:rPr>
          <w:color w:val="222222"/>
          <w:szCs w:val="22"/>
        </w:rPr>
      </w:pPr>
    </w:p>
    <w:p w:rsidR="00B43E8B" w:rsidRDefault="00B43E8B" w:rsidP="00B43E8B">
      <w:pPr>
        <w:rPr>
          <w:rFonts w:ascii="Arial" w:hAnsi="Arial" w:cs="Arial"/>
          <w:b/>
          <w:sz w:val="24"/>
          <w:szCs w:val="24"/>
        </w:rPr>
      </w:pPr>
      <w:r w:rsidRPr="00B43E8B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>st for Nendica IEEE</w:t>
      </w:r>
      <w:r w:rsidR="006B0862">
        <w:rPr>
          <w:rFonts w:ascii="Arial" w:hAnsi="Arial" w:cs="Arial"/>
          <w:b/>
          <w:sz w:val="24"/>
          <w:szCs w:val="24"/>
        </w:rPr>
        <w:t>-SA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B43E8B">
        <w:rPr>
          <w:rFonts w:ascii="Arial" w:hAnsi="Arial" w:cs="Arial"/>
          <w:b/>
          <w:sz w:val="24"/>
          <w:szCs w:val="24"/>
        </w:rPr>
        <w:t>dvisor</w:t>
      </w:r>
    </w:p>
    <w:p w:rsidR="00B43E8B" w:rsidRDefault="00B43E8B" w:rsidP="00B43E8B"/>
    <w:p w:rsidR="0005448A" w:rsidRDefault="0005448A" w:rsidP="0005448A">
      <w:r>
        <w:t>Roger presented a contribution regarding a Nendica IEEE-SA Advisor:</w:t>
      </w:r>
    </w:p>
    <w:p w:rsidR="0005448A" w:rsidRDefault="000478F8" w:rsidP="0005448A">
      <w:hyperlink r:id="rId10">
        <w:r w:rsidR="0005448A">
          <w:rPr>
            <w:rStyle w:val="InternetLink"/>
          </w:rPr>
          <w:t>https://mentor.ieee.org/802.1/dcn/18/1-18-0017-00-ICne-request-for-nendica-ieee-advisor.pptx</w:t>
        </w:r>
      </w:hyperlink>
    </w:p>
    <w:p w:rsidR="0005448A" w:rsidRDefault="0005448A" w:rsidP="00B43E8B"/>
    <w:p w:rsidR="00B43E8B" w:rsidRDefault="00B43E8B" w:rsidP="00B43E8B">
      <w:r>
        <w:t xml:space="preserve">Roger pointed out some relevant details from the group’s ICAID </w:t>
      </w:r>
      <w:r w:rsidR="0005448A">
        <w:t xml:space="preserve">(authorization documents) </w:t>
      </w:r>
      <w:r>
        <w:t xml:space="preserve">approved by the IEEE-SASB </w:t>
      </w:r>
      <w:r w:rsidR="0005448A">
        <w:t xml:space="preserve">on </w:t>
      </w:r>
      <w:r>
        <w:t>23 March 2017</w:t>
      </w:r>
      <w:r w:rsidR="0005448A">
        <w:t>,</w:t>
      </w:r>
      <w:r>
        <w:t xml:space="preserve"> and </w:t>
      </w:r>
      <w:r w:rsidR="0005448A">
        <w:t xml:space="preserve">also quoted from </w:t>
      </w:r>
      <w:r>
        <w:t>from the ICCom Operations Manual.</w:t>
      </w:r>
    </w:p>
    <w:p w:rsidR="00B43E8B" w:rsidRDefault="00B43E8B" w:rsidP="006B0862"/>
    <w:p w:rsidR="00B43E8B" w:rsidRDefault="00B43E8B" w:rsidP="00B43E8B">
      <w:bookmarkStart w:id="10" w:name="OLE_LINK142"/>
      <w:bookmarkStart w:id="11" w:name="OLE_LINK143"/>
      <w:r>
        <w:t xml:space="preserve">Roger presented </w:t>
      </w:r>
      <w:r w:rsidR="0005448A">
        <w:t xml:space="preserve">a </w:t>
      </w:r>
      <w:r>
        <w:t>proposed request to have Walter Pienciak be appointed as the Nendica IEEE-SA Advisor.</w:t>
      </w:r>
    </w:p>
    <w:bookmarkEnd w:id="10"/>
    <w:bookmarkEnd w:id="11"/>
    <w:p w:rsidR="00B43E8B" w:rsidRDefault="00B43E8B" w:rsidP="00B43E8B">
      <w:pPr>
        <w:ind w:left="709"/>
      </w:pPr>
    </w:p>
    <w:p w:rsidR="00B43E8B" w:rsidRDefault="00B43E8B" w:rsidP="00B43E8B">
      <w:r>
        <w:t xml:space="preserve">Nader Zein made a motion </w:t>
      </w:r>
      <w:r w:rsidR="006B0862">
        <w:t>“</w:t>
      </w:r>
      <w:r w:rsidR="0005448A" w:rsidRPr="0005448A">
        <w:t>To authorize the Nendica Chair to request cognizant IEEE staff to appoint Walter Pienciak as the Nendica IEEE-SA Advisor</w:t>
      </w:r>
      <w:r w:rsidR="0005448A">
        <w:t>”</w:t>
      </w:r>
      <w:r>
        <w:t>; Paul Congdon seconded.  Roger offered the opportunity for discussion; no one spoke up.  The vote was taken: (Y/N/A) 29/0/0.</w:t>
      </w:r>
    </w:p>
    <w:p w:rsidR="00B43E8B" w:rsidRDefault="00B43E8B" w:rsidP="00B43E8B">
      <w:pPr>
        <w:ind w:left="709"/>
      </w:pPr>
    </w:p>
    <w:p w:rsidR="00CD1114" w:rsidRDefault="00B43E8B" w:rsidP="00B43E8B">
      <w:pPr>
        <w:spacing w:after="0"/>
        <w:rPr>
          <w:rFonts w:ascii="arial;sans-serif" w:hAnsi="arial;sans-serif" w:hint="eastAsia"/>
          <w:color w:val="222222"/>
          <w:sz w:val="24"/>
        </w:rPr>
      </w:pPr>
      <w:r>
        <w:t>Glenn clarified he needs to make the request</w:t>
      </w:r>
      <w:r w:rsidR="0005448A">
        <w:t xml:space="preserve"> because he is </w:t>
      </w:r>
      <w:r w:rsidR="0005448A" w:rsidRPr="0005448A">
        <w:t>name</w:t>
      </w:r>
      <w:r w:rsidR="0005448A">
        <w:t>d</w:t>
      </w:r>
      <w:r w:rsidR="0005448A" w:rsidRPr="0005448A">
        <w:t xml:space="preserve"> </w:t>
      </w:r>
      <w:r w:rsidR="004B2591">
        <w:t>in</w:t>
      </w:r>
      <w:r w:rsidR="0005448A">
        <w:t xml:space="preserve"> the ICAID as</w:t>
      </w:r>
      <w:r w:rsidR="0005448A" w:rsidRPr="0005448A">
        <w:t xml:space="preserve"> the contact</w:t>
      </w:r>
      <w:r>
        <w:t>.</w:t>
      </w:r>
    </w:p>
    <w:p w:rsidR="00B43E8B" w:rsidRDefault="00B43E8B" w:rsidP="00B43E8B">
      <w:pPr>
        <w:pStyle w:val="Heading2"/>
      </w:pPr>
      <w:r>
        <w:t>Proposed Nendica meeting schedule</w:t>
      </w:r>
    </w:p>
    <w:p w:rsidR="00B43E8B" w:rsidRDefault="00B43E8B" w:rsidP="00B43E8B"/>
    <w:p w:rsidR="00B43E8B" w:rsidRDefault="00B43E8B" w:rsidP="00B43E8B">
      <w:r>
        <w:t>Roger presented the proposed Nendica meeting schedule.</w:t>
      </w:r>
    </w:p>
    <w:p w:rsidR="00B43E8B" w:rsidRDefault="000478F8" w:rsidP="00B43E8B">
      <w:hyperlink r:id="rId11" w:history="1">
        <w:r w:rsidR="00B43E8B" w:rsidRPr="00851A4D">
          <w:rPr>
            <w:rStyle w:val="Hyperlink"/>
          </w:rPr>
          <w:t>https://mentor.ieee.org/802.1/dcn/18/1-18-0018-00-ICne-proposed-nendica-meeting-schedule.ppt</w:t>
        </w:r>
      </w:hyperlink>
    </w:p>
    <w:p w:rsidR="007747F4" w:rsidRDefault="0005172F" w:rsidP="00B43E8B">
      <w:r>
        <w:t>with the following schedule:</w:t>
      </w:r>
    </w:p>
    <w:p w:rsidR="0005172F" w:rsidRDefault="0005172F" w:rsidP="00B43E8B"/>
    <w:p w:rsidR="007747F4" w:rsidRDefault="007747F4" w:rsidP="00B43E8B">
      <w:r>
        <w:t>Face to face: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7 May in Warsaw, co</w:t>
      </w:r>
      <w:r w:rsidR="0005172F" w:rsidRPr="00EE2563">
        <w:rPr>
          <w:sz w:val="22"/>
          <w:szCs w:val="22"/>
        </w:rPr>
        <w:t>-</w:t>
      </w:r>
      <w:r w:rsidRPr="00EE2563">
        <w:rPr>
          <w:sz w:val="22"/>
          <w:szCs w:val="22"/>
        </w:rPr>
        <w:t>located with IEEE 802 wireless interim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21 May in Pittsburgh, co</w:t>
      </w:r>
      <w:r w:rsidR="0005172F" w:rsidRPr="00EE2563">
        <w:rPr>
          <w:sz w:val="22"/>
          <w:szCs w:val="22"/>
        </w:rPr>
        <w:t>-</w:t>
      </w:r>
      <w:r w:rsidRPr="00EE2563">
        <w:rPr>
          <w:sz w:val="22"/>
          <w:szCs w:val="22"/>
        </w:rPr>
        <w:t>located with IEEE 802.1 and 802.3</w:t>
      </w:r>
    </w:p>
    <w:p w:rsidR="00A231C5" w:rsidRPr="00EE2563" w:rsidRDefault="00A231C5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Week of 8 July</w:t>
      </w:r>
      <w:r w:rsidR="00B43E8B" w:rsidRPr="00EE2563">
        <w:rPr>
          <w:sz w:val="22"/>
          <w:szCs w:val="22"/>
        </w:rPr>
        <w:t xml:space="preserve"> in San Diego, co</w:t>
      </w:r>
      <w:r w:rsidR="0005172F" w:rsidRPr="00EE2563">
        <w:rPr>
          <w:sz w:val="22"/>
          <w:szCs w:val="22"/>
        </w:rPr>
        <w:t>-</w:t>
      </w:r>
      <w:r w:rsidR="00B43E8B" w:rsidRPr="00EE2563">
        <w:rPr>
          <w:sz w:val="22"/>
          <w:szCs w:val="22"/>
        </w:rPr>
        <w:t>located with IEEE 802 Plenary</w:t>
      </w:r>
    </w:p>
    <w:p w:rsidR="00B43E8B" w:rsidRPr="00EE2563" w:rsidRDefault="00B43E8B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Tuesdays preferred</w:t>
      </w:r>
    </w:p>
    <w:p w:rsidR="007747F4" w:rsidRPr="00EE2563" w:rsidRDefault="008A0E2F" w:rsidP="007747F4">
      <w:pPr>
        <w:rPr>
          <w:szCs w:val="22"/>
        </w:rPr>
      </w:pPr>
      <w:r w:rsidRPr="00EE2563">
        <w:rPr>
          <w:szCs w:val="22"/>
        </w:rPr>
        <w:t>Teleconference:</w:t>
      </w:r>
    </w:p>
    <w:p w:rsidR="007747F4" w:rsidRPr="00EE2563" w:rsidRDefault="007747F4" w:rsidP="00B43E8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E2563">
        <w:rPr>
          <w:sz w:val="22"/>
          <w:szCs w:val="22"/>
        </w:rPr>
        <w:t>Next teleconference</w:t>
      </w:r>
      <w:r w:rsidR="008A0E2F" w:rsidRPr="00EE2563">
        <w:rPr>
          <w:sz w:val="22"/>
          <w:szCs w:val="22"/>
        </w:rPr>
        <w:t xml:space="preserve"> will be 11April, at 8:00AM US/Eastern time.</w:t>
      </w:r>
    </w:p>
    <w:p w:rsidR="008A0E2F" w:rsidRDefault="008A0E2F" w:rsidP="00B43E8B">
      <w:pPr>
        <w:pStyle w:val="ListParagraph"/>
        <w:numPr>
          <w:ilvl w:val="0"/>
          <w:numId w:val="15"/>
        </w:numPr>
      </w:pPr>
      <w:r w:rsidRPr="00EE2563">
        <w:rPr>
          <w:sz w:val="22"/>
          <w:szCs w:val="22"/>
        </w:rPr>
        <w:t>Others to be determined</w:t>
      </w:r>
    </w:p>
    <w:p w:rsidR="008A0E2F" w:rsidRDefault="008A0E2F" w:rsidP="008A0E2F"/>
    <w:p w:rsidR="008A0E2F" w:rsidRDefault="008A0E2F" w:rsidP="008A0E2F">
      <w:r>
        <w:t>Additional work item</w:t>
      </w:r>
      <w:r w:rsidR="0005172F">
        <w:t xml:space="preserve"> teleconference</w:t>
      </w:r>
      <w:r>
        <w:t>s may be added with a 10-day notice to the Nendica e-mail reflector.</w:t>
      </w:r>
    </w:p>
    <w:p w:rsidR="00A231C5" w:rsidRDefault="00A231C5" w:rsidP="00A231C5"/>
    <w:p w:rsidR="00B43E8B" w:rsidRDefault="00B43E8B" w:rsidP="00B43E8B">
      <w:r>
        <w:t>Joseph Levy raised the question of remote/web participation.  Roger indicated he thought it might be possible</w:t>
      </w:r>
      <w:r w:rsidR="0005172F">
        <w:t>,</w:t>
      </w:r>
      <w:r>
        <w:t xml:space="preserve"> given the nature of the group. Subsequent discussion exposed no potential issues</w:t>
      </w:r>
      <w:r w:rsidR="0005172F">
        <w:t xml:space="preserve"> other than local logistics</w:t>
      </w:r>
      <w:r>
        <w:t>.</w:t>
      </w:r>
    </w:p>
    <w:p w:rsidR="0005172F" w:rsidRDefault="0005172F" w:rsidP="00B43E8B"/>
    <w:p w:rsidR="0005172F" w:rsidRPr="00B43E8B" w:rsidRDefault="0005172F" w:rsidP="00B43E8B">
      <w:r>
        <w:t>Marks indicated that he would coordinate with the organizers of the May interims sessions and attempt to secure suitable facilities.</w:t>
      </w:r>
    </w:p>
    <w:p w:rsidR="00B43E8B" w:rsidRDefault="004A67E9" w:rsidP="00B43E8B">
      <w:pPr>
        <w:pStyle w:val="Heading2"/>
      </w:pPr>
      <w:bookmarkStart w:id="12" w:name="OLE_LINK146"/>
      <w:bookmarkStart w:id="13" w:name="OLE_LINK147"/>
      <w:bookmarkStart w:id="14" w:name="OLE_LINK144"/>
      <w:bookmarkStart w:id="15" w:name="OLE_LINK145"/>
      <w:bookmarkStart w:id="16" w:name="OLE_LINK148"/>
      <w:bookmarkStart w:id="17" w:name="OLE_LINK149"/>
      <w:r>
        <w:t xml:space="preserve">Work Item </w:t>
      </w:r>
      <w:r w:rsidR="00B43E8B">
        <w:t>Contributions</w:t>
      </w:r>
      <w:bookmarkEnd w:id="12"/>
      <w:bookmarkEnd w:id="13"/>
      <w:bookmarkEnd w:id="14"/>
      <w:bookmarkEnd w:id="15"/>
    </w:p>
    <w:p w:rsidR="00B76691" w:rsidRPr="00B76691" w:rsidRDefault="00B76691" w:rsidP="00B76691"/>
    <w:bookmarkEnd w:id="16"/>
    <w:bookmarkEnd w:id="17"/>
    <w:p w:rsidR="00B76691" w:rsidRDefault="00B76691" w:rsidP="00B76691">
      <w:r>
        <w:t xml:space="preserve">Nader Zein presented </w:t>
      </w:r>
      <w:r w:rsidR="008F7887">
        <w:t>the current draft of</w:t>
      </w:r>
      <w:r>
        <w:t xml:space="preserve"> the “Flexible Factory IoT” </w:t>
      </w:r>
      <w:r w:rsidR="008F7887">
        <w:t>Work Item:</w:t>
      </w:r>
      <w:r>
        <w:t xml:space="preserve"> </w:t>
      </w:r>
      <w:hyperlink r:id="rId12">
        <w:r>
          <w:rPr>
            <w:rStyle w:val="InternetLink"/>
          </w:rPr>
          <w:t>https://mentor.ieee.org/802.1/dcn/18/1-18-0002-04-ICne-draft-report-wired-wireless-flexible-factory-iot.pdf</w:t>
        </w:r>
      </w:hyperlink>
    </w:p>
    <w:p w:rsidR="00B76691" w:rsidRDefault="00B76691" w:rsidP="00B76691">
      <w:pPr>
        <w:numPr>
          <w:ilvl w:val="0"/>
          <w:numId w:val="16"/>
        </w:numPr>
        <w:suppressAutoHyphens w:val="0"/>
        <w:spacing w:after="0" w:line="240" w:lineRule="auto"/>
      </w:pPr>
      <w:r>
        <w:t>He spoke about recent and anticipated additions to the report.</w:t>
      </w:r>
    </w:p>
    <w:p w:rsidR="00B76691" w:rsidRDefault="00B76691" w:rsidP="00B76691">
      <w:pPr>
        <w:numPr>
          <w:ilvl w:val="0"/>
          <w:numId w:val="16"/>
        </w:numPr>
        <w:suppressAutoHyphens w:val="0"/>
        <w:spacing w:after="0" w:line="240" w:lineRule="auto"/>
      </w:pPr>
      <w:r>
        <w:t>He pointed out the notation of using text boxes for editor’s notes/comments and clarified that they are not part of the report.</w:t>
      </w:r>
    </w:p>
    <w:p w:rsidR="00135E7C" w:rsidRDefault="00135E7C" w:rsidP="00135E7C">
      <w:pPr>
        <w:suppressAutoHyphens w:val="0"/>
        <w:spacing w:after="0" w:line="240" w:lineRule="auto"/>
      </w:pPr>
    </w:p>
    <w:p w:rsidR="00B76691" w:rsidRDefault="00B76691" w:rsidP="00135E7C">
      <w:pPr>
        <w:suppressAutoHyphens w:val="0"/>
        <w:spacing w:after="0" w:line="240" w:lineRule="auto"/>
      </w:pPr>
      <w:r>
        <w:t>Roger noted that</w:t>
      </w:r>
      <w:r w:rsidR="008F7887">
        <w:t>, in the interests of time, further</w:t>
      </w:r>
      <w:r>
        <w:t xml:space="preserve"> discussion on the presentation should be taken up with Nader outside the meeting.</w:t>
      </w:r>
    </w:p>
    <w:p w:rsidR="00B76691" w:rsidRDefault="00B76691" w:rsidP="00B76691">
      <w:pPr>
        <w:suppressAutoHyphens w:val="0"/>
        <w:spacing w:after="0" w:line="240" w:lineRule="auto"/>
        <w:ind w:left="720"/>
      </w:pPr>
    </w:p>
    <w:p w:rsidR="009A6DCD" w:rsidRDefault="009A6DCD">
      <w:pPr>
        <w:spacing w:after="0"/>
        <w:rPr>
          <w:color w:val="222222"/>
          <w:szCs w:val="22"/>
        </w:rPr>
      </w:pPr>
    </w:p>
    <w:p w:rsidR="00B76691" w:rsidRDefault="00B76691" w:rsidP="00B76691">
      <w:r>
        <w:t>Paul Congdon presented “Lossless Networks for Data Center Report Update.”</w:t>
      </w:r>
    </w:p>
    <w:p w:rsidR="00B76691" w:rsidRDefault="000478F8" w:rsidP="00B76691">
      <w:hyperlink r:id="rId13">
        <w:r w:rsidR="00B76691">
          <w:rPr>
            <w:rStyle w:val="InternetLink"/>
          </w:rPr>
          <w:t>https://mentor.ieee.org/802.1/dcn/18/1-18-0019-00-ICne-lossless-networks-for-data-center-report-update.pdf</w:t>
        </w:r>
      </w:hyperlink>
    </w:p>
    <w:p w:rsidR="00B76691" w:rsidRPr="00B76691" w:rsidRDefault="00B76691" w:rsidP="00B76691">
      <w:pPr>
        <w:numPr>
          <w:ilvl w:val="0"/>
          <w:numId w:val="17"/>
        </w:numPr>
        <w:suppressAutoHyphens w:val="0"/>
        <w:spacing w:after="0" w:line="240" w:lineRule="auto"/>
        <w:rPr>
          <w:rStyle w:val="InternetLink"/>
          <w:color w:val="000000"/>
          <w:u w:val="none"/>
        </w:rPr>
      </w:pPr>
      <w:r>
        <w:t xml:space="preserve">Latest </w:t>
      </w:r>
      <w:r w:rsidR="008F7887">
        <w:t xml:space="preserve">draft </w:t>
      </w:r>
      <w:r>
        <w:t xml:space="preserve">of that report is </w:t>
      </w:r>
      <w:hyperlink r:id="rId14">
        <w:r>
          <w:rPr>
            <w:rStyle w:val="InternetLink"/>
          </w:rPr>
          <w:t>https://mentor.ieee.org/802.1/dcn/18/1-18-0007-02-ICne-draft-report-lossless-data-center-networks.pdf</w:t>
        </w:r>
      </w:hyperlink>
    </w:p>
    <w:p w:rsidR="00B76691" w:rsidRDefault="00B76691" w:rsidP="00B76691">
      <w:pPr>
        <w:numPr>
          <w:ilvl w:val="0"/>
          <w:numId w:val="17"/>
        </w:numPr>
        <w:suppressAutoHyphens w:val="0"/>
        <w:spacing w:after="0" w:line="240" w:lineRule="auto"/>
      </w:pPr>
      <w:r>
        <w:t>Presentation included a list of the work’s contributors/supporters.</w:t>
      </w:r>
    </w:p>
    <w:p w:rsidR="008F7887" w:rsidRDefault="008F7887" w:rsidP="00EE2563">
      <w:pPr>
        <w:suppressAutoHyphens w:val="0"/>
        <w:spacing w:after="0" w:line="240" w:lineRule="auto"/>
        <w:ind w:left="360"/>
      </w:pPr>
    </w:p>
    <w:p w:rsidR="00B76691" w:rsidRDefault="00B76691" w:rsidP="00135E7C">
      <w:pPr>
        <w:suppressAutoHyphens w:val="0"/>
        <w:spacing w:after="0" w:line="240" w:lineRule="auto"/>
      </w:pPr>
      <w:r>
        <w:t xml:space="preserve">Roger </w:t>
      </w:r>
      <w:r w:rsidR="008F7887">
        <w:t xml:space="preserve">suggested </w:t>
      </w:r>
      <w:r>
        <w:t>that discussion on the presentation should be taken up with Paul outside the meeting.</w:t>
      </w:r>
    </w:p>
    <w:p w:rsidR="006B0862" w:rsidRDefault="006B0862" w:rsidP="006B0862">
      <w:pPr>
        <w:suppressAutoHyphens w:val="0"/>
        <w:spacing w:after="0" w:line="240" w:lineRule="auto"/>
      </w:pPr>
    </w:p>
    <w:p w:rsidR="008F182F" w:rsidRDefault="008F182F" w:rsidP="008F182F">
      <w:pPr>
        <w:pStyle w:val="Heading2"/>
      </w:pPr>
      <w:r>
        <w:t>Technical Contributions</w:t>
      </w:r>
    </w:p>
    <w:p w:rsidR="008F182F" w:rsidRDefault="008F182F" w:rsidP="00EE2563">
      <w:pPr>
        <w:suppressAutoHyphens w:val="0"/>
        <w:spacing w:after="0" w:line="240" w:lineRule="auto"/>
      </w:pPr>
    </w:p>
    <w:p w:rsidR="00BB5A60" w:rsidRDefault="00BB5A60" w:rsidP="00BB5A60">
      <w:r>
        <w:t>Li Jie presented “Standard and Industry Progress of Lossless Network in China.”</w:t>
      </w:r>
    </w:p>
    <w:p w:rsidR="00BB5A60" w:rsidRDefault="000478F8" w:rsidP="00BB5A60">
      <w:hyperlink r:id="rId15">
        <w:r w:rsidR="00BB5A60">
          <w:rPr>
            <w:rStyle w:val="InternetLink"/>
          </w:rPr>
          <w:t>https://mentor.ieee.org/802.1/dcn/18/1-18-0014-00-ICne-standard-and-industry-progress-of-lossless-network-in-china.pdf</w:t>
        </w:r>
      </w:hyperlink>
    </w:p>
    <w:p w:rsidR="00BB5A60" w:rsidRDefault="00BB5A60" w:rsidP="00BB5A60"/>
    <w:p w:rsidR="00BB5A60" w:rsidRDefault="00BB5A60" w:rsidP="00BB5A60">
      <w:r>
        <w:t>Guo</w:t>
      </w:r>
      <w:r w:rsidR="00165309">
        <w:t xml:space="preserve"> Liang </w:t>
      </w:r>
      <w:r>
        <w:t>presented “Application Scene of Lossless Network.”</w:t>
      </w:r>
    </w:p>
    <w:p w:rsidR="00BB5A60" w:rsidRDefault="000478F8" w:rsidP="00BB5A60">
      <w:hyperlink r:id="rId16">
        <w:r w:rsidR="00BB5A60">
          <w:rPr>
            <w:rStyle w:val="InternetLink"/>
          </w:rPr>
          <w:t>https://mentor.ieee.org/802.1/dcn/18/1-18-0013-01-ICne-application-scene-of-lossless-network.pdf</w:t>
        </w:r>
      </w:hyperlink>
    </w:p>
    <w:p w:rsidR="00BB5A60" w:rsidRDefault="00BB5A60" w:rsidP="00BB5A60">
      <w:pPr>
        <w:numPr>
          <w:ilvl w:val="0"/>
          <w:numId w:val="18"/>
        </w:numPr>
        <w:suppressAutoHyphens w:val="0"/>
        <w:spacing w:after="0" w:line="240" w:lineRule="auto"/>
      </w:pPr>
      <w:r>
        <w:t>Some discussion ensued regarding the Storage Traffic slide and the “packet size” data presented there.</w:t>
      </w:r>
    </w:p>
    <w:p w:rsidR="00BB5A60" w:rsidRDefault="00BB5A60" w:rsidP="00BB5A60"/>
    <w:p w:rsidR="00BB5A60" w:rsidRDefault="00BB5A60" w:rsidP="00BB5A60">
      <w:bookmarkStart w:id="18" w:name="OLE_LINK3"/>
      <w:bookmarkStart w:id="19" w:name="OLE_LINK4"/>
      <w:r>
        <w:t xml:space="preserve">Yin Yue </w:t>
      </w:r>
      <w:bookmarkEnd w:id="18"/>
      <w:bookmarkEnd w:id="19"/>
      <w:r>
        <w:t>presented “China Telecom’s Demand &amp; Practice in the Lossless DC Network.”</w:t>
      </w:r>
    </w:p>
    <w:p w:rsidR="00BB5A60" w:rsidRDefault="000478F8" w:rsidP="00BB5A60">
      <w:hyperlink r:id="rId17">
        <w:r w:rsidR="00BB5A60">
          <w:rPr>
            <w:rStyle w:val="InternetLink"/>
          </w:rPr>
          <w:t>https://mentor.ieee.org/802.1/dcn/18/1-18-0012-00-ICne-china-telecom-s-demand-practice-in-the-lossless-dc-network.pdf</w:t>
        </w:r>
      </w:hyperlink>
    </w:p>
    <w:p w:rsidR="00B76691" w:rsidRDefault="00B76691">
      <w:pPr>
        <w:spacing w:after="0"/>
        <w:rPr>
          <w:color w:val="222222"/>
          <w:szCs w:val="22"/>
        </w:rPr>
      </w:pPr>
    </w:p>
    <w:p w:rsidR="009A6DCD" w:rsidRDefault="00373F9D">
      <w:pPr>
        <w:pStyle w:val="Heading2"/>
      </w:pPr>
      <w:r>
        <w:t>AOB</w:t>
      </w:r>
    </w:p>
    <w:p w:rsidR="009A6DCD" w:rsidRDefault="009A6DCD">
      <w:pPr>
        <w:pStyle w:val="Normal-bullet"/>
        <w:ind w:left="720" w:firstLine="0"/>
      </w:pPr>
    </w:p>
    <w:p w:rsidR="00BB5A60" w:rsidRDefault="00BB5A60" w:rsidP="00BB5A60">
      <w:r>
        <w:t xml:space="preserve">A new attendee asked where these presentations could be found.  Roger described the process of finding the </w:t>
      </w:r>
      <w:r w:rsidR="00C24AE9">
        <w:t xml:space="preserve">Nendica </w:t>
      </w:r>
      <w:r>
        <w:t>documents on mentor.ieee.org</w:t>
      </w:r>
      <w:r w:rsidR="00C24AE9">
        <w:t xml:space="preserve"> at </w:t>
      </w:r>
      <w:hyperlink r:id="rId18" w:history="1">
        <w:r w:rsidR="00C24AE9" w:rsidRPr="00175DB0">
          <w:rPr>
            <w:rStyle w:val="Hyperlink"/>
          </w:rPr>
          <w:t>https://mentor.ieee.org/802.1/documents?is_group=ICne</w:t>
        </w:r>
      </w:hyperlink>
      <w:r>
        <w:t>.</w:t>
      </w:r>
    </w:p>
    <w:p w:rsidR="00BB5A60" w:rsidRDefault="00BB5A60" w:rsidP="00BB5A60"/>
    <w:p w:rsidR="00BB5A60" w:rsidRDefault="00BB5A60" w:rsidP="00BB5A60">
      <w:r>
        <w:lastRenderedPageBreak/>
        <w:t>He then made some brief closing comments about moving the two existing reports forward, and encouraged discussion regarding new or existing topics or approaches.</w:t>
      </w:r>
    </w:p>
    <w:p w:rsidR="00BB5A60" w:rsidRDefault="00BB5A60" w:rsidP="00BB5A60"/>
    <w:p w:rsidR="00166169" w:rsidRDefault="00BB5A60" w:rsidP="00BB5A60">
      <w:r>
        <w:t>The chair closed the meeting at 21:21.</w:t>
      </w:r>
    </w:p>
    <w:p w:rsidR="00166169" w:rsidRDefault="00166169" w:rsidP="00166169">
      <w:pPr>
        <w:pStyle w:val="Heading2"/>
      </w:pPr>
      <w:r>
        <w:t>Attendance</w:t>
      </w:r>
    </w:p>
    <w:p w:rsidR="00166169" w:rsidRDefault="00166169" w:rsidP="00BB5A60"/>
    <w:p w:rsidR="0041737F" w:rsidRDefault="0041737F" w:rsidP="00BB5A60">
      <w:r>
        <w:t>4</w:t>
      </w:r>
      <w:r w:rsidR="00B84560">
        <w:t>3</w:t>
      </w:r>
      <w:r>
        <w:t xml:space="preserve"> individuals</w:t>
      </w:r>
      <w:r w:rsidR="00383F08">
        <w:t>, logged in or referenced as attending per minutes</w:t>
      </w:r>
      <w:r w:rsidR="00F93045">
        <w:t>.</w:t>
      </w:r>
      <w:bookmarkStart w:id="20" w:name="_GoBack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555"/>
      </w:tblGrid>
      <w:tr w:rsidR="0041737F" w:rsidRPr="004E20B7" w:rsidTr="004E20B7">
        <w:tc>
          <w:tcPr>
            <w:tcW w:w="2515" w:type="dxa"/>
          </w:tcPr>
          <w:p w:rsidR="0041737F" w:rsidRPr="0041737F" w:rsidRDefault="0041737F" w:rsidP="007D4F2F">
            <w:pPr>
              <w:rPr>
                <w:b/>
              </w:rPr>
            </w:pPr>
            <w:r w:rsidRPr="0041737F">
              <w:rPr>
                <w:b/>
              </w:rPr>
              <w:t>Name</w:t>
            </w:r>
          </w:p>
        </w:tc>
        <w:tc>
          <w:tcPr>
            <w:tcW w:w="7555" w:type="dxa"/>
          </w:tcPr>
          <w:p w:rsidR="0041737F" w:rsidRPr="0041737F" w:rsidRDefault="0041737F" w:rsidP="007D4F2F">
            <w:pPr>
              <w:rPr>
                <w:b/>
              </w:rPr>
            </w:pPr>
            <w:r w:rsidRPr="0041737F">
              <w:rPr>
                <w:b/>
              </w:rPr>
              <w:t>Affiliation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Anago, Richard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Ministry of Development of Digital Economy and Post, Burkina Faso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Belliardi, Rudy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Schneider Electric; IEC TC 65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Canchi, Radhakrishna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Kyocera International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Chen, Feng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Siemens AG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Congdon, Paul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Tallac Networks; Huawei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Das, Subir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Applied Communication Sciences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Emmelmann, Marc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Self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Fan, Xiaojing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Fujitsu Research &amp; Development Center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Fang, Yonggang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ZTE TX Inc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Godfrey, Tim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Electric Power Research Institute, Inc. (EPRI)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Guo, Liang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CAICT*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Hasegawa, Akio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Advanced Telecommunications Research Institute International (ATR)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Jeong, SangKwon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JoyFun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Kabra, Lokesh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Synopsys,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Karl, Michael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Marvell Semiconductor,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Kitazawa, Shoichi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Muroran IT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Lee, Hyeong Ho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Netvision Telecom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Levy, Joseph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InterDigital, Inc.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Li, Jie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CAICT*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Marks, Roger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Matabishi, Lloyd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Zambia Information and Communications Technology Authority (ZICTA)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McMillan, Larry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Western Digital Corporation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Oh, Minseok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Kyonggi University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Ohori, Fumiko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National Institute of Information and Communications Technology (NICT)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Ohsawa, Tomoki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NICT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Parsons, Glenn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Ericsson AB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Pienciak, Walter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IEEE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Qiu, Wei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 Technologies Co., Ltd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Sakata, Ren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TOSHIBA Corporation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Sato, Atsushi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Yokogawa Electric Corporation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Shen, Li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 Technologies Co., Ltd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Sun, Liyang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lastRenderedPageBreak/>
              <w:t>Sun, Wenhao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 Technologies Co., Ltd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Takazoe, Tomoki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Panasonic Corporation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Thaler, Patricia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Broadcom Limited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Umutoni, Yvonne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Rwanda Utilities Regulatory Authority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Wang, Hao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Fujitsu Research &amp; Development Center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Wang, Xinyuan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Huawei Technologies Co. Ltd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Yamaura, Takahiro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Toshiba</w:t>
            </w:r>
          </w:p>
        </w:tc>
      </w:tr>
      <w:tr w:rsidR="00B84560" w:rsidRPr="004E20B7" w:rsidTr="004E20B7">
        <w:tc>
          <w:tcPr>
            <w:tcW w:w="2515" w:type="dxa"/>
          </w:tcPr>
          <w:p w:rsidR="00B84560" w:rsidRPr="004E20B7" w:rsidRDefault="00B84560" w:rsidP="007D4F2F">
            <w:r w:rsidRPr="00B84560">
              <w:t>Yin, Yue</w:t>
            </w:r>
          </w:p>
        </w:tc>
        <w:tc>
          <w:tcPr>
            <w:tcW w:w="7555" w:type="dxa"/>
          </w:tcPr>
          <w:p w:rsidR="00B84560" w:rsidRPr="004E20B7" w:rsidRDefault="00B84560" w:rsidP="007D4F2F">
            <w:r w:rsidRPr="00B84560">
              <w:t>Huawei Technologies Co., Ltd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Yano, Kazuto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Advanced Telecommunications Research Institute International (ATR)</w:t>
            </w:r>
          </w:p>
        </w:tc>
      </w:tr>
      <w:tr w:rsidR="004E20B7" w:rsidRP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Zein, Nader</w:t>
            </w:r>
          </w:p>
        </w:tc>
        <w:tc>
          <w:tcPr>
            <w:tcW w:w="7555" w:type="dxa"/>
          </w:tcPr>
          <w:p w:rsidR="004E20B7" w:rsidRPr="004E20B7" w:rsidRDefault="004E20B7" w:rsidP="007D4F2F">
            <w:r w:rsidRPr="004E20B7">
              <w:t>NEC Corporation</w:t>
            </w:r>
          </w:p>
        </w:tc>
      </w:tr>
      <w:tr w:rsidR="004E20B7" w:rsidTr="004E20B7">
        <w:tc>
          <w:tcPr>
            <w:tcW w:w="2515" w:type="dxa"/>
          </w:tcPr>
          <w:p w:rsidR="004E20B7" w:rsidRPr="004E20B7" w:rsidRDefault="004E20B7" w:rsidP="007D4F2F">
            <w:r w:rsidRPr="004E20B7">
              <w:t>Zhang, Yun</w:t>
            </w:r>
          </w:p>
        </w:tc>
        <w:tc>
          <w:tcPr>
            <w:tcW w:w="7555" w:type="dxa"/>
          </w:tcPr>
          <w:p w:rsidR="004E20B7" w:rsidRDefault="004E20B7" w:rsidP="007D4F2F">
            <w:r w:rsidRPr="004E20B7">
              <w:t>Huawei Technologies Co. Ltd</w:t>
            </w:r>
          </w:p>
        </w:tc>
      </w:tr>
    </w:tbl>
    <w:p w:rsidR="00552D50" w:rsidRDefault="00552D50" w:rsidP="004E20B7"/>
    <w:p w:rsidR="004E20B7" w:rsidRDefault="004E20B7" w:rsidP="004E20B7">
      <w:r>
        <w:t>*Affiliation inferred rather then declared.</w:t>
      </w:r>
    </w:p>
    <w:sectPr w:rsidR="004E20B7">
      <w:headerReference w:type="default" r:id="rId19"/>
      <w:footerReference w:type="default" r:id="rId20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8F8" w:rsidRDefault="000478F8">
      <w:pPr>
        <w:spacing w:after="0" w:line="240" w:lineRule="auto"/>
      </w:pPr>
      <w:r>
        <w:separator/>
      </w:r>
    </w:p>
  </w:endnote>
  <w:endnote w:type="continuationSeparator" w:id="0">
    <w:p w:rsidR="000478F8" w:rsidRDefault="000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1"/>
    <w:family w:val="modern"/>
    <w:pitch w:val="fixed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;sans-serif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BB5A60">
    <w:pPr>
      <w:tabs>
        <w:tab w:val="center" w:pos="4680"/>
        <w:tab w:val="right" w:pos="9923"/>
      </w:tabs>
    </w:pPr>
    <w:r>
      <w:rPr>
        <w:sz w:val="24"/>
      </w:rPr>
      <w:br/>
      <w:t>2018-03-06</w:t>
    </w:r>
    <w:r w:rsidR="00373F9D">
      <w:rPr>
        <w:sz w:val="24"/>
      </w:rPr>
      <w:t xml:space="preserve">:  IEEE 802 NEND IC </w:t>
    </w:r>
    <w:r>
      <w:rPr>
        <w:sz w:val="24"/>
      </w:rPr>
      <w:t>meeting</w:t>
    </w:r>
    <w:r w:rsidR="00373F9D">
      <w:tab/>
      <w:t xml:space="preserve">Page </w:t>
    </w:r>
    <w:r w:rsidR="00373F9D">
      <w:fldChar w:fldCharType="begin"/>
    </w:r>
    <w:r w:rsidR="00373F9D">
      <w:instrText>PAGE</w:instrText>
    </w:r>
    <w:r w:rsidR="00373F9D">
      <w:fldChar w:fldCharType="separate"/>
    </w:r>
    <w:r w:rsidR="00C575F8">
      <w:rPr>
        <w:noProof/>
      </w:rPr>
      <w:t>4</w:t>
    </w:r>
    <w:r w:rsidR="00373F9D">
      <w:fldChar w:fldCharType="end"/>
    </w:r>
    <w:r w:rsidR="00373F9D">
      <w:tab/>
      <w:t>Walter Pienciak (IEEE)</w:t>
    </w:r>
  </w:p>
  <w:p w:rsidR="009A6DCD" w:rsidRDefault="009A6DCD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8F8" w:rsidRDefault="000478F8">
      <w:pPr>
        <w:spacing w:after="0" w:line="240" w:lineRule="auto"/>
      </w:pPr>
      <w:r>
        <w:separator/>
      </w:r>
    </w:p>
  </w:footnote>
  <w:footnote w:type="continuationSeparator" w:id="0">
    <w:p w:rsidR="000478F8" w:rsidRDefault="0004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CD" w:rsidRDefault="004A7C43">
    <w:pPr>
      <w:tabs>
        <w:tab w:val="center" w:pos="4680"/>
        <w:tab w:val="right" w:pos="9923"/>
      </w:tabs>
      <w:spacing w:before="432"/>
    </w:pPr>
    <w:r>
      <w:rPr>
        <w:b/>
        <w:sz w:val="28"/>
      </w:rPr>
      <w:t>March</w:t>
    </w:r>
    <w:r w:rsidR="00373F9D">
      <w:rPr>
        <w:b/>
        <w:sz w:val="28"/>
      </w:rPr>
      <w:t xml:space="preserve"> 2018</w:t>
    </w:r>
    <w:r w:rsidR="00373F9D">
      <w:rPr>
        <w:b/>
        <w:sz w:val="28"/>
      </w:rPr>
      <w:tab/>
    </w:r>
    <w:r w:rsidR="00373F9D">
      <w:rPr>
        <w:b/>
        <w:sz w:val="28"/>
      </w:rPr>
      <w:tab/>
    </w:r>
    <w:r w:rsidR="001455C6" w:rsidRPr="001455C6">
      <w:rPr>
        <w:b/>
        <w:sz w:val="28"/>
      </w:rPr>
      <w:t xml:space="preserve"> </w:t>
    </w:r>
    <w:r w:rsidR="001455C6">
      <w:rPr>
        <w:b/>
        <w:sz w:val="28"/>
      </w:rPr>
      <w:t>IEEE 802.</w:t>
    </w:r>
    <w:r w:rsidR="001455C6" w:rsidRPr="001455C6">
      <w:rPr>
        <w:b/>
        <w:sz w:val="28"/>
      </w:rPr>
      <w:t>1-18-002</w:t>
    </w:r>
    <w:r w:rsidR="001455C6">
      <w:rPr>
        <w:b/>
        <w:sz w:val="28"/>
      </w:rPr>
      <w:t>1</w:t>
    </w:r>
    <w:r w:rsidR="001455C6" w:rsidRPr="001455C6">
      <w:rPr>
        <w:b/>
        <w:sz w:val="28"/>
      </w:rPr>
      <w:t>-0</w:t>
    </w:r>
    <w:r w:rsidR="00F93045">
      <w:rPr>
        <w:b/>
        <w:sz w:val="28"/>
      </w:rPr>
      <w:t>1</w:t>
    </w:r>
    <w:r w:rsidR="00373F9D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4561055"/>
    <w:multiLevelType w:val="multilevel"/>
    <w:tmpl w:val="8016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9C213D9"/>
    <w:multiLevelType w:val="hybridMultilevel"/>
    <w:tmpl w:val="605AB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E7E3B"/>
    <w:multiLevelType w:val="multilevel"/>
    <w:tmpl w:val="FAA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06EC5"/>
    <w:multiLevelType w:val="multilevel"/>
    <w:tmpl w:val="84C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8CF3806"/>
    <w:multiLevelType w:val="multilevel"/>
    <w:tmpl w:val="014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0D62F9"/>
    <w:multiLevelType w:val="hybridMultilevel"/>
    <w:tmpl w:val="517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EA816CB"/>
    <w:multiLevelType w:val="hybridMultilevel"/>
    <w:tmpl w:val="5AC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612B2C"/>
    <w:multiLevelType w:val="hybridMultilevel"/>
    <w:tmpl w:val="F7028EE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D"/>
    <w:rsid w:val="000478F8"/>
    <w:rsid w:val="0005172F"/>
    <w:rsid w:val="0005448A"/>
    <w:rsid w:val="000574B0"/>
    <w:rsid w:val="00063E04"/>
    <w:rsid w:val="00080E20"/>
    <w:rsid w:val="000B37C8"/>
    <w:rsid w:val="00135E7C"/>
    <w:rsid w:val="001455C6"/>
    <w:rsid w:val="00165309"/>
    <w:rsid w:val="00165691"/>
    <w:rsid w:val="00166169"/>
    <w:rsid w:val="00175DB0"/>
    <w:rsid w:val="001C2197"/>
    <w:rsid w:val="002362FA"/>
    <w:rsid w:val="00311863"/>
    <w:rsid w:val="00342604"/>
    <w:rsid w:val="00346B5A"/>
    <w:rsid w:val="003665FA"/>
    <w:rsid w:val="00373F9D"/>
    <w:rsid w:val="00383F08"/>
    <w:rsid w:val="003E2033"/>
    <w:rsid w:val="003E34CB"/>
    <w:rsid w:val="0041737F"/>
    <w:rsid w:val="00447F0E"/>
    <w:rsid w:val="00457029"/>
    <w:rsid w:val="004A67E9"/>
    <w:rsid w:val="004A7C43"/>
    <w:rsid w:val="004B2591"/>
    <w:rsid w:val="004B5092"/>
    <w:rsid w:val="004E20B7"/>
    <w:rsid w:val="00552D50"/>
    <w:rsid w:val="00555672"/>
    <w:rsid w:val="00643A60"/>
    <w:rsid w:val="00650794"/>
    <w:rsid w:val="006A6775"/>
    <w:rsid w:val="006B0862"/>
    <w:rsid w:val="006E4F13"/>
    <w:rsid w:val="006F040F"/>
    <w:rsid w:val="0072465F"/>
    <w:rsid w:val="007747F4"/>
    <w:rsid w:val="0082433F"/>
    <w:rsid w:val="008A0E2F"/>
    <w:rsid w:val="008D00DF"/>
    <w:rsid w:val="008F182F"/>
    <w:rsid w:val="008F2BEF"/>
    <w:rsid w:val="008F7887"/>
    <w:rsid w:val="00933F34"/>
    <w:rsid w:val="00946783"/>
    <w:rsid w:val="00992909"/>
    <w:rsid w:val="009A6DCD"/>
    <w:rsid w:val="009B6347"/>
    <w:rsid w:val="009C12BD"/>
    <w:rsid w:val="009F4E92"/>
    <w:rsid w:val="00A231C5"/>
    <w:rsid w:val="00AB1A35"/>
    <w:rsid w:val="00AC73DD"/>
    <w:rsid w:val="00B179B0"/>
    <w:rsid w:val="00B22669"/>
    <w:rsid w:val="00B3007A"/>
    <w:rsid w:val="00B43E8B"/>
    <w:rsid w:val="00B76691"/>
    <w:rsid w:val="00B84560"/>
    <w:rsid w:val="00B93FE1"/>
    <w:rsid w:val="00BB5A60"/>
    <w:rsid w:val="00C07B17"/>
    <w:rsid w:val="00C111C4"/>
    <w:rsid w:val="00C24AE9"/>
    <w:rsid w:val="00C4162F"/>
    <w:rsid w:val="00C575F8"/>
    <w:rsid w:val="00C6404E"/>
    <w:rsid w:val="00CD1114"/>
    <w:rsid w:val="00D46040"/>
    <w:rsid w:val="00DF7E44"/>
    <w:rsid w:val="00E33579"/>
    <w:rsid w:val="00EA23D8"/>
    <w:rsid w:val="00EB0808"/>
    <w:rsid w:val="00EE2563"/>
    <w:rsid w:val="00F65F1F"/>
    <w:rsid w:val="00F93045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FB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2F"/>
    <w:pPr>
      <w:suppressAutoHyphens/>
      <w:spacing w:after="60" w:line="216" w:lineRule="auto"/>
    </w:pPr>
    <w:rPr>
      <w:rFonts w:eastAsia="SimSun"/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9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66169"/>
    <w:rPr>
      <w:rFonts w:ascii="Arial" w:eastAsia="Arial" w:hAnsi="Arial" w:cs="Arial"/>
      <w:b/>
      <w:color w:val="000000"/>
      <w:sz w:val="24"/>
    </w:rPr>
  </w:style>
  <w:style w:type="table" w:styleId="TableGrid">
    <w:name w:val="Table Grid"/>
    <w:basedOn w:val="TableNormal"/>
    <w:uiPriority w:val="59"/>
    <w:rsid w:val="004E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/dcn/18/1-18-0015-00-ICne-nendica-meeting-overview-and-agenda-2018-03-06.pptx" TargetMode="External"/><Relationship Id="rId13" Type="http://schemas.openxmlformats.org/officeDocument/2006/relationships/hyperlink" Target="https://mentor.ieee.org/802.1/dcn/18/1-18-0019-00-ICne-lossless-networks-for-data-center-report-update.pdf" TargetMode="External"/><Relationship Id="rId18" Type="http://schemas.openxmlformats.org/officeDocument/2006/relationships/hyperlink" Target="https://mentor.ieee.org/802.1/documents?is_group=ICn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8/1-18-0002-04-ICne-draft-report-wired-wireless-flexible-factory-iot.pdf" TargetMode="External"/><Relationship Id="rId17" Type="http://schemas.openxmlformats.org/officeDocument/2006/relationships/hyperlink" Target="https://mentor.ieee.org/802.1/dcn/18/1-18-0012-00-ICne-china-telecom-s-demand-practice-in-the-lossless-dc-networ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8/1-18-0013-01-ICne-application-scene-of-lossless-networ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18/1-18-0018-00-ICne-proposed-nendica-meeting-schedule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8/1-18-0014-00-ICne-standard-and-industry-progress-of-lossless-network-in-china.pdf" TargetMode="External"/><Relationship Id="rId10" Type="http://schemas.openxmlformats.org/officeDocument/2006/relationships/hyperlink" Target="https://mentor.ieee.org/802.1/dcn/18/1-18-0017-00-ICne-request-for-nendica-ieee-advisor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/dcn/18/1-18-0016-00-ICne-proposed-nendica-report-progression-process.pptx" TargetMode="External"/><Relationship Id="rId14" Type="http://schemas.openxmlformats.org/officeDocument/2006/relationships/hyperlink" Target="https://mentor.ieee.org/802.1/dcn/18/1-18-0007-02-ICne-draft-report-lossless-data-center-network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B40B-8D82-684C-94D0-6F4ED55E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2018-03-16T16:56:00Z</dcterms:created>
  <dcterms:modified xsi:type="dcterms:W3CDTF">2018-03-19T20:24:00Z</dcterms:modified>
  <dc:language/>
</cp:coreProperties>
</file>