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F9CE" w14:textId="77777777" w:rsidR="004465FB" w:rsidRDefault="004465FB">
      <w:r>
        <w:t xml:space="preserve">IEEE 802 </w:t>
      </w:r>
      <w:bookmarkStart w:id="0" w:name="_Hlk77511261"/>
      <w:r w:rsidR="00CB78D0" w:rsidRPr="00CB78D0">
        <w:t>Technical Coherence sub ad hoc</w:t>
      </w:r>
      <w:bookmarkEnd w:id="0"/>
    </w:p>
    <w:p w14:paraId="2493634F" w14:textId="2A67CC70" w:rsidR="004465FB" w:rsidRDefault="004465FB">
      <w:bookmarkStart w:id="1" w:name="_Hlk77513020"/>
      <w:bookmarkStart w:id="2" w:name="_Hlk77513033"/>
      <w:r>
        <w:t>meeting</w:t>
      </w:r>
      <w:r w:rsidR="004E132A">
        <w:t xml:space="preserve"> notes of</w:t>
      </w:r>
      <w:r>
        <w:t xml:space="preserve"> </w:t>
      </w:r>
      <w:bookmarkEnd w:id="1"/>
      <w:r>
        <w:t>2021</w:t>
      </w:r>
      <w:r w:rsidR="00E47750">
        <w:t>-07-09</w:t>
      </w:r>
      <w:bookmarkEnd w:id="2"/>
      <w:r>
        <w:t>, 11:00-12:00 ET</w:t>
      </w:r>
      <w:r w:rsidR="00CB78D0" w:rsidRPr="00CB78D0">
        <w:t xml:space="preserve"> </w:t>
      </w:r>
    </w:p>
    <w:p w14:paraId="36A538FB" w14:textId="6ED5B518" w:rsidR="00216F24" w:rsidRDefault="00CB78D0">
      <w:r w:rsidRPr="00CB78D0">
        <w:t>notes</w:t>
      </w:r>
      <w:r w:rsidR="00907E3E">
        <w:t xml:space="preserve"> by </w:t>
      </w:r>
      <w:r w:rsidR="00522065">
        <w:t>Roger Marks</w:t>
      </w:r>
    </w:p>
    <w:p w14:paraId="4D360E14" w14:textId="6804B888" w:rsidR="005502FB" w:rsidRDefault="00B0705A">
      <w:r>
        <w:t xml:space="preserve">The sub ad hoc chair, </w:t>
      </w:r>
      <w:r w:rsidR="00CB78D0">
        <w:t>Roger Marks</w:t>
      </w:r>
      <w:r>
        <w:t>,</w:t>
      </w:r>
      <w:r w:rsidR="00CB78D0">
        <w:t xml:space="preserve"> call</w:t>
      </w:r>
      <w:r w:rsidR="004465FB">
        <w:t>ed</w:t>
      </w:r>
      <w:r w:rsidR="00CB78D0">
        <w:t xml:space="preserve"> the </w:t>
      </w:r>
      <w:r w:rsidR="005309AC">
        <w:t xml:space="preserve">electronic </w:t>
      </w:r>
      <w:r w:rsidR="00CB78D0">
        <w:t>meeting to order at 1</w:t>
      </w:r>
      <w:r w:rsidR="004465FB">
        <w:t>1</w:t>
      </w:r>
      <w:r w:rsidR="008C064A">
        <w:t>:</w:t>
      </w:r>
      <w:r w:rsidR="004465FB">
        <w:t>0</w:t>
      </w:r>
      <w:r w:rsidR="008C064A">
        <w:t>0</w:t>
      </w:r>
      <w:r w:rsidR="00CB78D0">
        <w:t xml:space="preserve"> ET.</w:t>
      </w:r>
      <w:r w:rsidR="005502FB">
        <w:t xml:space="preserve"> </w:t>
      </w:r>
    </w:p>
    <w:p w14:paraId="2DC6E3A4" w14:textId="46D4F1B9" w:rsidR="005502FB" w:rsidRDefault="005502FB" w:rsidP="005502FB">
      <w:r>
        <w:t xml:space="preserve">Participants: </w:t>
      </w:r>
      <w:r w:rsidR="004465FB" w:rsidRPr="004465FB">
        <w:t xml:space="preserve">Benjamin Rolfe, Jon </w:t>
      </w:r>
      <w:proofErr w:type="spellStart"/>
      <w:r w:rsidR="004465FB" w:rsidRPr="004465FB">
        <w:t>Rosdahl</w:t>
      </w:r>
      <w:proofErr w:type="spellEnd"/>
      <w:r w:rsidR="004465FB" w:rsidRPr="004465FB">
        <w:t xml:space="preserve">, Joseph Levy, </w:t>
      </w:r>
      <w:proofErr w:type="spellStart"/>
      <w:r w:rsidR="004465FB" w:rsidRPr="004465FB">
        <w:t>Tuncer</w:t>
      </w:r>
      <w:proofErr w:type="spellEnd"/>
      <w:r w:rsidR="004465FB" w:rsidRPr="004465FB">
        <w:t xml:space="preserve"> </w:t>
      </w:r>
      <w:proofErr w:type="spellStart"/>
      <w:r w:rsidR="004465FB" w:rsidRPr="004465FB">
        <w:t>Baykas</w:t>
      </w:r>
      <w:proofErr w:type="spellEnd"/>
      <w:r w:rsidR="004465FB" w:rsidRPr="004465FB">
        <w:t xml:space="preserve">, Geoff Thompson, Hiroki Nakano, Glenn Parsons, Jay Holcomb, Jessy </w:t>
      </w:r>
      <w:proofErr w:type="spellStart"/>
      <w:r w:rsidR="004465FB" w:rsidRPr="004465FB">
        <w:t>Rouyer</w:t>
      </w:r>
      <w:proofErr w:type="spellEnd"/>
      <w:r w:rsidR="004465FB" w:rsidRPr="004465FB">
        <w:t xml:space="preserve">, Michael Cowan, Paul </w:t>
      </w:r>
      <w:proofErr w:type="spellStart"/>
      <w:r w:rsidR="004465FB" w:rsidRPr="004465FB">
        <w:t>Nikolich</w:t>
      </w:r>
      <w:proofErr w:type="spellEnd"/>
      <w:r w:rsidR="004465FB" w:rsidRPr="004465FB">
        <w:t>, Roger Marks</w:t>
      </w:r>
      <w:r w:rsidR="00804CA6">
        <w:t xml:space="preserve"> </w:t>
      </w:r>
    </w:p>
    <w:p w14:paraId="7F72D371" w14:textId="379EE310" w:rsidR="00DC1ECE" w:rsidRDefault="00DC1ECE">
      <w:r>
        <w:t>Marks agreed to record minutes.</w:t>
      </w:r>
    </w:p>
    <w:p w14:paraId="5AA37794" w14:textId="233474B4" w:rsidR="00DC1ECE" w:rsidRDefault="00E47750">
      <w:r>
        <w:t>Marks reviewed the minutes (</w:t>
      </w:r>
      <w:hyperlink r:id="rId7" w:history="1">
        <w:r w:rsidRPr="00B65689">
          <w:rPr>
            <w:rStyle w:val="Hyperlink"/>
          </w:rPr>
          <w:t>802-ec-21-0142-01-00EC</w:t>
        </w:r>
      </w:hyperlink>
      <w:r>
        <w:t>) of the prior</w:t>
      </w:r>
      <w:r w:rsidR="00CB78D0">
        <w:t xml:space="preserve"> Technical Coherence </w:t>
      </w:r>
      <w:r w:rsidRPr="00CB78D0">
        <w:t>sub ad hoc</w:t>
      </w:r>
      <w:r>
        <w:t xml:space="preserve"> meeting, of 2101-06-22, </w:t>
      </w:r>
      <w:r w:rsidR="00DC1ECE">
        <w:t>noting that</w:t>
      </w:r>
      <w:r w:rsidR="00100CCD">
        <w:t xml:space="preserve"> they recorded that</w:t>
      </w:r>
      <w:r w:rsidR="00DC1ECE">
        <w:t xml:space="preserve"> “</w:t>
      </w:r>
      <w:r w:rsidR="00DC1ECE" w:rsidRPr="00DC1ECE">
        <w:t>After some discussion, there was unanimous consensus among those present that the proposal is a solid basis on which to continue preparation of revision PAR for IEEE Std. 802</w:t>
      </w:r>
      <w:r w:rsidR="00DC1ECE">
        <w:t>,” referring to this proposal:</w:t>
      </w:r>
    </w:p>
    <w:p w14:paraId="6BCD834D" w14:textId="77777777" w:rsidR="00DC1ECE" w:rsidRPr="006141D4" w:rsidRDefault="00DC1ECE" w:rsidP="00DC1ECE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Cs w:val="6"/>
        </w:rPr>
      </w:pPr>
      <w:r w:rsidRPr="006141D4">
        <w:rPr>
          <w:rFonts w:eastAsiaTheme="minorEastAsia" w:hAnsi="Calibri"/>
          <w:color w:val="000000" w:themeColor="text1"/>
          <w:kern w:val="24"/>
        </w:rPr>
        <w:t>A project to revise IEEE Std 802 should be initiated.</w:t>
      </w:r>
    </w:p>
    <w:p w14:paraId="46331B08" w14:textId="77777777" w:rsidR="00DC1ECE" w:rsidRPr="006141D4" w:rsidRDefault="00DC1ECE" w:rsidP="00DC1ECE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Cs w:val="6"/>
        </w:rPr>
      </w:pPr>
      <w:r w:rsidRPr="006141D4">
        <w:rPr>
          <w:rFonts w:eastAsiaTheme="minorEastAsia" w:hAnsi="Calibri"/>
          <w:color w:val="000000" w:themeColor="text1"/>
          <w:kern w:val="24"/>
        </w:rPr>
        <w:t>The project should be charged with ambitious but documented goals.</w:t>
      </w:r>
    </w:p>
    <w:p w14:paraId="31A0D7B3" w14:textId="77777777" w:rsidR="00DC1ECE" w:rsidRPr="006141D4" w:rsidRDefault="00DC1ECE" w:rsidP="00DC1ECE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Cs w:val="6"/>
        </w:rPr>
      </w:pPr>
      <w:r w:rsidRPr="006141D4">
        <w:rPr>
          <w:rFonts w:eastAsiaTheme="minorEastAsia" w:hAnsi="Calibri"/>
          <w:color w:val="000000" w:themeColor="text1"/>
          <w:kern w:val="24"/>
        </w:rPr>
        <w:t>The goals should be specified in a consensus report to accompany the PAR.</w:t>
      </w:r>
    </w:p>
    <w:p w14:paraId="027FC70C" w14:textId="77777777" w:rsidR="00DC1ECE" w:rsidRPr="006141D4" w:rsidRDefault="00DC1ECE" w:rsidP="00DC1ECE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Cs w:val="6"/>
        </w:rPr>
      </w:pPr>
      <w:r w:rsidRPr="006141D4">
        <w:rPr>
          <w:rFonts w:eastAsiaTheme="minorEastAsia" w:hAnsi="Calibri"/>
          <w:color w:val="000000" w:themeColor="text1"/>
          <w:kern w:val="24"/>
        </w:rPr>
        <w:t xml:space="preserve">The report and PAR could be generated by a focused pre-PAR activity, conducted in, for example, a Study Group or an Industry Connections Activity such as </w:t>
      </w:r>
      <w:proofErr w:type="spellStart"/>
      <w:r w:rsidRPr="006141D4">
        <w:rPr>
          <w:rFonts w:eastAsiaTheme="minorEastAsia" w:hAnsi="Calibri"/>
          <w:color w:val="000000" w:themeColor="text1"/>
          <w:kern w:val="24"/>
        </w:rPr>
        <w:t>Nendica</w:t>
      </w:r>
      <w:proofErr w:type="spellEnd"/>
      <w:r w:rsidRPr="006141D4">
        <w:rPr>
          <w:rFonts w:eastAsiaTheme="minorEastAsia" w:hAnsi="Calibri"/>
          <w:color w:val="000000" w:themeColor="text1"/>
          <w:kern w:val="24"/>
        </w:rPr>
        <w:t>.</w:t>
      </w:r>
    </w:p>
    <w:p w14:paraId="095CE40D" w14:textId="77777777" w:rsidR="00DC1ECE" w:rsidRDefault="00DC1ECE"/>
    <w:p w14:paraId="6DFE674F" w14:textId="7B794F29" w:rsidR="00CB78D0" w:rsidRDefault="00DC1ECE">
      <w:r>
        <w:t xml:space="preserve">No </w:t>
      </w:r>
      <w:r w:rsidR="00E47750">
        <w:t>comments</w:t>
      </w:r>
      <w:r>
        <w:t xml:space="preserve"> were raised regarding the minutes</w:t>
      </w:r>
      <w:r w:rsidR="00CB78D0">
        <w:t>.</w:t>
      </w:r>
    </w:p>
    <w:p w14:paraId="5E8C32FD" w14:textId="5565D5D3" w:rsidR="0098354B" w:rsidRPr="0098354B" w:rsidRDefault="00DC1ECE" w:rsidP="0098354B">
      <w:r>
        <w:t xml:space="preserve">Marks noted that, the prior day, </w:t>
      </w:r>
      <w:bookmarkStart w:id="3" w:name="_Hlk77512174"/>
      <w:proofErr w:type="spellStart"/>
      <w:r>
        <w:t>Nendica</w:t>
      </w:r>
      <w:proofErr w:type="spellEnd"/>
      <w:r>
        <w:t xml:space="preserve"> </w:t>
      </w:r>
      <w:bookmarkEnd w:id="3"/>
      <w:r>
        <w:t>had reviewed the situation regarding the IEEE Std 802 revision in conjunction with a proposal</w:t>
      </w:r>
      <w:r w:rsidR="00100CCD">
        <w:t>, in development since March,</w:t>
      </w:r>
      <w:r>
        <w:t xml:space="preserve"> to initiate a new Study Item on “</w:t>
      </w:r>
      <w:r w:rsidRPr="00DC1ECE">
        <w:t>Evolving IEEE 802 Architecture Requirements</w:t>
      </w:r>
      <w:r>
        <w:t>” (</w:t>
      </w:r>
      <w:hyperlink r:id="rId8" w:history="1">
        <w:r w:rsidRPr="00B65689">
          <w:rPr>
            <w:rStyle w:val="Hyperlink"/>
          </w:rPr>
          <w:t>802.1-21-0014-012-ICne</w:t>
        </w:r>
      </w:hyperlink>
      <w:r>
        <w:t>)</w:t>
      </w:r>
      <w:r w:rsidR="0098354B">
        <w:t xml:space="preserve">. </w:t>
      </w:r>
      <w:r w:rsidR="0098354B" w:rsidRPr="0098354B">
        <w:t> </w:t>
      </w:r>
      <w:r w:rsidR="0098354B">
        <w:t xml:space="preserve">The participants there had agreed that </w:t>
      </w:r>
      <w:r w:rsidR="0098354B" w:rsidRPr="0098354B">
        <w:t xml:space="preserve">802 </w:t>
      </w:r>
      <w:r w:rsidR="0098354B">
        <w:t>would “</w:t>
      </w:r>
      <w:r w:rsidR="0098354B" w:rsidRPr="0098354B">
        <w:t xml:space="preserve">benefit from a </w:t>
      </w:r>
      <w:proofErr w:type="spellStart"/>
      <w:r w:rsidR="0098354B" w:rsidRPr="0098354B">
        <w:t>Nendica</w:t>
      </w:r>
      <w:proofErr w:type="spellEnd"/>
      <w:r w:rsidR="0098354B" w:rsidRPr="0098354B">
        <w:t xml:space="preserve"> Study Item on Evolving IEEE 802 Architectural Requirements, leading to a formal </w:t>
      </w:r>
      <w:proofErr w:type="spellStart"/>
      <w:r w:rsidR="0098354B" w:rsidRPr="0098354B">
        <w:t>Nendica</w:t>
      </w:r>
      <w:proofErr w:type="spellEnd"/>
      <w:r w:rsidR="0098354B" w:rsidRPr="0098354B">
        <w:t xml:space="preserve"> Report or an informal report". </w:t>
      </w:r>
      <w:proofErr w:type="spellStart"/>
      <w:r w:rsidR="0098354B">
        <w:t>Nendica</w:t>
      </w:r>
      <w:proofErr w:type="spellEnd"/>
      <w:r w:rsidR="0098354B">
        <w:t xml:space="preserve"> participants had noted that a</w:t>
      </w:r>
      <w:r w:rsidR="0098354B" w:rsidRPr="0098354B">
        <w:t xml:space="preserve"> critical issue </w:t>
      </w:r>
      <w:r w:rsidR="0098354B">
        <w:t>would</w:t>
      </w:r>
      <w:r w:rsidR="0098354B" w:rsidRPr="0098354B">
        <w:t xml:space="preserve"> be to attract participation by the right individuals</w:t>
      </w:r>
      <w:r w:rsidR="0098354B">
        <w:t>; i</w:t>
      </w:r>
      <w:r w:rsidR="0098354B" w:rsidRPr="0098354B">
        <w:t xml:space="preserve">t </w:t>
      </w:r>
      <w:r w:rsidR="0098354B">
        <w:t>had been</w:t>
      </w:r>
      <w:r w:rsidR="0098354B" w:rsidRPr="0098354B">
        <w:t xml:space="preserve"> noted that </w:t>
      </w:r>
      <w:proofErr w:type="spellStart"/>
      <w:r w:rsidR="0098354B" w:rsidRPr="0098354B">
        <w:t>Nendica</w:t>
      </w:r>
      <w:proofErr w:type="spellEnd"/>
      <w:r w:rsidR="0098354B" w:rsidRPr="0098354B">
        <w:t xml:space="preserve"> </w:t>
      </w:r>
      <w:r w:rsidR="00943AC9">
        <w:t>maintains</w:t>
      </w:r>
      <w:r w:rsidR="0098354B" w:rsidRPr="0098354B">
        <w:t xml:space="preserve"> no membership </w:t>
      </w:r>
      <w:proofErr w:type="gramStart"/>
      <w:r w:rsidR="00943AC9">
        <w:t>roster</w:t>
      </w:r>
      <w:proofErr w:type="gramEnd"/>
      <w:r w:rsidR="0098354B" w:rsidRPr="0098354B">
        <w:t xml:space="preserve"> and everyone can participate equally. It was suggested </w:t>
      </w:r>
      <w:r w:rsidR="0098354B">
        <w:t xml:space="preserve">at the </w:t>
      </w:r>
      <w:proofErr w:type="spellStart"/>
      <w:r w:rsidR="0098354B">
        <w:t>Nendica</w:t>
      </w:r>
      <w:proofErr w:type="spellEnd"/>
      <w:r w:rsidR="0098354B">
        <w:t xml:space="preserve"> meeting </w:t>
      </w:r>
      <w:r w:rsidR="0098354B" w:rsidRPr="0098354B">
        <w:t xml:space="preserve">to </w:t>
      </w:r>
      <w:r w:rsidR="0098354B">
        <w:t xml:space="preserve">make clear </w:t>
      </w:r>
      <w:r w:rsidR="0098354B" w:rsidRPr="0098354B">
        <w:t>that the architectural issues are not academic but that they address a real market need; for example, people designing a communication network for a factory are asking for features that work independent of the PHY or MAC, since the factory includes a mix. </w:t>
      </w:r>
      <w:r w:rsidR="0098354B">
        <w:t xml:space="preserve">Marks noted that a </w:t>
      </w:r>
      <w:proofErr w:type="spellStart"/>
      <w:r w:rsidR="0098354B" w:rsidRPr="0098354B">
        <w:t>Nendica</w:t>
      </w:r>
      <w:proofErr w:type="spellEnd"/>
      <w:r w:rsidR="0098354B" w:rsidRPr="0098354B">
        <w:t xml:space="preserve"> Study Item </w:t>
      </w:r>
      <w:r w:rsidR="0098354B">
        <w:t>might</w:t>
      </w:r>
      <w:r w:rsidR="0098354B" w:rsidRPr="0098354B">
        <w:t xml:space="preserve"> </w:t>
      </w:r>
      <w:r w:rsidR="0098354B">
        <w:t xml:space="preserve">help to </w:t>
      </w:r>
      <w:r w:rsidR="0098354B" w:rsidRPr="0098354B">
        <w:t>provide consensus background information and recommendations that could be useful to informing a future decision about a Study Group.</w:t>
      </w:r>
    </w:p>
    <w:p w14:paraId="74E2BC7D" w14:textId="332EF544" w:rsidR="003023DA" w:rsidRDefault="002E5FCE" w:rsidP="00E26539">
      <w:r>
        <w:t xml:space="preserve">There was discussion about the venue for developing the revision </w:t>
      </w:r>
      <w:proofErr w:type="gramStart"/>
      <w:r>
        <w:t>and also</w:t>
      </w:r>
      <w:proofErr w:type="gramEnd"/>
      <w:r>
        <w:t xml:space="preserve"> the precursor activity. </w:t>
      </w:r>
      <w:r w:rsidR="00E26539">
        <w:t xml:space="preserve">Concern was expressed that it will be challenging to attain </w:t>
      </w:r>
      <w:r w:rsidR="00E26539">
        <w:t xml:space="preserve">participants with the right skill sets and expertise. </w:t>
      </w:r>
      <w:r w:rsidR="00E26539">
        <w:t xml:space="preserve"> </w:t>
      </w:r>
      <w:r>
        <w:t xml:space="preserve">Some participants indicated that </w:t>
      </w:r>
      <w:proofErr w:type="spellStart"/>
      <w:r>
        <w:t>Nendica</w:t>
      </w:r>
      <w:proofErr w:type="spellEnd"/>
      <w:r>
        <w:t xml:space="preserve"> is a good venue</w:t>
      </w:r>
      <w:r w:rsidR="00E26539">
        <w:t xml:space="preserve"> for precursor work </w:t>
      </w:r>
      <w:r>
        <w:t>and that Working Group leaders should assign an individual to lead engagement with the activity and report to the WG, encourage other WG participants to join as well</w:t>
      </w:r>
      <w:r w:rsidR="006141D4">
        <w:t>.</w:t>
      </w:r>
    </w:p>
    <w:p w14:paraId="2D98C6C6" w14:textId="15888A40" w:rsidR="004E132A" w:rsidRPr="004E132A" w:rsidRDefault="004E132A" w:rsidP="006141D4">
      <w:r>
        <w:t xml:space="preserve">It was suggested that some WGs are not </w:t>
      </w:r>
      <w:proofErr w:type="gramStart"/>
      <w:r>
        <w:t>well aware</w:t>
      </w:r>
      <w:proofErr w:type="gramEnd"/>
      <w:r>
        <w:t xml:space="preserve"> of </w:t>
      </w:r>
      <w:proofErr w:type="spellStart"/>
      <w:r>
        <w:t>Nendica</w:t>
      </w:r>
      <w:proofErr w:type="spellEnd"/>
      <w:r>
        <w:t xml:space="preserve">. Marks noted that he had offered updates the WGs and that he had scheduled </w:t>
      </w:r>
      <w:r w:rsidR="00100CCD">
        <w:t xml:space="preserve">during </w:t>
      </w:r>
      <w:proofErr w:type="spellStart"/>
      <w:r>
        <w:t>during</w:t>
      </w:r>
      <w:proofErr w:type="spellEnd"/>
      <w:r>
        <w:t xml:space="preserve"> the current 802 Plenary Session, with 802.1, </w:t>
      </w:r>
      <w:r w:rsidRPr="004E132A">
        <w:t>802.3, 802.15, and 802.19.</w:t>
      </w:r>
    </w:p>
    <w:p w14:paraId="72B6D1BF" w14:textId="0B9DD6DF" w:rsidR="00522065" w:rsidRPr="004E132A" w:rsidRDefault="00417B90">
      <w:r w:rsidRPr="004E132A">
        <w:t xml:space="preserve">Action Item: Roger Marks to </w:t>
      </w:r>
      <w:r w:rsidR="004E132A" w:rsidRPr="004E132A">
        <w:t>prepare the minutes and report</w:t>
      </w:r>
      <w:r w:rsidR="006141D4" w:rsidRPr="004E132A">
        <w:t xml:space="preserve"> to </w:t>
      </w:r>
      <w:r w:rsidR="00522065" w:rsidRPr="004E132A">
        <w:t xml:space="preserve">the 20 July 2021 </w:t>
      </w:r>
      <w:r w:rsidR="004E132A">
        <w:t xml:space="preserve">IEEE </w:t>
      </w:r>
      <w:r w:rsidR="00522065" w:rsidRPr="004E132A">
        <w:t xml:space="preserve">802 </w:t>
      </w:r>
      <w:r w:rsidR="004E132A">
        <w:t>R</w:t>
      </w:r>
      <w:r w:rsidR="00522065" w:rsidRPr="004E132A">
        <w:t>estructuring ad hoc meeting.</w:t>
      </w:r>
    </w:p>
    <w:p w14:paraId="36558A91" w14:textId="7B0649FD" w:rsidR="00CB78D0" w:rsidRDefault="004E132A">
      <w:r w:rsidRPr="004E132A">
        <w:t>T</w:t>
      </w:r>
      <w:r w:rsidR="00417B90" w:rsidRPr="004E132A">
        <w:t>he meeting</w:t>
      </w:r>
      <w:r w:rsidR="00417B90">
        <w:t xml:space="preserve"> adjourned </w:t>
      </w:r>
      <w:r w:rsidR="00E47750">
        <w:t xml:space="preserve">at </w:t>
      </w:r>
      <w:r w:rsidR="00417B90">
        <w:t>1</w:t>
      </w:r>
      <w:r w:rsidR="00E47750">
        <w:t>1</w:t>
      </w:r>
      <w:r w:rsidR="008C064A">
        <w:t>:</w:t>
      </w:r>
      <w:r w:rsidR="00E47750">
        <w:t>49</w:t>
      </w:r>
      <w:r w:rsidR="00417B90">
        <w:t xml:space="preserve"> ET.</w:t>
      </w:r>
    </w:p>
    <w:sectPr w:rsidR="00CB78D0" w:rsidSect="00522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DE90" w14:textId="77777777" w:rsidR="007B1E15" w:rsidRDefault="007B1E15" w:rsidP="00BD2150">
      <w:pPr>
        <w:spacing w:after="0" w:line="240" w:lineRule="auto"/>
      </w:pPr>
      <w:r>
        <w:separator/>
      </w:r>
    </w:p>
  </w:endnote>
  <w:endnote w:type="continuationSeparator" w:id="0">
    <w:p w14:paraId="0E24C968" w14:textId="77777777" w:rsidR="007B1E15" w:rsidRDefault="007B1E15" w:rsidP="00BD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AE58" w14:textId="77777777" w:rsidR="001433B9" w:rsidRDefault="0014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0362" w14:textId="77777777" w:rsidR="001433B9" w:rsidRDefault="0014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3DAE" w14:textId="77777777" w:rsidR="001433B9" w:rsidRDefault="0014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92DD" w14:textId="77777777" w:rsidR="007B1E15" w:rsidRDefault="007B1E15" w:rsidP="00BD2150">
      <w:pPr>
        <w:spacing w:after="0" w:line="240" w:lineRule="auto"/>
      </w:pPr>
      <w:r>
        <w:separator/>
      </w:r>
    </w:p>
  </w:footnote>
  <w:footnote w:type="continuationSeparator" w:id="0">
    <w:p w14:paraId="5BBF47C7" w14:textId="77777777" w:rsidR="007B1E15" w:rsidRDefault="007B1E15" w:rsidP="00BD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B839" w14:textId="77777777" w:rsidR="001433B9" w:rsidRDefault="00143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FC5" w14:textId="465A2BD6" w:rsidR="00BD2150" w:rsidRDefault="00BD2150">
    <w:pPr>
      <w:pStyle w:val="Header"/>
    </w:pPr>
    <w:r>
      <w:tab/>
    </w:r>
    <w:r>
      <w:tab/>
    </w:r>
    <w:r w:rsidRPr="00CB78D0">
      <w:t>802-ec-21-</w:t>
    </w:r>
    <w:r w:rsidR="001433B9">
      <w:t>0163</w:t>
    </w:r>
    <w:r w:rsidRPr="00CB78D0">
      <w:t>-0</w:t>
    </w:r>
    <w:r w:rsidR="001433B9">
      <w:t>0</w:t>
    </w:r>
    <w:r w:rsidRPr="00CB78D0">
      <w:t>-00EC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A18F" w14:textId="77777777" w:rsidR="001433B9" w:rsidRDefault="0014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0009"/>
    <w:multiLevelType w:val="hybridMultilevel"/>
    <w:tmpl w:val="14D6A994"/>
    <w:lvl w:ilvl="0" w:tplc="27E0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8C3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AA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01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8B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AA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A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0C1195"/>
    <w:multiLevelType w:val="hybridMultilevel"/>
    <w:tmpl w:val="4380D812"/>
    <w:lvl w:ilvl="0" w:tplc="2AAC5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2F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45B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85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C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8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2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2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CC7BD6"/>
    <w:multiLevelType w:val="hybridMultilevel"/>
    <w:tmpl w:val="1EB69462"/>
    <w:lvl w:ilvl="0" w:tplc="EAA2F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83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0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8E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A4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21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C4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C"/>
    <w:rsid w:val="000E02AB"/>
    <w:rsid w:val="00100CCD"/>
    <w:rsid w:val="001433B9"/>
    <w:rsid w:val="001C3A56"/>
    <w:rsid w:val="00216F24"/>
    <w:rsid w:val="002274E1"/>
    <w:rsid w:val="002E5FCE"/>
    <w:rsid w:val="0030141A"/>
    <w:rsid w:val="003023DA"/>
    <w:rsid w:val="00417B90"/>
    <w:rsid w:val="004355E1"/>
    <w:rsid w:val="004465FB"/>
    <w:rsid w:val="00465D33"/>
    <w:rsid w:val="004E132A"/>
    <w:rsid w:val="005052D0"/>
    <w:rsid w:val="00522065"/>
    <w:rsid w:val="005309AC"/>
    <w:rsid w:val="005502FB"/>
    <w:rsid w:val="00581111"/>
    <w:rsid w:val="005D759F"/>
    <w:rsid w:val="005E698A"/>
    <w:rsid w:val="006141D4"/>
    <w:rsid w:val="00683C4D"/>
    <w:rsid w:val="007B1E15"/>
    <w:rsid w:val="00804CA6"/>
    <w:rsid w:val="0083452F"/>
    <w:rsid w:val="0087467B"/>
    <w:rsid w:val="008C064A"/>
    <w:rsid w:val="00907E3E"/>
    <w:rsid w:val="00943AC9"/>
    <w:rsid w:val="0098354B"/>
    <w:rsid w:val="009C3B97"/>
    <w:rsid w:val="00A45E10"/>
    <w:rsid w:val="00B0705A"/>
    <w:rsid w:val="00B65689"/>
    <w:rsid w:val="00BD2150"/>
    <w:rsid w:val="00CB78D0"/>
    <w:rsid w:val="00D56754"/>
    <w:rsid w:val="00DC16C1"/>
    <w:rsid w:val="00DC1ECE"/>
    <w:rsid w:val="00E26539"/>
    <w:rsid w:val="00E34605"/>
    <w:rsid w:val="00E47750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A243"/>
  <w15:chartTrackingRefBased/>
  <w15:docId w15:val="{8747004A-FF45-4076-8EA7-ACD9CC6C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50"/>
  </w:style>
  <w:style w:type="paragraph" w:styleId="Footer">
    <w:name w:val="footer"/>
    <w:basedOn w:val="Normal"/>
    <w:link w:val="FooterChar"/>
    <w:uiPriority w:val="99"/>
    <w:unhideWhenUsed/>
    <w:rsid w:val="00BD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50"/>
  </w:style>
  <w:style w:type="paragraph" w:styleId="BalloonText">
    <w:name w:val="Balloon Text"/>
    <w:basedOn w:val="Normal"/>
    <w:link w:val="BalloonTextChar"/>
    <w:uiPriority w:val="99"/>
    <w:semiHidden/>
    <w:unhideWhenUsed/>
    <w:rsid w:val="006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/dcn/21/1-21-0014-02-ICne-potential-nendica-study-item-evolving-ieee-802-architecture-requirement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142-01-00EC-technical-coherence-sub-ad-hoc-22jun2021-notes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paulnikolich paulnikolich</dc:creator>
  <cp:keywords/>
  <dc:description/>
  <cp:lastModifiedBy>Roger Marks</cp:lastModifiedBy>
  <cp:revision>10</cp:revision>
  <dcterms:created xsi:type="dcterms:W3CDTF">2021-07-18T20:19:00Z</dcterms:created>
  <dcterms:modified xsi:type="dcterms:W3CDTF">2021-07-18T21:12:00Z</dcterms:modified>
</cp:coreProperties>
</file>