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E38" w:rsidRDefault="003C2BBC">
      <w:r>
        <w:t xml:space="preserve">802 Executive Committee </w:t>
      </w:r>
      <w:r w:rsidR="00B96E38">
        <w:t>Chair</w:t>
      </w:r>
      <w:r>
        <w:t>man</w:t>
      </w:r>
      <w:r w:rsidR="00B96E38">
        <w:t>’s Guideline for the 802 Ombudsman</w:t>
      </w:r>
      <w:r w:rsidR="00B96E38">
        <w:br/>
      </w:r>
      <w:r w:rsidR="00FF6547">
        <w:br/>
      </w:r>
      <w:r w:rsidR="00B96E38">
        <w:t>Purpose: To concisely state the role and responsibilities of the 802 Ombudsman.</w:t>
      </w:r>
    </w:p>
    <w:p w:rsidR="00B96E38" w:rsidRDefault="00B96E38">
      <w:r>
        <w:t>802 Ombudsman Position Description:</w:t>
      </w:r>
    </w:p>
    <w:p w:rsidR="00B96E38" w:rsidRDefault="00B96E38" w:rsidP="00B96E38">
      <w:pPr>
        <w:pStyle w:val="ListParagraph"/>
        <w:numPr>
          <w:ilvl w:val="0"/>
          <w:numId w:val="1"/>
        </w:numPr>
      </w:pPr>
      <w:bookmarkStart w:id="0" w:name="_GoBack"/>
      <w:r>
        <w:t>Is a confidential and informal information resource, communications channel, complaint-</w:t>
      </w:r>
      <w:bookmarkEnd w:id="0"/>
      <w:r>
        <w:t xml:space="preserve">handler and dispute-resolver, and a person who helps an organization work for change. </w:t>
      </w:r>
    </w:p>
    <w:p w:rsidR="00B96E38" w:rsidRDefault="00B96E38" w:rsidP="00B96E38">
      <w:pPr>
        <w:pStyle w:val="ListParagraph"/>
        <w:numPr>
          <w:ilvl w:val="0"/>
          <w:numId w:val="1"/>
        </w:numPr>
      </w:pPr>
      <w:r>
        <w:t>Purpose is to foster values and decent behavior -fairness, justice, equality of opportunity and respect</w:t>
      </w:r>
    </w:p>
    <w:p w:rsidR="00B96E38" w:rsidRDefault="00B96E38" w:rsidP="00B96E38">
      <w:pPr>
        <w:pStyle w:val="ListParagraph"/>
        <w:numPr>
          <w:ilvl w:val="0"/>
          <w:numId w:val="1"/>
        </w:numPr>
      </w:pPr>
      <w:r>
        <w:t xml:space="preserve">Is a designated neutral within an organization and </w:t>
      </w:r>
      <w:r w:rsidR="00F56BB1">
        <w:t>reports to the 802 Executive Committee</w:t>
      </w:r>
      <w:r>
        <w:t>, outside ordinary management channels</w:t>
      </w:r>
    </w:p>
    <w:p w:rsidR="001A0482" w:rsidRDefault="00D62C4D" w:rsidP="00B96E38">
      <w:pPr>
        <w:pStyle w:val="ListParagraph"/>
        <w:numPr>
          <w:ilvl w:val="0"/>
          <w:numId w:val="1"/>
        </w:numPr>
      </w:pPr>
      <w:r>
        <w:t>Comply with all requirements defined in 802 LMSC P&amp;P 11.0 Standards Committee Ombudsman</w:t>
      </w:r>
    </w:p>
    <w:p w:rsidR="00F648D2" w:rsidRDefault="00F648D2" w:rsidP="00B96E38">
      <w:pPr>
        <w:pStyle w:val="ListParagraph"/>
        <w:numPr>
          <w:ilvl w:val="0"/>
          <w:numId w:val="1"/>
        </w:numPr>
      </w:pPr>
      <w:r>
        <w:t>C</w:t>
      </w:r>
      <w:r w:rsidRPr="00F648D2">
        <w:t>ontact details: 802ombudsman@ieee.org</w:t>
      </w:r>
    </w:p>
    <w:p w:rsidR="00B96E38" w:rsidRDefault="00B96E38" w:rsidP="00B96E38">
      <w:r>
        <w:t>802 Ombudsman Position functions and skills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Listening impartially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Providing and Receiving Information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Reframing Issues and Developing Options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Referral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Helping People Help Themselves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Information - Third Party Intervention and Diplomacy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Looking into the Problem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Generic Approach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Systems Change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Following Through</w:t>
      </w:r>
    </w:p>
    <w:p w:rsidR="00B96E38" w:rsidRDefault="00B96E38" w:rsidP="00B96E38">
      <w:pPr>
        <w:pStyle w:val="ListParagraph"/>
        <w:numPr>
          <w:ilvl w:val="0"/>
          <w:numId w:val="2"/>
        </w:numPr>
      </w:pPr>
      <w:r>
        <w:t>Investigation and Adjudication or Formal Appeals</w:t>
      </w:r>
    </w:p>
    <w:p w:rsidR="00F648D2" w:rsidRDefault="00F648D2" w:rsidP="00B96E38">
      <w:r>
        <w:t>802 Ombudsman operational guidance</w:t>
      </w:r>
    </w:p>
    <w:p w:rsidR="008048B8" w:rsidRPr="001D155D" w:rsidRDefault="008048B8" w:rsidP="001D155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>Conflict of Interest</w:t>
      </w:r>
    </w:p>
    <w:p w:rsidR="008048B8" w:rsidRPr="001D155D" w:rsidRDefault="00F648D2" w:rsidP="001D155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 xml:space="preserve">Should an IEEE 802 </w:t>
      </w:r>
      <w:r w:rsidR="004D0123" w:rsidRPr="001D155D">
        <w:rPr>
          <w:rFonts w:eastAsia="Times New Roman" w:cstheme="minorHAnsi"/>
          <w:color w:val="000000"/>
          <w:szCs w:val="20"/>
        </w:rPr>
        <w:t>participant</w:t>
      </w:r>
      <w:r w:rsidRPr="001D155D">
        <w:rPr>
          <w:rFonts w:eastAsia="Times New Roman" w:cstheme="minorHAnsi"/>
          <w:color w:val="000000"/>
          <w:szCs w:val="20"/>
        </w:rPr>
        <w:t xml:space="preserve"> seek the ombudsman's help on a matter that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</w:t>
      </w:r>
      <w:r w:rsidRPr="001D155D">
        <w:rPr>
          <w:rFonts w:eastAsia="Times New Roman" w:cstheme="minorHAnsi"/>
          <w:color w:val="000000"/>
          <w:szCs w:val="20"/>
        </w:rPr>
        <w:t>is related to any of the ombudsman's affiliations, the ombudsman is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</w:t>
      </w:r>
      <w:r w:rsidRPr="001D155D">
        <w:rPr>
          <w:rFonts w:eastAsia="Times New Roman" w:cstheme="minorHAnsi"/>
          <w:color w:val="000000"/>
          <w:szCs w:val="20"/>
        </w:rPr>
        <w:t>conflicted</w:t>
      </w:r>
      <w:r w:rsidR="004D0123" w:rsidRPr="001D155D">
        <w:rPr>
          <w:rFonts w:eastAsia="Times New Roman" w:cstheme="minorHAnsi"/>
          <w:color w:val="000000"/>
          <w:szCs w:val="20"/>
        </w:rPr>
        <w:t>.</w:t>
      </w:r>
    </w:p>
    <w:p w:rsidR="00F648D2" w:rsidRPr="001D155D" w:rsidRDefault="00F648D2" w:rsidP="001D155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 xml:space="preserve">In case the ombudsman is conflicted, the 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802 </w:t>
      </w:r>
      <w:proofErr w:type="gramStart"/>
      <w:r w:rsidRPr="001D155D">
        <w:rPr>
          <w:rFonts w:eastAsia="Times New Roman" w:cstheme="minorHAnsi"/>
          <w:color w:val="000000"/>
          <w:szCs w:val="20"/>
        </w:rPr>
        <w:t>ombudsman</w:t>
      </w:r>
      <w:proofErr w:type="gramEnd"/>
      <w:r w:rsidRPr="001D155D">
        <w:rPr>
          <w:rFonts w:eastAsia="Times New Roman" w:cstheme="minorHAnsi"/>
          <w:color w:val="000000"/>
          <w:szCs w:val="20"/>
        </w:rPr>
        <w:t xml:space="preserve"> shall refer the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</w:t>
      </w:r>
      <w:r w:rsidRPr="001D155D">
        <w:rPr>
          <w:rFonts w:eastAsia="Times New Roman" w:cstheme="minorHAnsi"/>
          <w:color w:val="000000"/>
          <w:szCs w:val="20"/>
        </w:rPr>
        <w:t xml:space="preserve">help seeking IEEE 802 </w:t>
      </w:r>
      <w:r w:rsidR="004D0123" w:rsidRPr="001D155D">
        <w:rPr>
          <w:rFonts w:eastAsia="Times New Roman" w:cstheme="minorHAnsi"/>
          <w:color w:val="000000"/>
          <w:szCs w:val="20"/>
        </w:rPr>
        <w:t>participant</w:t>
      </w:r>
      <w:r w:rsidRPr="001D155D">
        <w:rPr>
          <w:rFonts w:eastAsia="Times New Roman" w:cstheme="minorHAnsi"/>
          <w:color w:val="000000"/>
          <w:szCs w:val="20"/>
        </w:rPr>
        <w:t xml:space="preserve"> to the IEEE 802 EC chair</w:t>
      </w:r>
      <w:r w:rsidR="00834C11">
        <w:rPr>
          <w:rFonts w:eastAsia="Times New Roman" w:cstheme="minorHAnsi"/>
          <w:color w:val="000000"/>
          <w:szCs w:val="20"/>
        </w:rPr>
        <w:t xml:space="preserve"> for assignment of an unconflicted person to act as the ‘unconflicted ombudsman’ for that particular case.</w:t>
      </w:r>
    </w:p>
    <w:p w:rsidR="00F648D2" w:rsidRPr="00F648D2" w:rsidRDefault="00F648D2" w:rsidP="00F648D2">
      <w:pPr>
        <w:spacing w:after="0" w:line="240" w:lineRule="auto"/>
        <w:rPr>
          <w:rFonts w:eastAsia="Times New Roman" w:cstheme="minorHAnsi"/>
          <w:color w:val="000000"/>
          <w:szCs w:val="20"/>
        </w:rPr>
      </w:pPr>
    </w:p>
    <w:p w:rsidR="008048B8" w:rsidRPr="001D155D" w:rsidRDefault="008048B8" w:rsidP="001D155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>Confidentiality</w:t>
      </w:r>
    </w:p>
    <w:p w:rsidR="008048B8" w:rsidRPr="001D155D" w:rsidRDefault="00F648D2" w:rsidP="001D155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 xml:space="preserve">The 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802 </w:t>
      </w:r>
      <w:proofErr w:type="gramStart"/>
      <w:r w:rsidRPr="001D155D">
        <w:rPr>
          <w:rFonts w:eastAsia="Times New Roman" w:cstheme="minorHAnsi"/>
          <w:color w:val="000000"/>
          <w:szCs w:val="20"/>
        </w:rPr>
        <w:t>ombudsman</w:t>
      </w:r>
      <w:proofErr w:type="gramEnd"/>
      <w:r w:rsidRPr="001D155D">
        <w:rPr>
          <w:rFonts w:eastAsia="Times New Roman" w:cstheme="minorHAnsi"/>
          <w:color w:val="000000"/>
          <w:szCs w:val="20"/>
        </w:rPr>
        <w:t xml:space="preserve"> shall treat all conversation and communication of IEEE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</w:t>
      </w:r>
      <w:r w:rsidRPr="001D155D">
        <w:rPr>
          <w:rFonts w:eastAsia="Times New Roman" w:cstheme="minorHAnsi"/>
          <w:color w:val="000000"/>
          <w:szCs w:val="20"/>
        </w:rPr>
        <w:t xml:space="preserve">802 </w:t>
      </w:r>
      <w:r w:rsidR="004D0123" w:rsidRPr="001D155D">
        <w:rPr>
          <w:rFonts w:eastAsia="Times New Roman" w:cstheme="minorHAnsi"/>
          <w:color w:val="000000"/>
          <w:szCs w:val="20"/>
        </w:rPr>
        <w:t>participant</w:t>
      </w:r>
      <w:r w:rsidRPr="001D155D">
        <w:rPr>
          <w:rFonts w:eastAsia="Times New Roman" w:cstheme="minorHAnsi"/>
          <w:color w:val="000000"/>
          <w:szCs w:val="20"/>
        </w:rPr>
        <w:t>s approaching the ombudsman in his role as ombudsman as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strictly </w:t>
      </w:r>
      <w:r w:rsidRPr="001D155D">
        <w:rPr>
          <w:rFonts w:eastAsia="Times New Roman" w:cstheme="minorHAnsi"/>
          <w:color w:val="000000"/>
          <w:szCs w:val="20"/>
        </w:rPr>
        <w:t>confidential.</w:t>
      </w:r>
    </w:p>
    <w:p w:rsidR="00F648D2" w:rsidRPr="001D155D" w:rsidRDefault="00F648D2" w:rsidP="001D155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 xml:space="preserve">Without the written consent of an IEEE 802 </w:t>
      </w:r>
      <w:r w:rsidR="004D0123" w:rsidRPr="001D155D">
        <w:rPr>
          <w:rFonts w:eastAsia="Times New Roman" w:cstheme="minorHAnsi"/>
          <w:color w:val="000000"/>
          <w:szCs w:val="20"/>
        </w:rPr>
        <w:t>participant</w:t>
      </w:r>
      <w:r w:rsidRPr="001D155D">
        <w:rPr>
          <w:rFonts w:eastAsia="Times New Roman" w:cstheme="minorHAnsi"/>
          <w:color w:val="000000"/>
          <w:szCs w:val="20"/>
        </w:rPr>
        <w:t xml:space="preserve"> seeking the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</w:t>
      </w:r>
      <w:r w:rsidRPr="001D155D">
        <w:rPr>
          <w:rFonts w:eastAsia="Times New Roman" w:cstheme="minorHAnsi"/>
          <w:color w:val="000000"/>
          <w:szCs w:val="20"/>
        </w:rPr>
        <w:t>ombudsman's help, the ombudsman shall not reveal the identity of the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participant</w:t>
      </w:r>
      <w:r w:rsidRPr="001D155D">
        <w:rPr>
          <w:rFonts w:eastAsia="Times New Roman" w:cstheme="minorHAnsi"/>
          <w:color w:val="000000"/>
          <w:szCs w:val="20"/>
        </w:rPr>
        <w:t>.</w:t>
      </w:r>
    </w:p>
    <w:p w:rsidR="00F648D2" w:rsidRPr="00F648D2" w:rsidRDefault="00F648D2" w:rsidP="001D155D">
      <w:pPr>
        <w:spacing w:after="0" w:line="240" w:lineRule="auto"/>
        <w:ind w:firstLine="45"/>
        <w:rPr>
          <w:rFonts w:eastAsia="Times New Roman" w:cstheme="minorHAnsi"/>
          <w:color w:val="000000"/>
          <w:szCs w:val="20"/>
        </w:rPr>
      </w:pPr>
    </w:p>
    <w:p w:rsidR="008048B8" w:rsidRPr="001D155D" w:rsidRDefault="008048B8" w:rsidP="001D155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 xml:space="preserve">Independence and </w:t>
      </w:r>
      <w:proofErr w:type="spellStart"/>
      <w:r w:rsidRPr="001D155D">
        <w:rPr>
          <w:rFonts w:eastAsia="Times New Roman" w:cstheme="minorHAnsi"/>
          <w:color w:val="000000"/>
          <w:szCs w:val="20"/>
        </w:rPr>
        <w:t>Neutraility</w:t>
      </w:r>
      <w:proofErr w:type="spellEnd"/>
    </w:p>
    <w:p w:rsidR="00B96E38" w:rsidRPr="001D155D" w:rsidRDefault="00F648D2" w:rsidP="001D155D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szCs w:val="20"/>
        </w:rPr>
      </w:pPr>
      <w:r w:rsidRPr="001D155D">
        <w:rPr>
          <w:rFonts w:eastAsia="Times New Roman" w:cstheme="minorHAnsi"/>
          <w:color w:val="000000"/>
          <w:szCs w:val="20"/>
        </w:rPr>
        <w:t>The ombudsman shall act as independent and neutral third party that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</w:t>
      </w:r>
      <w:r w:rsidRPr="001D155D">
        <w:rPr>
          <w:rFonts w:eastAsia="Times New Roman" w:cstheme="minorHAnsi"/>
          <w:color w:val="000000"/>
          <w:szCs w:val="20"/>
        </w:rPr>
        <w:t>may bring forward concerns or complaints on behalf of IEEE 802</w:t>
      </w:r>
      <w:r w:rsidR="004D0123" w:rsidRPr="001D155D">
        <w:rPr>
          <w:rFonts w:eastAsia="Times New Roman" w:cstheme="minorHAnsi"/>
          <w:color w:val="000000"/>
          <w:szCs w:val="20"/>
        </w:rPr>
        <w:t xml:space="preserve"> participant</w:t>
      </w:r>
      <w:r w:rsidRPr="001D155D">
        <w:rPr>
          <w:rFonts w:eastAsia="Times New Roman" w:cstheme="minorHAnsi"/>
          <w:color w:val="000000"/>
          <w:szCs w:val="20"/>
        </w:rPr>
        <w:t>s.</w:t>
      </w:r>
    </w:p>
    <w:sectPr w:rsidR="00B96E38" w:rsidRPr="001D15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DF" w:rsidRDefault="00D329DF" w:rsidP="00834C11">
      <w:pPr>
        <w:spacing w:after="0" w:line="240" w:lineRule="auto"/>
      </w:pPr>
      <w:r>
        <w:separator/>
      </w:r>
    </w:p>
  </w:endnote>
  <w:endnote w:type="continuationSeparator" w:id="0">
    <w:p w:rsidR="00D329DF" w:rsidRDefault="00D329DF" w:rsidP="0083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DF" w:rsidRDefault="00D329DF" w:rsidP="00834C11">
      <w:pPr>
        <w:spacing w:after="0" w:line="240" w:lineRule="auto"/>
      </w:pPr>
      <w:r>
        <w:separator/>
      </w:r>
    </w:p>
  </w:footnote>
  <w:footnote w:type="continuationSeparator" w:id="0">
    <w:p w:rsidR="00D329DF" w:rsidRDefault="00D329DF" w:rsidP="0083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11" w:rsidRDefault="00834C11">
    <w:pPr>
      <w:pStyle w:val="Header"/>
    </w:pPr>
    <w:r w:rsidRPr="00834C11">
      <w:t xml:space="preserve">Draft 01.0, 09 July 2019 Guido </w:t>
    </w:r>
    <w:proofErr w:type="spellStart"/>
    <w:r w:rsidRPr="00834C11">
      <w:t>Hiertz</w:t>
    </w:r>
    <w:proofErr w:type="spellEnd"/>
    <w:r w:rsidRPr="00834C11">
      <w:t xml:space="preserve"> and Paul Nikolich</w:t>
    </w:r>
    <w:r w:rsidR="005940D4">
      <w:tab/>
    </w:r>
    <w:r w:rsidR="00F46211" w:rsidRPr="00F46211">
      <w:t>DCN ec-19-0105-00-00EC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2518"/>
    <w:multiLevelType w:val="hybridMultilevel"/>
    <w:tmpl w:val="9058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1171"/>
    <w:multiLevelType w:val="hybridMultilevel"/>
    <w:tmpl w:val="8078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21874"/>
    <w:multiLevelType w:val="hybridMultilevel"/>
    <w:tmpl w:val="8908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38"/>
    <w:rsid w:val="001A0482"/>
    <w:rsid w:val="001D155D"/>
    <w:rsid w:val="00202C01"/>
    <w:rsid w:val="00216F24"/>
    <w:rsid w:val="00356AE2"/>
    <w:rsid w:val="003C2BBC"/>
    <w:rsid w:val="004D0123"/>
    <w:rsid w:val="005940D4"/>
    <w:rsid w:val="008048B8"/>
    <w:rsid w:val="00834C11"/>
    <w:rsid w:val="00B96E38"/>
    <w:rsid w:val="00D329DF"/>
    <w:rsid w:val="00D62C4D"/>
    <w:rsid w:val="00F46211"/>
    <w:rsid w:val="00F56BB1"/>
    <w:rsid w:val="00F648D2"/>
    <w:rsid w:val="00FA3B0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D532"/>
  <w15:chartTrackingRefBased/>
  <w15:docId w15:val="{7B09955E-1FF0-4E22-BA48-06550CEB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E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11"/>
  </w:style>
  <w:style w:type="paragraph" w:styleId="Footer">
    <w:name w:val="footer"/>
    <w:basedOn w:val="Normal"/>
    <w:link w:val="FooterChar"/>
    <w:uiPriority w:val="99"/>
    <w:unhideWhenUsed/>
    <w:rsid w:val="0083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56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 Nikolich</cp:lastModifiedBy>
  <cp:revision>2</cp:revision>
  <dcterms:created xsi:type="dcterms:W3CDTF">2019-07-09T13:51:00Z</dcterms:created>
  <dcterms:modified xsi:type="dcterms:W3CDTF">2019-07-09T13:51:00Z</dcterms:modified>
</cp:coreProperties>
</file>