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F4" w:rsidRDefault="00A25AF4" w:rsidP="00A25AF4">
      <w:pPr>
        <w:spacing w:after="218" w:line="259" w:lineRule="auto"/>
        <w:ind w:left="-5"/>
      </w:pPr>
      <w:r>
        <w:rPr>
          <w:b/>
        </w:rPr>
        <w:t>From</w:t>
      </w:r>
      <w:r w:rsidR="006F13AA">
        <w:rPr>
          <w:b/>
        </w:rPr>
        <w:t>:</w:t>
      </w:r>
      <w:r>
        <w:rPr>
          <w:b/>
        </w:rPr>
        <w:t xml:space="preserve"> </w:t>
      </w:r>
      <w:r w:rsidR="006F13AA">
        <w:rPr>
          <w:b/>
        </w:rPr>
        <w:tab/>
      </w:r>
      <w:r>
        <w:rPr>
          <w:b/>
        </w:rPr>
        <w:t xml:space="preserve">IEEE 802 </w:t>
      </w:r>
    </w:p>
    <w:p w:rsidR="00A25AF4" w:rsidRDefault="00A25AF4" w:rsidP="00A25AF4">
      <w:pPr>
        <w:spacing w:after="218" w:line="259" w:lineRule="auto"/>
        <w:ind w:left="-5"/>
        <w:rPr>
          <w:b/>
        </w:rPr>
      </w:pPr>
      <w:r>
        <w:rPr>
          <w:b/>
        </w:rPr>
        <w:t>To</w:t>
      </w:r>
      <w:r w:rsidR="00D446DE">
        <w:rPr>
          <w:b/>
        </w:rPr>
        <w:t>:</w:t>
      </w:r>
      <w:r w:rsidR="00D446DE">
        <w:rPr>
          <w:b/>
        </w:rPr>
        <w:tab/>
      </w:r>
      <w:r>
        <w:rPr>
          <w:b/>
        </w:rPr>
        <w:t xml:space="preserve">3GPP Project Coordination Group (PCG) </w:t>
      </w:r>
    </w:p>
    <w:p w:rsidR="00D446DE" w:rsidRDefault="00D446DE" w:rsidP="00D446DE">
      <w:pPr>
        <w:tabs>
          <w:tab w:val="left" w:pos="810"/>
        </w:tabs>
        <w:spacing w:before="100" w:beforeAutospacing="1" w:after="100" w:afterAutospacing="1"/>
      </w:pPr>
      <w:r>
        <w:tab/>
      </w:r>
      <w:r>
        <w:tab/>
      </w:r>
      <w:hyperlink r:id="rId8" w:history="1">
        <w:r w:rsidRPr="008B5ADD">
          <w:rPr>
            <w:rStyle w:val="Hyperlink"/>
          </w:rPr>
          <w:t>3GPPliaison@etsi.org</w:t>
        </w:r>
      </w:hyperlink>
    </w:p>
    <w:p w:rsidR="00D446DE" w:rsidRDefault="00D446DE" w:rsidP="00D446DE">
      <w:pPr>
        <w:tabs>
          <w:tab w:val="left" w:pos="810"/>
        </w:tabs>
        <w:spacing w:before="100" w:beforeAutospacing="1" w:after="100" w:afterAutospacing="1"/>
        <w:rPr>
          <w:lang w:val="en-US"/>
        </w:rPr>
      </w:pPr>
      <w:r>
        <w:tab/>
      </w:r>
      <w:r>
        <w:tab/>
      </w:r>
      <w:hyperlink r:id="rId9" w:history="1">
        <w:r>
          <w:rPr>
            <w:rStyle w:val="Hyperlink"/>
            <w:lang w:val="en-US"/>
          </w:rPr>
          <w:t>susanna.kooistra@3gpp.org</w:t>
        </w:r>
      </w:hyperlink>
      <w:r>
        <w:rPr>
          <w:lang w:val="en-US"/>
        </w:rPr>
        <w:t xml:space="preserve"> – Liaison Coordinator</w:t>
      </w:r>
    </w:p>
    <w:p w:rsidR="00D446DE" w:rsidRDefault="00D446DE" w:rsidP="00D446DE">
      <w:pPr>
        <w:tabs>
          <w:tab w:val="left" w:pos="810"/>
        </w:tabs>
        <w:spacing w:before="100" w:beforeAutospacing="1" w:after="100" w:afterAutospacing="1"/>
        <w:rPr>
          <w:lang w:val="en-US"/>
        </w:rPr>
      </w:pPr>
      <w:r>
        <w:rPr>
          <w:lang w:val="en-US"/>
        </w:rPr>
        <w:tab/>
      </w:r>
      <w:r>
        <w:rPr>
          <w:lang w:val="en-US"/>
        </w:rPr>
        <w:tab/>
        <w:t>Wang ZHIQIN 3GPP PCG Chair</w:t>
      </w:r>
    </w:p>
    <w:p w:rsidR="00D446DE" w:rsidRDefault="00D446DE" w:rsidP="00D446DE">
      <w:pPr>
        <w:tabs>
          <w:tab w:val="left" w:pos="810"/>
        </w:tabs>
        <w:spacing w:before="100" w:beforeAutospacing="1" w:after="100" w:afterAutospacing="1"/>
        <w:rPr>
          <w:lang w:val="en-US"/>
        </w:rPr>
      </w:pPr>
      <w:r>
        <w:rPr>
          <w:lang w:val="en-US"/>
        </w:rPr>
        <w:tab/>
      </w:r>
      <w:r>
        <w:rPr>
          <w:lang w:val="en-US"/>
        </w:rPr>
        <w:tab/>
      </w:r>
      <w:hyperlink r:id="rId10" w:history="1">
        <w:r w:rsidRPr="00D446DE">
          <w:rPr>
            <w:rStyle w:val="Hyperlink"/>
            <w:lang w:val="en-US"/>
          </w:rPr>
          <w:t>Adrian SCRASE</w:t>
        </w:r>
      </w:hyperlink>
      <w:r>
        <w:rPr>
          <w:lang w:val="en-US"/>
        </w:rPr>
        <w:t xml:space="preserve"> 3GPP PCG Secretary</w:t>
      </w:r>
    </w:p>
    <w:p w:rsidR="00A25AF4" w:rsidRPr="00342D09" w:rsidRDefault="00A25AF4" w:rsidP="00A25AF4">
      <w:pPr>
        <w:spacing w:after="238"/>
        <w:ind w:left="-5"/>
        <w:rPr>
          <w:b/>
        </w:rPr>
      </w:pPr>
      <w:r>
        <w:rPr>
          <w:b/>
        </w:rPr>
        <w:t>Summary</w:t>
      </w:r>
    </w:p>
    <w:p w:rsidR="00A25AF4" w:rsidRDefault="00A25AF4" w:rsidP="00A25AF4">
      <w:pPr>
        <w:spacing w:after="238"/>
        <w:ind w:left="-5"/>
      </w:pPr>
      <w:r>
        <w:t xml:space="preserve">The </w:t>
      </w:r>
      <w:r w:rsidR="000A5DDC">
        <w:t>IEEE</w:t>
      </w:r>
      <w:r w:rsidR="008636E0">
        <w:t xml:space="preserve"> </w:t>
      </w:r>
      <w:r w:rsidR="00D446DE" w:rsidRPr="00D446DE">
        <w:t xml:space="preserve">802 LAN/MAN Standards Committee </w:t>
      </w:r>
      <w:r w:rsidR="00D446DE">
        <w:t>(</w:t>
      </w:r>
      <w:r w:rsidR="0035093C">
        <w:t xml:space="preserve">IEEE </w:t>
      </w:r>
      <w:r w:rsidR="00D446DE">
        <w:t>802)</w:t>
      </w:r>
      <w:r>
        <w:t xml:space="preserve"> would like to collaborate with</w:t>
      </w:r>
      <w:r w:rsidR="008636E0">
        <w:t xml:space="preserve"> the 3</w:t>
      </w:r>
      <w:r w:rsidR="00B63E2D">
        <w:t>rd</w:t>
      </w:r>
      <w:r w:rsidR="006D06F6">
        <w:t xml:space="preserve"> </w:t>
      </w:r>
      <w:r w:rsidR="008636E0">
        <w:t>Generation Partnership Project</w:t>
      </w:r>
      <w:r>
        <w:t xml:space="preserve"> </w:t>
      </w:r>
      <w:r w:rsidR="008636E0">
        <w:t>(</w:t>
      </w:r>
      <w:bookmarkStart w:id="0" w:name="OLE_LINK1"/>
      <w:r w:rsidR="008636E0">
        <w:t>3GPP</w:t>
      </w:r>
      <w:bookmarkEnd w:id="0"/>
      <w:r w:rsidR="008636E0">
        <w:t>)</w:t>
      </w:r>
      <w:r w:rsidR="006D06F6">
        <w:t xml:space="preserve"> </w:t>
      </w:r>
      <w:r>
        <w:t>towards support of IMT-2020</w:t>
      </w:r>
      <w:r w:rsidR="00F521DB">
        <w:t xml:space="preserve"> and next generation networks</w:t>
      </w:r>
      <w:r>
        <w:t>.</w:t>
      </w:r>
      <w:r w:rsidR="006D06F6">
        <w:t xml:space="preserve"> </w:t>
      </w:r>
      <w:r>
        <w:t>We suggest that this begin with developing a common understanding of interworking with IEEE 802 networks in meeting the</w:t>
      </w:r>
      <w:r w:rsidR="006D06F6">
        <w:t xml:space="preserve"> </w:t>
      </w:r>
      <w:r>
        <w:t>requirements</w:t>
      </w:r>
      <w:r w:rsidR="0095705B">
        <w:t xml:space="preserve"> of</w:t>
      </w:r>
      <w:r>
        <w:t xml:space="preserve"> </w:t>
      </w:r>
      <w:r w:rsidR="0095705B">
        <w:t>next generation networks</w:t>
      </w:r>
      <w:r>
        <w:t xml:space="preserve">. We also believe it would be helpful for our organizations to </w:t>
      </w:r>
      <w:r w:rsidR="0060404D">
        <w:t>identify</w:t>
      </w:r>
      <w:r w:rsidR="006D06F6">
        <w:t xml:space="preserve"> </w:t>
      </w:r>
      <w:r>
        <w:t>mutually agreeable collaboration mechanism</w:t>
      </w:r>
      <w:r w:rsidR="0060404D">
        <w:t>s</w:t>
      </w:r>
      <w:r>
        <w:t xml:space="preserve"> that takes into account the existing procedures of each organization.</w:t>
      </w:r>
      <w:r w:rsidR="006D06F6">
        <w:t xml:space="preserve"> </w:t>
      </w:r>
      <w:r w:rsidR="000A5DDC">
        <w:t xml:space="preserve">We propose some collaborative approaches and </w:t>
      </w:r>
      <w:r>
        <w:t>request</w:t>
      </w:r>
      <w:r w:rsidR="008636E0">
        <w:t xml:space="preserve"> the 3GPP Project Coordination Group (</w:t>
      </w:r>
      <w:r>
        <w:t>PCG</w:t>
      </w:r>
      <w:r w:rsidR="008636E0">
        <w:t>)</w:t>
      </w:r>
      <w:r>
        <w:t xml:space="preserve"> to suggest </w:t>
      </w:r>
      <w:r w:rsidR="000A5DDC">
        <w:t>further details consistent with its goal</w:t>
      </w:r>
      <w:r w:rsidR="006F2B55">
        <w:t>s</w:t>
      </w:r>
      <w:r w:rsidR="000A5DDC">
        <w:t xml:space="preserve"> and operating procedures</w:t>
      </w:r>
      <w:r>
        <w:t>.</w:t>
      </w:r>
    </w:p>
    <w:p w:rsidR="00A25AF4" w:rsidRPr="00342D09" w:rsidRDefault="00A25AF4" w:rsidP="00A25AF4">
      <w:pPr>
        <w:ind w:left="-5"/>
        <w:rPr>
          <w:b/>
        </w:rPr>
      </w:pPr>
      <w:r w:rsidRPr="00342D09">
        <w:rPr>
          <w:b/>
        </w:rPr>
        <w:t>Background Information</w:t>
      </w:r>
    </w:p>
    <w:p w:rsidR="00A25AF4" w:rsidRDefault="00A25AF4" w:rsidP="00A25AF4">
      <w:pPr>
        <w:ind w:left="-5"/>
      </w:pPr>
      <w:r>
        <w:t xml:space="preserve">IEEE 802 would like to inform 3GPP of its recent activity on 5G standardization topics and explore developing a relationship to coordinate on mutually agreed topics as a result. </w:t>
      </w:r>
    </w:p>
    <w:p w:rsidR="002A374E" w:rsidRPr="002A374E" w:rsidRDefault="00226019" w:rsidP="00A25AF4">
      <w:pPr>
        <w:spacing w:after="249"/>
        <w:ind w:left="-5"/>
        <w:rPr>
          <w:u w:val="single"/>
        </w:rPr>
      </w:pPr>
      <w:r w:rsidRPr="00226019">
        <w:rPr>
          <w:u w:val="single"/>
        </w:rPr>
        <w:t>IEEE 802 EC 5G/IMT-2020 SC activity:</w:t>
      </w:r>
    </w:p>
    <w:p w:rsidR="00A25AF4" w:rsidRDefault="00A25AF4" w:rsidP="00A25AF4">
      <w:pPr>
        <w:spacing w:after="249"/>
        <w:ind w:left="-5"/>
      </w:pPr>
      <w:r>
        <w:t>The IEEE 802 Executive Committee (EC) 5G/IMT-2020 Standing Committee</w:t>
      </w:r>
      <w:r w:rsidR="001674CB">
        <w:t xml:space="preserve"> (SC)</w:t>
      </w:r>
      <w:r>
        <w:t xml:space="preserve"> was chartered the by IEEE 802 EC (from February to July 2016) to study standardization options for IEEE 802. Specifically, the main deliverable was to provide a report on the following items: </w:t>
      </w:r>
    </w:p>
    <w:p w:rsidR="00A25AF4" w:rsidRDefault="00A25AF4" w:rsidP="00A25AF4">
      <w:pPr>
        <w:numPr>
          <w:ilvl w:val="0"/>
          <w:numId w:val="1"/>
        </w:numPr>
        <w:spacing w:after="28"/>
        <w:ind w:hanging="360"/>
      </w:pPr>
      <w:r>
        <w:t xml:space="preserve">Costs and benefits of creating an IEEE 5G specification </w:t>
      </w:r>
    </w:p>
    <w:p w:rsidR="00A25AF4" w:rsidRDefault="00A25AF4" w:rsidP="00A25AF4">
      <w:pPr>
        <w:numPr>
          <w:ilvl w:val="0"/>
          <w:numId w:val="1"/>
        </w:numPr>
        <w:spacing w:after="183"/>
        <w:ind w:hanging="360"/>
      </w:pPr>
      <w:r>
        <w:t>Costs and benefits of providing a proposal for IMT-2020 in ITU-R</w:t>
      </w:r>
      <w:r w:rsidR="006D06F6">
        <w:t xml:space="preserve"> </w:t>
      </w:r>
    </w:p>
    <w:p w:rsidR="00A25AF4" w:rsidRDefault="00A25AF4" w:rsidP="00A25AF4">
      <w:pPr>
        <w:ind w:left="-5"/>
      </w:pPr>
      <w:r>
        <w:t>The Standing Committee delivered its final</w:t>
      </w:r>
      <w:hyperlink r:id="rId11">
        <w:r>
          <w:t xml:space="preserve"> </w:t>
        </w:r>
      </w:hyperlink>
      <w:hyperlink r:id="rId12">
        <w:r>
          <w:rPr>
            <w:color w:val="0000FF"/>
            <w:u w:val="single" w:color="0000FF"/>
          </w:rPr>
          <w:t>report</w:t>
        </w:r>
      </w:hyperlink>
      <w:hyperlink r:id="rId13">
        <w:r>
          <w:t xml:space="preserve"> </w:t>
        </w:r>
      </w:hyperlink>
      <w:r>
        <w:t>at the July 2016 IEEE 802 plenary in San Diego. That report was endorsed by the IEEE 802 LMSC EC.</w:t>
      </w:r>
      <w:r w:rsidR="006D06F6">
        <w:t xml:space="preserve"> </w:t>
      </w:r>
    </w:p>
    <w:p w:rsidR="00A25AF4" w:rsidRDefault="00A25AF4" w:rsidP="00A25AF4">
      <w:pPr>
        <w:ind w:left="-5"/>
      </w:pPr>
      <w:r>
        <w:t xml:space="preserve">The Standing Committee evaluated four options: </w:t>
      </w:r>
    </w:p>
    <w:p w:rsidR="00A25AF4" w:rsidRDefault="00A25AF4" w:rsidP="00A25AF4">
      <w:pPr>
        <w:numPr>
          <w:ilvl w:val="0"/>
          <w:numId w:val="2"/>
        </w:numPr>
        <w:ind w:hanging="178"/>
      </w:pPr>
      <w:r>
        <w:t xml:space="preserve">– An IEEE “5G” specification </w:t>
      </w:r>
    </w:p>
    <w:p w:rsidR="00A25AF4" w:rsidRDefault="00A25AF4" w:rsidP="00A25AF4">
      <w:pPr>
        <w:ind w:left="730"/>
      </w:pPr>
      <w:r>
        <w:t xml:space="preserve">An 802 Access Network specification that provides an general external view into an 802 access network, could support many 802 MACs and PHYs, and could plug into incumbent cellular or other operator networks </w:t>
      </w:r>
    </w:p>
    <w:p w:rsidR="00A25AF4" w:rsidRDefault="00A25AF4" w:rsidP="00A25AF4">
      <w:pPr>
        <w:numPr>
          <w:ilvl w:val="0"/>
          <w:numId w:val="2"/>
        </w:numPr>
        <w:ind w:hanging="178"/>
      </w:pPr>
      <w:r>
        <w:t xml:space="preserve">– IMT-2020 proposal </w:t>
      </w:r>
    </w:p>
    <w:p w:rsidR="00A25AF4" w:rsidRDefault="00A25AF4" w:rsidP="00A25AF4">
      <w:pPr>
        <w:ind w:left="730"/>
      </w:pPr>
      <w:r>
        <w:t xml:space="preserve">B1: Direct IMT-2020 – single technology </w:t>
      </w:r>
    </w:p>
    <w:p w:rsidR="00A25AF4" w:rsidRDefault="00A25AF4" w:rsidP="00A25AF4">
      <w:pPr>
        <w:ind w:left="730"/>
      </w:pPr>
      <w:r>
        <w:t xml:space="preserve">Develop and submit an IEEE proposal to adopt some IEEE 802.11 radio interface technology as an IMT-2020 RIT. </w:t>
      </w:r>
    </w:p>
    <w:p w:rsidR="00A25AF4" w:rsidRDefault="00A25AF4" w:rsidP="00A25AF4">
      <w:pPr>
        <w:ind w:left="730"/>
      </w:pPr>
      <w:r>
        <w:t xml:space="preserve">B2: Direct IMT-2020 – set of technologies </w:t>
      </w:r>
    </w:p>
    <w:p w:rsidR="00A25AF4" w:rsidRDefault="00A25AF4" w:rsidP="00A25AF4">
      <w:pPr>
        <w:ind w:left="730"/>
      </w:pPr>
      <w:r>
        <w:t xml:space="preserve">Develop and submit an IEEE proposal to adopt a coherent set of IEEE 802 radio interface technologies as an IMT-2020 SRIT, possibly integrated in an IEEE 802 Access Network. </w:t>
      </w:r>
    </w:p>
    <w:p w:rsidR="00A25AF4" w:rsidRDefault="00A25AF4" w:rsidP="00A25AF4">
      <w:pPr>
        <w:ind w:left="730"/>
      </w:pPr>
      <w:r>
        <w:t xml:space="preserve">B3: IMT-2020 – external body proposal </w:t>
      </w:r>
    </w:p>
    <w:p w:rsidR="00A25AF4" w:rsidRDefault="00A25AF4" w:rsidP="00A25AF4">
      <w:pPr>
        <w:ind w:left="730"/>
      </w:pPr>
      <w:r>
        <w:t xml:space="preserve">Support development of a 3GPP proposal incorporating references to the use of IEEE 802.11, or an IEEE 802 Access Network. </w:t>
      </w:r>
    </w:p>
    <w:p w:rsidR="00A25AF4" w:rsidRDefault="00A25AF4" w:rsidP="00A25AF4">
      <w:pPr>
        <w:ind w:left="-5"/>
      </w:pPr>
      <w:r>
        <w:t>The Standing Committee benefitted from a wide breadth of contributions and views that helped derive the cost-benefit analysis and conclusion of this report.</w:t>
      </w:r>
      <w:r w:rsidR="006D06F6">
        <w:t xml:space="preserve"> </w:t>
      </w:r>
      <w:r>
        <w:t xml:space="preserve">The report concluded that, while the four Actions addressed under the Standing Committee scope are not mutually exclusive, there is a preference for Action B3, with a secondary desire to progress Action A. </w:t>
      </w:r>
    </w:p>
    <w:p w:rsidR="00A25AF4" w:rsidRDefault="00A25AF4" w:rsidP="00A25AF4">
      <w:pPr>
        <w:spacing w:after="249"/>
        <w:ind w:left="-5"/>
      </w:pPr>
      <w:r>
        <w:t xml:space="preserve">The recommended next steps included the disbandment of the 5G Standing Committee, as well as a number of follow-up actions that would be driven by existing IEEE 802 Working Groups (WG), notably: </w:t>
      </w:r>
    </w:p>
    <w:p w:rsidR="00A25AF4" w:rsidRDefault="00A25AF4" w:rsidP="00A25AF4">
      <w:pPr>
        <w:numPr>
          <w:ilvl w:val="0"/>
          <w:numId w:val="3"/>
        </w:numPr>
        <w:spacing w:after="28"/>
        <w:ind w:hanging="360"/>
      </w:pPr>
      <w:r>
        <w:t>Action A</w:t>
      </w:r>
      <w:r w:rsidR="006D06F6">
        <w:t xml:space="preserve"> </w:t>
      </w:r>
      <w:r>
        <w:t xml:space="preserve">- organized by 802.1 Higher Layer LAN WG (e.g., initiate </w:t>
      </w:r>
      <w:hyperlink r:id="rId14">
        <w:r>
          <w:rPr>
            <w:color w:val="0000FF"/>
            <w:u w:val="single" w:color="0000FF"/>
          </w:rPr>
          <w:t>Industry Connections</w:t>
        </w:r>
      </w:hyperlink>
      <w:hyperlink r:id="rId15">
        <w:r>
          <w:t xml:space="preserve"> </w:t>
        </w:r>
      </w:hyperlink>
      <w:r>
        <w:t>project)</w:t>
      </w:r>
      <w:r w:rsidR="006D06F6">
        <w:t xml:space="preserve"> </w:t>
      </w:r>
    </w:p>
    <w:p w:rsidR="00A25AF4" w:rsidRDefault="00A25AF4" w:rsidP="00A25AF4">
      <w:pPr>
        <w:numPr>
          <w:ilvl w:val="0"/>
          <w:numId w:val="3"/>
        </w:numPr>
        <w:spacing w:after="30"/>
        <w:ind w:hanging="360"/>
      </w:pPr>
      <w:r>
        <w:t>Action B3 - organized by 802.11 Wireless LAN WG</w:t>
      </w:r>
      <w:r w:rsidR="006D06F6">
        <w:t xml:space="preserve"> </w:t>
      </w:r>
      <w:r>
        <w:t xml:space="preserve">(e.g., liaise with 3GPP) </w:t>
      </w:r>
    </w:p>
    <w:p w:rsidR="00A25AF4" w:rsidRDefault="00A25AF4" w:rsidP="00A25AF4">
      <w:pPr>
        <w:numPr>
          <w:ilvl w:val="0"/>
          <w:numId w:val="3"/>
        </w:numPr>
        <w:spacing w:after="28"/>
        <w:ind w:hanging="360"/>
      </w:pPr>
      <w:r>
        <w:t xml:space="preserve">Spectrum issues led by 802.18 Radio Regulations Technical Advisory Group (RR TAG) </w:t>
      </w:r>
    </w:p>
    <w:p w:rsidR="00A25AF4" w:rsidRDefault="00A25AF4" w:rsidP="00A25AF4">
      <w:pPr>
        <w:numPr>
          <w:ilvl w:val="0"/>
          <w:numId w:val="3"/>
        </w:numPr>
        <w:ind w:hanging="360"/>
      </w:pPr>
      <w:r>
        <w:t xml:space="preserve">Hold joint 802.1/802.11 meetings as necessary for coordination of actions A &amp; B3 </w:t>
      </w:r>
    </w:p>
    <w:p w:rsidR="00A25AF4" w:rsidRDefault="00A25AF4" w:rsidP="00A25AF4">
      <w:pPr>
        <w:ind w:left="-5"/>
      </w:pPr>
      <w:r>
        <w:t>Further details can be found on the web site:</w:t>
      </w:r>
      <w:r w:rsidR="006D06F6">
        <w:t xml:space="preserve"> </w:t>
      </w:r>
      <w:hyperlink r:id="rId16">
        <w:r>
          <w:rPr>
            <w:color w:val="0000FF"/>
            <w:u w:val="single" w:color="0000FF"/>
          </w:rPr>
          <w:t>http://ieee802.org/Stand_Com/5G/</w:t>
        </w:r>
      </w:hyperlink>
      <w:hyperlink r:id="rId17">
        <w:r>
          <w:t xml:space="preserve"> </w:t>
        </w:r>
      </w:hyperlink>
      <w:r>
        <w:t xml:space="preserve"> </w:t>
      </w:r>
    </w:p>
    <w:p w:rsidR="007A266A" w:rsidRDefault="00226019">
      <w:pPr>
        <w:ind w:left="0" w:firstLine="0"/>
        <w:rPr>
          <w:u w:val="single"/>
        </w:rPr>
      </w:pPr>
      <w:r w:rsidRPr="00226019">
        <w:rPr>
          <w:u w:val="single"/>
        </w:rPr>
        <w:t>IEEE 802.11 Activity:</w:t>
      </w:r>
    </w:p>
    <w:p w:rsidR="00A25AF4" w:rsidRDefault="00A25AF4" w:rsidP="00A25AF4">
      <w:pPr>
        <w:ind w:left="-5"/>
      </w:pPr>
      <w:r>
        <w:t xml:space="preserve">The IEEE 802.11 </w:t>
      </w:r>
      <w:r w:rsidR="006362CF">
        <w:t>Wireless LAN (</w:t>
      </w:r>
      <w:r w:rsidR="00B44CF1">
        <w:t>WLAN</w:t>
      </w:r>
      <w:r w:rsidR="006362CF">
        <w:t>)</w:t>
      </w:r>
      <w:r w:rsidR="00B44CF1">
        <w:t xml:space="preserve"> </w:t>
      </w:r>
      <w:r>
        <w:t>W</w:t>
      </w:r>
      <w:r w:rsidR="005B0381">
        <w:t xml:space="preserve">orking </w:t>
      </w:r>
      <w:r>
        <w:t>G</w:t>
      </w:r>
      <w:r w:rsidR="005B0381">
        <w:t>roup</w:t>
      </w:r>
      <w:r>
        <w:t xml:space="preserve"> sent a liaison </w:t>
      </w:r>
      <w:r w:rsidR="006F2B55">
        <w:t>(</w:t>
      </w:r>
      <w:hyperlink r:id="rId18" w:history="1">
        <w:r w:rsidR="006F2B55" w:rsidRPr="004D2FC4">
          <w:rPr>
            <w:rStyle w:val="Hyperlink"/>
          </w:rPr>
          <w:t>RP-161804</w:t>
        </w:r>
      </w:hyperlink>
      <w:r w:rsidR="006D06F6">
        <w:t xml:space="preserve"> </w:t>
      </w:r>
      <w:r w:rsidR="006F2B55">
        <w:t xml:space="preserve">and </w:t>
      </w:r>
      <w:hyperlink r:id="rId19" w:history="1">
        <w:r w:rsidR="006F2B55" w:rsidRPr="004D2FC4">
          <w:rPr>
            <w:rStyle w:val="Hyperlink"/>
          </w:rPr>
          <w:t>SP-160737</w:t>
        </w:r>
      </w:hyperlink>
      <w:r w:rsidR="006F2B55">
        <w:t xml:space="preserve">) </w:t>
      </w:r>
      <w:r>
        <w:t xml:space="preserve">to 3GPP </w:t>
      </w:r>
      <w:r w:rsidR="005B0381">
        <w:t xml:space="preserve">TSG </w:t>
      </w:r>
      <w:r>
        <w:t xml:space="preserve">RAN and </w:t>
      </w:r>
      <w:r w:rsidR="005B0381">
        <w:t xml:space="preserve">TSG </w:t>
      </w:r>
      <w:r>
        <w:t>SA in Sept</w:t>
      </w:r>
      <w:r w:rsidR="00B44CF1">
        <w:t>ember</w:t>
      </w:r>
      <w:r>
        <w:t xml:space="preserve"> 2016 </w:t>
      </w:r>
      <w:r w:rsidR="005B0381">
        <w:t xml:space="preserve">requesting opinions on the desirability of improving WLAN aggregation and integration and the potential </w:t>
      </w:r>
      <w:r w:rsidR="00205D87">
        <w:t>of the inclusion of WLAN in an IMT-2020 submission.</w:t>
      </w:r>
      <w:r w:rsidR="006D06F6">
        <w:t xml:space="preserve"> </w:t>
      </w:r>
      <w:r w:rsidR="00205D87">
        <w:t xml:space="preserve">The liaison also asked for suggestions on how </w:t>
      </w:r>
      <w:r w:rsidR="003C56DF">
        <w:t xml:space="preserve">the </w:t>
      </w:r>
      <w:r w:rsidR="00205D87">
        <w:t>802.11, RAN and S</w:t>
      </w:r>
      <w:r w:rsidR="006362CF">
        <w:t xml:space="preserve">A groups </w:t>
      </w:r>
      <w:r w:rsidR="00205D87">
        <w:t>can work together to improve overall network performance</w:t>
      </w:r>
      <w:r w:rsidR="006F2B55">
        <w:t>.</w:t>
      </w:r>
      <w:r w:rsidR="006D06F6">
        <w:t xml:space="preserve"> </w:t>
      </w:r>
    </w:p>
    <w:p w:rsidR="00A25AF4" w:rsidRDefault="00D24372" w:rsidP="00A25AF4">
      <w:pPr>
        <w:ind w:left="-5"/>
      </w:pPr>
      <w:r>
        <w:t>Th</w:t>
      </w:r>
      <w:r w:rsidR="003C56DF">
        <w:t xml:space="preserve">e </w:t>
      </w:r>
      <w:r w:rsidR="006362CF">
        <w:t>WLAN</w:t>
      </w:r>
      <w:r>
        <w:t xml:space="preserve"> activity will support the IMT-2020 requirement to support interworking, per </w:t>
      </w:r>
      <w:r w:rsidR="00A25AF4">
        <w:t xml:space="preserve">ITU-R M.2083 (“IMT Vision – Framework and overall objectives of the future development of IMT for 2020 and beyond”): </w:t>
      </w:r>
    </w:p>
    <w:p w:rsidR="00A25AF4" w:rsidRDefault="00A25AF4" w:rsidP="00A25AF4">
      <w:pPr>
        <w:ind w:left="730"/>
      </w:pPr>
      <w:r>
        <w:t xml:space="preserve"> “IMT-2020 will interwork with other radio systems, such as RLANs, broadband wireless access, broadcast networks, and their possible future enhancements. IMT systems will also closely interwork with other radio systems for users to be optimally and cost-effectively connected</w:t>
      </w:r>
      <w:r w:rsidR="00E517D9">
        <w:t>.</w:t>
      </w:r>
      <w:r>
        <w:t xml:space="preserve">” </w:t>
      </w:r>
    </w:p>
    <w:p w:rsidR="002A374E" w:rsidRPr="002A374E" w:rsidRDefault="00226019" w:rsidP="00A25AF4">
      <w:pPr>
        <w:ind w:left="-5"/>
        <w:rPr>
          <w:u w:val="single"/>
        </w:rPr>
      </w:pPr>
      <w:r w:rsidRPr="00226019">
        <w:rPr>
          <w:u w:val="single"/>
        </w:rPr>
        <w:t xml:space="preserve">IEEE </w:t>
      </w:r>
      <w:r w:rsidR="000A5DDC">
        <w:rPr>
          <w:u w:val="single"/>
        </w:rPr>
        <w:t xml:space="preserve">802 </w:t>
      </w:r>
      <w:proofErr w:type="spellStart"/>
      <w:r w:rsidRPr="00226019">
        <w:rPr>
          <w:u w:val="single"/>
        </w:rPr>
        <w:t>OmniRAN</w:t>
      </w:r>
      <w:proofErr w:type="spellEnd"/>
      <w:r w:rsidRPr="00226019">
        <w:rPr>
          <w:u w:val="single"/>
        </w:rPr>
        <w:t xml:space="preserve"> Activity:</w:t>
      </w:r>
    </w:p>
    <w:p w:rsidR="00A25AF4" w:rsidRDefault="000A5DDC" w:rsidP="00A25AF4">
      <w:pPr>
        <w:ind w:left="-5"/>
      </w:pPr>
      <w:r>
        <w:t>In t</w:t>
      </w:r>
      <w:r w:rsidR="00A25AF4">
        <w:t xml:space="preserve">he IEEE 802.1 </w:t>
      </w:r>
      <w:r w:rsidR="006E6C21">
        <w:t xml:space="preserve">Higher Layer LAN </w:t>
      </w:r>
      <w:r>
        <w:t xml:space="preserve">Working Group, the </w:t>
      </w:r>
      <w:proofErr w:type="spellStart"/>
      <w:r w:rsidR="00A25AF4">
        <w:t>OmniRAN</w:t>
      </w:r>
      <w:proofErr w:type="spellEnd"/>
      <w:r w:rsidR="00A25AF4">
        <w:t xml:space="preserve"> Task Group is organizing discussions to develop an “Industry Connections” activity to gather industry requirements and explore a packaging of IEEE 802 technologies that could be self-sufficient or used to interface with external core networks.</w:t>
      </w:r>
    </w:p>
    <w:p w:rsidR="00A25AF4" w:rsidRDefault="00A25AF4" w:rsidP="00A25AF4">
      <w:pPr>
        <w:rPr>
          <w:b/>
        </w:rPr>
      </w:pPr>
      <w:r>
        <w:rPr>
          <w:b/>
        </w:rPr>
        <w:t>Opportunities for collaboration</w:t>
      </w:r>
    </w:p>
    <w:p w:rsidR="00A25AF4" w:rsidRDefault="00A25AF4" w:rsidP="00A25AF4">
      <w:r>
        <w:t>IEEE 802 would like to collaborate with PCG to investigate ways that 3GPP and IEEE 802 can work together towards support of IMT-2020.</w:t>
      </w:r>
      <w:r w:rsidR="006D06F6">
        <w:t xml:space="preserve"> </w:t>
      </w:r>
      <w:r>
        <w:t>We suggest that this begin with developing a common understanding of the role of interworking with IEEE 802 networks in meeting the IMT-2020 requirements (e.g., referring to M.2083).</w:t>
      </w:r>
    </w:p>
    <w:p w:rsidR="00A25AF4" w:rsidRDefault="00A25AF4" w:rsidP="00E517D9">
      <w:r>
        <w:t xml:space="preserve">We also believe it would be helpful for our organizations to </w:t>
      </w:r>
      <w:r w:rsidR="008E23C6">
        <w:t>identify</w:t>
      </w:r>
      <w:r>
        <w:t xml:space="preserve"> mutually agreeable collaboration mechanisms that take into account the existing procedures of each organization.</w:t>
      </w:r>
      <w:r w:rsidR="006D06F6">
        <w:t xml:space="preserve"> </w:t>
      </w:r>
      <w:r>
        <w:t xml:space="preserve">Note that the IEEE-SA has mechanisms to enable IEEE 802 to share its working drafts with </w:t>
      </w:r>
      <w:r w:rsidR="00D24372">
        <w:t xml:space="preserve">external organizations for </w:t>
      </w:r>
      <w:r>
        <w:t>comment</w:t>
      </w:r>
      <w:r w:rsidR="00D24372">
        <w:t xml:space="preserve"> </w:t>
      </w:r>
      <w:r>
        <w:t xml:space="preserve">and, where necessary, </w:t>
      </w:r>
      <w:r w:rsidR="00D24372">
        <w:t xml:space="preserve">to </w:t>
      </w:r>
      <w:r>
        <w:t xml:space="preserve">establish </w:t>
      </w:r>
      <w:r w:rsidR="006F2B55">
        <w:t xml:space="preserve">memoranda of understanding (MoUs) </w:t>
      </w:r>
      <w:r>
        <w:t xml:space="preserve">with </w:t>
      </w:r>
      <w:r w:rsidR="00D24372">
        <w:t xml:space="preserve">external </w:t>
      </w:r>
      <w:r>
        <w:t xml:space="preserve">organizations to enable productive cross-organization </w:t>
      </w:r>
      <w:r w:rsidR="00D24372">
        <w:t>collaboration</w:t>
      </w:r>
      <w:r>
        <w:t>.</w:t>
      </w:r>
    </w:p>
    <w:p w:rsidR="00A25AF4" w:rsidRDefault="00E517D9" w:rsidP="00A25AF4">
      <w:pPr>
        <w:spacing w:after="238"/>
        <w:ind w:left="-5"/>
      </w:pPr>
      <w:r>
        <w:t>Working together, we hope to</w:t>
      </w:r>
      <w:r w:rsidR="00A25AF4">
        <w:t xml:space="preserve"> </w:t>
      </w:r>
      <w:r>
        <w:t xml:space="preserve">agree on </w:t>
      </w:r>
      <w:r w:rsidR="00A25AF4">
        <w:t>mechanisms</w:t>
      </w:r>
      <w:r w:rsidR="006F2B55">
        <w:t>, aligned with 3GPP aims and operating methods,</w:t>
      </w:r>
      <w:r w:rsidR="00A25AF4">
        <w:t xml:space="preserve"> for 3GPP and IEEE 802 to work together, enabling:</w:t>
      </w:r>
    </w:p>
    <w:p w:rsidR="00A25AF4" w:rsidRDefault="00A25AF4" w:rsidP="00A25AF4">
      <w:pPr>
        <w:numPr>
          <w:ilvl w:val="0"/>
          <w:numId w:val="7"/>
        </w:numPr>
        <w:spacing w:after="38"/>
        <w:ind w:hanging="360"/>
      </w:pPr>
      <w:r>
        <w:t>Direct communication at the working level (e.g., technical subgroups of 802, RAN, SA)</w:t>
      </w:r>
    </w:p>
    <w:p w:rsidR="00A25AF4" w:rsidRDefault="00A25AF4" w:rsidP="00A25AF4">
      <w:pPr>
        <w:numPr>
          <w:ilvl w:val="0"/>
          <w:numId w:val="7"/>
        </w:numPr>
        <w:spacing w:after="44"/>
        <w:ind w:hanging="360"/>
      </w:pPr>
      <w:r>
        <w:t>Representation of 3GPP in IEEE 802, and IEEE 802 in 3GPP</w:t>
      </w:r>
      <w:r w:rsidR="006D06F6">
        <w:t xml:space="preserve"> </w:t>
      </w:r>
    </w:p>
    <w:p w:rsidR="00A25AF4" w:rsidRDefault="00A25AF4" w:rsidP="00A25AF4">
      <w:pPr>
        <w:numPr>
          <w:ilvl w:val="0"/>
          <w:numId w:val="7"/>
        </w:numPr>
        <w:ind w:hanging="360"/>
      </w:pPr>
      <w:r>
        <w:t>The exchange and resolution of comments on relevant draft working documents</w:t>
      </w:r>
    </w:p>
    <w:p w:rsidR="00E517D9" w:rsidRPr="00342D09" w:rsidRDefault="00E517D9" w:rsidP="00E517D9">
      <w:pPr>
        <w:rPr>
          <w:b/>
        </w:rPr>
      </w:pPr>
      <w:r w:rsidRPr="00342D09">
        <w:rPr>
          <w:b/>
        </w:rPr>
        <w:t>Request for Action</w:t>
      </w:r>
    </w:p>
    <w:p w:rsidR="00B30621" w:rsidRDefault="00A25AF4" w:rsidP="00E517D9">
      <w:pPr>
        <w:ind w:left="-5"/>
      </w:pPr>
      <w:r>
        <w:t>We look forward</w:t>
      </w:r>
      <w:r w:rsidR="00D24372">
        <w:t xml:space="preserve"> </w:t>
      </w:r>
      <w:r w:rsidR="008D21FD">
        <w:t xml:space="preserve">to </w:t>
      </w:r>
      <w:r w:rsidR="006F2B55">
        <w:t xml:space="preserve">your views on </w:t>
      </w:r>
      <w:r w:rsidR="00E517D9">
        <w:t>collaboration and our specific suggestions. We also recognize that a successful approach may require a deeper common understanding of our organizations. As a step forward, we invite representatives of 3GPP to attend or upcoming Plenary Session, or a future one, to discuss how IEEE 802 and 3GPP can collaborate for our mutual benefit and to promote improved interworking that will enable “users to be optimally and cost-effectively connected”. Your alternative approaches to initiating collaboration are also welcome.</w:t>
      </w:r>
    </w:p>
    <w:p w:rsidR="003D3609" w:rsidRDefault="00B30621" w:rsidP="006D06F6">
      <w:r>
        <w:rPr>
          <w:lang w:val="en-US"/>
        </w:rPr>
        <w:t xml:space="preserve">The </w:t>
      </w:r>
      <w:r w:rsidRPr="00B30621">
        <w:rPr>
          <w:lang w:val="en-US"/>
        </w:rPr>
        <w:t>IEEE 802 Plenary Session</w:t>
      </w:r>
      <w:r>
        <w:rPr>
          <w:lang w:val="en-US"/>
        </w:rPr>
        <w:t xml:space="preserve"> will be held on 6-11 November in </w:t>
      </w:r>
      <w:r w:rsidRPr="00B30621">
        <w:rPr>
          <w:lang w:val="en-US"/>
        </w:rPr>
        <w:t>San Antonio, TX USA</w:t>
      </w:r>
      <w:r>
        <w:t xml:space="preserve">. </w:t>
      </w:r>
      <w:r w:rsidRPr="00226019">
        <w:rPr>
          <w:bCs/>
        </w:rPr>
        <w:t>Information on</w:t>
      </w:r>
      <w:r>
        <w:rPr>
          <w:bCs/>
        </w:rPr>
        <w:t xml:space="preserve"> </w:t>
      </w:r>
      <w:r w:rsidRPr="00270E9F">
        <w:rPr>
          <w:bCs/>
        </w:rPr>
        <w:t>future</w:t>
      </w:r>
      <w:r w:rsidRPr="00226019">
        <w:rPr>
          <w:bCs/>
        </w:rPr>
        <w:t xml:space="preserve"> meetings is available at </w:t>
      </w:r>
      <w:hyperlink r:id="rId20" w:history="1">
        <w:r>
          <w:rPr>
            <w:rStyle w:val="Hyperlink"/>
            <w:bCs/>
          </w:rPr>
          <w:t>http://ieee802.org/meeting</w:t>
        </w:r>
      </w:hyperlink>
      <w:r>
        <w:t>.</w:t>
      </w:r>
      <w:r w:rsidR="00BE5B7D">
        <w:t xml:space="preserve"> </w:t>
      </w:r>
      <w:r w:rsidR="006F2B55">
        <w:t xml:space="preserve">Please feel free to contact the IEEE 802 Chair to address any </w:t>
      </w:r>
      <w:bookmarkStart w:id="1" w:name="_GoBack"/>
      <w:bookmarkEnd w:id="1"/>
      <w:r w:rsidR="006F2B55">
        <w:t>logistical issues.</w:t>
      </w:r>
    </w:p>
    <w:sectPr w:rsidR="003D3609" w:rsidSect="00140149">
      <w:headerReference w:type="even" r:id="rId21"/>
      <w:headerReference w:type="default" r:id="rId22"/>
      <w:footerReference w:type="even" r:id="rId23"/>
      <w:footerReference w:type="default" r:id="rId24"/>
      <w:headerReference w:type="first" r:id="rId25"/>
      <w:footerReference w:type="first" r:id="rId26"/>
      <w:pgSz w:w="12240" w:h="15840"/>
      <w:pgMar w:top="1481" w:right="1436" w:bottom="1475"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B1" w:rsidRDefault="000A6BB1" w:rsidP="009209D6">
      <w:pPr>
        <w:spacing w:after="0" w:line="240" w:lineRule="auto"/>
      </w:pPr>
      <w:r>
        <w:separator/>
      </w:r>
    </w:p>
  </w:endnote>
  <w:endnote w:type="continuationSeparator" w:id="0">
    <w:p w:rsidR="000A6BB1" w:rsidRDefault="000A6BB1" w:rsidP="00920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Segoe UI Symbol">
    <w:charset w:val="00"/>
    <w:family w:val="swiss"/>
    <w:pitch w:val="variable"/>
    <w:sig w:usb0="8000006F" w:usb1="1200FBEF" w:usb2="0064C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altName w:val="Times"/>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CE" w:rsidRDefault="00BC11C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CE" w:rsidRDefault="00BC11C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CE" w:rsidRDefault="00BC11C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B1" w:rsidRDefault="000A6BB1" w:rsidP="009209D6">
      <w:pPr>
        <w:spacing w:after="0" w:line="240" w:lineRule="auto"/>
      </w:pPr>
      <w:r>
        <w:separator/>
      </w:r>
    </w:p>
  </w:footnote>
  <w:footnote w:type="continuationSeparator" w:id="0">
    <w:p w:rsidR="000A6BB1" w:rsidRDefault="000A6BB1" w:rsidP="009209D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CE" w:rsidRDefault="00BC11C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2D" w:rsidRPr="00E07551" w:rsidRDefault="00E07551" w:rsidP="00B63E2D">
    <w:pPr>
      <w:pStyle w:val="Header"/>
      <w:jc w:val="center"/>
      <w:rPr>
        <w:color w:val="auto"/>
      </w:rPr>
    </w:pPr>
    <w:r w:rsidRPr="00E07551">
      <w:rPr>
        <w:color w:val="auto"/>
      </w:rPr>
      <w:t>2016-10-07</w:t>
    </w:r>
    <w:r w:rsidRPr="00E07551">
      <w:rPr>
        <w:color w:val="auto"/>
      </w:rPr>
      <w:tab/>
    </w:r>
    <w:r w:rsidR="00B63E2D" w:rsidRPr="00E07551">
      <w:rPr>
        <w:color w:val="FF0000"/>
      </w:rPr>
      <w:t>PROPOSED DRAFT</w:t>
    </w:r>
    <w:r w:rsidRPr="00E07551">
      <w:rPr>
        <w:color w:val="auto"/>
      </w:rPr>
      <w:tab/>
    </w:r>
    <w:r w:rsidR="00BC11CE">
      <w:rPr>
        <w:color w:val="auto"/>
      </w:rPr>
      <w:t xml:space="preserve">IEEE 802 </w:t>
    </w:r>
    <w:r w:rsidRPr="00E07551">
      <w:rPr>
        <w:color w:val="auto"/>
      </w:rPr>
      <w:t>ec-16-0157-00-00EC</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CE" w:rsidRDefault="00BC11C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8405F"/>
    <w:multiLevelType w:val="hybridMultilevel"/>
    <w:tmpl w:val="9C004398"/>
    <w:lvl w:ilvl="0" w:tplc="8310A546">
      <w:start w:val="1"/>
      <w:numFmt w:val="decimal"/>
      <w:lvlText w:val="%1."/>
      <w:lvlJc w:val="left"/>
      <w:pPr>
        <w:ind w:left="7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1" w:tplc="FD880FAE">
      <w:start w:val="1"/>
      <w:numFmt w:val="lowerLetter"/>
      <w:lvlText w:val="%2"/>
      <w:lvlJc w:val="left"/>
      <w:pPr>
        <w:ind w:left="14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2" w:tplc="D76CF658">
      <w:start w:val="1"/>
      <w:numFmt w:val="lowerRoman"/>
      <w:lvlText w:val="%3"/>
      <w:lvlJc w:val="left"/>
      <w:pPr>
        <w:ind w:left="21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3" w:tplc="4AA895CC">
      <w:start w:val="1"/>
      <w:numFmt w:val="decimal"/>
      <w:lvlText w:val="%4"/>
      <w:lvlJc w:val="left"/>
      <w:pPr>
        <w:ind w:left="28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4" w:tplc="6234E6E4">
      <w:start w:val="1"/>
      <w:numFmt w:val="lowerLetter"/>
      <w:lvlText w:val="%5"/>
      <w:lvlJc w:val="left"/>
      <w:pPr>
        <w:ind w:left="360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5" w:tplc="3ECA2984">
      <w:start w:val="1"/>
      <w:numFmt w:val="lowerRoman"/>
      <w:lvlText w:val="%6"/>
      <w:lvlJc w:val="left"/>
      <w:pPr>
        <w:ind w:left="43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6" w:tplc="2CF29894">
      <w:start w:val="1"/>
      <w:numFmt w:val="decimal"/>
      <w:lvlText w:val="%7"/>
      <w:lvlJc w:val="left"/>
      <w:pPr>
        <w:ind w:left="50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7" w:tplc="0EAE83E2">
      <w:start w:val="1"/>
      <w:numFmt w:val="lowerLetter"/>
      <w:lvlText w:val="%8"/>
      <w:lvlJc w:val="left"/>
      <w:pPr>
        <w:ind w:left="57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8" w:tplc="19844C60">
      <w:start w:val="1"/>
      <w:numFmt w:val="lowerRoman"/>
      <w:lvlText w:val="%9"/>
      <w:lvlJc w:val="left"/>
      <w:pPr>
        <w:ind w:left="64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abstractNum>
  <w:abstractNum w:abstractNumId="1">
    <w:nsid w:val="34945F05"/>
    <w:multiLevelType w:val="hybridMultilevel"/>
    <w:tmpl w:val="1812E720"/>
    <w:lvl w:ilvl="0" w:tplc="5EECF28A">
      <w:start w:val="1"/>
      <w:numFmt w:val="bullet"/>
      <w:lvlText w:val="•"/>
      <w:lvlJc w:val="left"/>
      <w:pPr>
        <w:ind w:left="720"/>
      </w:pPr>
      <w:rPr>
        <w:rFonts w:ascii="Arial" w:eastAsia="Arial" w:hAnsi="Arial" w:cs="Segoe UI"/>
        <w:b w:val="0"/>
        <w:i w:val="0"/>
        <w:strike w:val="0"/>
        <w:dstrike w:val="0"/>
        <w:color w:val="000000"/>
        <w:sz w:val="22"/>
        <w:szCs w:val="22"/>
        <w:u w:val="none" w:color="000000"/>
        <w:bdr w:val="none" w:sz="0" w:space="0" w:color="auto"/>
        <w:shd w:val="clear" w:color="auto" w:fill="auto"/>
        <w:vertAlign w:val="baseline"/>
      </w:rPr>
    </w:lvl>
    <w:lvl w:ilvl="1" w:tplc="2B5E1120">
      <w:start w:val="1"/>
      <w:numFmt w:val="bullet"/>
      <w:lvlText w:val="o"/>
      <w:lvlJc w:val="left"/>
      <w:pPr>
        <w:ind w:left="144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2" w:tplc="7EF04E0E">
      <w:start w:val="1"/>
      <w:numFmt w:val="bullet"/>
      <w:lvlText w:val="▪"/>
      <w:lvlJc w:val="left"/>
      <w:pPr>
        <w:ind w:left="216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3" w:tplc="C408EDF8">
      <w:start w:val="1"/>
      <w:numFmt w:val="bullet"/>
      <w:lvlText w:val="•"/>
      <w:lvlJc w:val="left"/>
      <w:pPr>
        <w:ind w:left="2880"/>
      </w:pPr>
      <w:rPr>
        <w:rFonts w:ascii="Arial" w:eastAsia="Arial" w:hAnsi="Arial" w:cs="Segoe UI"/>
        <w:b w:val="0"/>
        <w:i w:val="0"/>
        <w:strike w:val="0"/>
        <w:dstrike w:val="0"/>
        <w:color w:val="000000"/>
        <w:sz w:val="22"/>
        <w:szCs w:val="22"/>
        <w:u w:val="none" w:color="000000"/>
        <w:bdr w:val="none" w:sz="0" w:space="0" w:color="auto"/>
        <w:shd w:val="clear" w:color="auto" w:fill="auto"/>
        <w:vertAlign w:val="baseline"/>
      </w:rPr>
    </w:lvl>
    <w:lvl w:ilvl="4" w:tplc="C1149F90">
      <w:start w:val="1"/>
      <w:numFmt w:val="bullet"/>
      <w:lvlText w:val="o"/>
      <w:lvlJc w:val="left"/>
      <w:pPr>
        <w:ind w:left="360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5" w:tplc="E3409A70">
      <w:start w:val="1"/>
      <w:numFmt w:val="bullet"/>
      <w:lvlText w:val="▪"/>
      <w:lvlJc w:val="left"/>
      <w:pPr>
        <w:ind w:left="432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6" w:tplc="2D7404E4">
      <w:start w:val="1"/>
      <w:numFmt w:val="bullet"/>
      <w:lvlText w:val="•"/>
      <w:lvlJc w:val="left"/>
      <w:pPr>
        <w:ind w:left="5040"/>
      </w:pPr>
      <w:rPr>
        <w:rFonts w:ascii="Arial" w:eastAsia="Arial" w:hAnsi="Arial" w:cs="Segoe UI"/>
        <w:b w:val="0"/>
        <w:i w:val="0"/>
        <w:strike w:val="0"/>
        <w:dstrike w:val="0"/>
        <w:color w:val="000000"/>
        <w:sz w:val="22"/>
        <w:szCs w:val="22"/>
        <w:u w:val="none" w:color="000000"/>
        <w:bdr w:val="none" w:sz="0" w:space="0" w:color="auto"/>
        <w:shd w:val="clear" w:color="auto" w:fill="auto"/>
        <w:vertAlign w:val="baseline"/>
      </w:rPr>
    </w:lvl>
    <w:lvl w:ilvl="7" w:tplc="DA14D9F4">
      <w:start w:val="1"/>
      <w:numFmt w:val="bullet"/>
      <w:lvlText w:val="o"/>
      <w:lvlJc w:val="left"/>
      <w:pPr>
        <w:ind w:left="576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8" w:tplc="16D07D4A">
      <w:start w:val="1"/>
      <w:numFmt w:val="bullet"/>
      <w:lvlText w:val="▪"/>
      <w:lvlJc w:val="left"/>
      <w:pPr>
        <w:ind w:left="648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abstractNum>
  <w:abstractNum w:abstractNumId="2">
    <w:nsid w:val="3A7E3BC4"/>
    <w:multiLevelType w:val="hybridMultilevel"/>
    <w:tmpl w:val="03AE6E2A"/>
    <w:lvl w:ilvl="0" w:tplc="B1CA1D8A">
      <w:start w:val="1"/>
      <w:numFmt w:val="upperLetter"/>
      <w:lvlText w:val="%1"/>
      <w:lvlJc w:val="left"/>
      <w:pPr>
        <w:ind w:left="178"/>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1" w:tplc="A2948120">
      <w:start w:val="1"/>
      <w:numFmt w:val="lowerLetter"/>
      <w:lvlText w:val="%2"/>
      <w:lvlJc w:val="left"/>
      <w:pPr>
        <w:ind w:left="10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2" w:tplc="52169C92">
      <w:start w:val="1"/>
      <w:numFmt w:val="lowerRoman"/>
      <w:lvlText w:val="%3"/>
      <w:lvlJc w:val="left"/>
      <w:pPr>
        <w:ind w:left="180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3" w:tplc="104A320C">
      <w:start w:val="1"/>
      <w:numFmt w:val="decimal"/>
      <w:lvlText w:val="%4"/>
      <w:lvlJc w:val="left"/>
      <w:pPr>
        <w:ind w:left="25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4" w:tplc="74348BD4">
      <w:start w:val="1"/>
      <w:numFmt w:val="lowerLetter"/>
      <w:lvlText w:val="%5"/>
      <w:lvlJc w:val="left"/>
      <w:pPr>
        <w:ind w:left="32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5" w:tplc="D8D052F8">
      <w:start w:val="1"/>
      <w:numFmt w:val="lowerRoman"/>
      <w:lvlText w:val="%6"/>
      <w:lvlJc w:val="left"/>
      <w:pPr>
        <w:ind w:left="39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6" w:tplc="57D2A420">
      <w:start w:val="1"/>
      <w:numFmt w:val="decimal"/>
      <w:lvlText w:val="%7"/>
      <w:lvlJc w:val="left"/>
      <w:pPr>
        <w:ind w:left="46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7" w:tplc="CFF45736">
      <w:start w:val="1"/>
      <w:numFmt w:val="lowerLetter"/>
      <w:lvlText w:val="%8"/>
      <w:lvlJc w:val="left"/>
      <w:pPr>
        <w:ind w:left="540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8" w:tplc="08B8D43A">
      <w:start w:val="1"/>
      <w:numFmt w:val="lowerRoman"/>
      <w:lvlText w:val="%9"/>
      <w:lvlJc w:val="left"/>
      <w:pPr>
        <w:ind w:left="61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abstractNum>
  <w:abstractNum w:abstractNumId="3">
    <w:nsid w:val="3CCD4AD4"/>
    <w:multiLevelType w:val="hybridMultilevel"/>
    <w:tmpl w:val="FD986C4C"/>
    <w:lvl w:ilvl="0" w:tplc="F64A340A">
      <w:start w:val="1"/>
      <w:numFmt w:val="bullet"/>
      <w:lvlText w:val="•"/>
      <w:lvlJc w:val="left"/>
      <w:pPr>
        <w:ind w:left="720"/>
      </w:pPr>
      <w:rPr>
        <w:rFonts w:ascii="Arial" w:eastAsia="Arial" w:hAnsi="Arial" w:cs="Segoe UI"/>
        <w:b w:val="0"/>
        <w:i w:val="0"/>
        <w:strike w:val="0"/>
        <w:dstrike w:val="0"/>
        <w:color w:val="000000"/>
        <w:sz w:val="22"/>
        <w:szCs w:val="22"/>
        <w:u w:val="none" w:color="000000"/>
        <w:bdr w:val="none" w:sz="0" w:space="0" w:color="auto"/>
        <w:shd w:val="clear" w:color="auto" w:fill="auto"/>
        <w:vertAlign w:val="baseline"/>
      </w:rPr>
    </w:lvl>
    <w:lvl w:ilvl="1" w:tplc="CA000C76">
      <w:start w:val="1"/>
      <w:numFmt w:val="bullet"/>
      <w:lvlText w:val="o"/>
      <w:lvlJc w:val="left"/>
      <w:pPr>
        <w:ind w:left="144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2" w:tplc="7E0C0CB4">
      <w:start w:val="1"/>
      <w:numFmt w:val="bullet"/>
      <w:lvlText w:val="▪"/>
      <w:lvlJc w:val="left"/>
      <w:pPr>
        <w:ind w:left="216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3" w:tplc="D7EAE47C">
      <w:start w:val="1"/>
      <w:numFmt w:val="bullet"/>
      <w:lvlText w:val="•"/>
      <w:lvlJc w:val="left"/>
      <w:pPr>
        <w:ind w:left="2880"/>
      </w:pPr>
      <w:rPr>
        <w:rFonts w:ascii="Arial" w:eastAsia="Arial" w:hAnsi="Arial" w:cs="Segoe UI"/>
        <w:b w:val="0"/>
        <w:i w:val="0"/>
        <w:strike w:val="0"/>
        <w:dstrike w:val="0"/>
        <w:color w:val="000000"/>
        <w:sz w:val="22"/>
        <w:szCs w:val="22"/>
        <w:u w:val="none" w:color="000000"/>
        <w:bdr w:val="none" w:sz="0" w:space="0" w:color="auto"/>
        <w:shd w:val="clear" w:color="auto" w:fill="auto"/>
        <w:vertAlign w:val="baseline"/>
      </w:rPr>
    </w:lvl>
    <w:lvl w:ilvl="4" w:tplc="11BE15B8">
      <w:start w:val="1"/>
      <w:numFmt w:val="bullet"/>
      <w:lvlText w:val="o"/>
      <w:lvlJc w:val="left"/>
      <w:pPr>
        <w:ind w:left="360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5" w:tplc="8A06A620">
      <w:start w:val="1"/>
      <w:numFmt w:val="bullet"/>
      <w:lvlText w:val="▪"/>
      <w:lvlJc w:val="left"/>
      <w:pPr>
        <w:ind w:left="432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6" w:tplc="C01C940E">
      <w:start w:val="1"/>
      <w:numFmt w:val="bullet"/>
      <w:lvlText w:val="•"/>
      <w:lvlJc w:val="left"/>
      <w:pPr>
        <w:ind w:left="5040"/>
      </w:pPr>
      <w:rPr>
        <w:rFonts w:ascii="Arial" w:eastAsia="Arial" w:hAnsi="Arial" w:cs="Segoe UI"/>
        <w:b w:val="0"/>
        <w:i w:val="0"/>
        <w:strike w:val="0"/>
        <w:dstrike w:val="0"/>
        <w:color w:val="000000"/>
        <w:sz w:val="22"/>
        <w:szCs w:val="22"/>
        <w:u w:val="none" w:color="000000"/>
        <w:bdr w:val="none" w:sz="0" w:space="0" w:color="auto"/>
        <w:shd w:val="clear" w:color="auto" w:fill="auto"/>
        <w:vertAlign w:val="baseline"/>
      </w:rPr>
    </w:lvl>
    <w:lvl w:ilvl="7" w:tplc="42CCF8B4">
      <w:start w:val="1"/>
      <w:numFmt w:val="bullet"/>
      <w:lvlText w:val="o"/>
      <w:lvlJc w:val="left"/>
      <w:pPr>
        <w:ind w:left="576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lvl w:ilvl="8" w:tplc="D14E4250">
      <w:start w:val="1"/>
      <w:numFmt w:val="bullet"/>
      <w:lvlText w:val="▪"/>
      <w:lvlJc w:val="left"/>
      <w:pPr>
        <w:ind w:left="6480"/>
      </w:pPr>
      <w:rPr>
        <w:rFonts w:ascii="Segoe UI Symbol" w:eastAsia="Segoe UI Symbol" w:hAnsi="Segoe UI Symbol" w:cs="Segoe UI"/>
        <w:b w:val="0"/>
        <w:i w:val="0"/>
        <w:strike w:val="0"/>
        <w:dstrike w:val="0"/>
        <w:color w:val="000000"/>
        <w:sz w:val="22"/>
        <w:szCs w:val="22"/>
        <w:u w:val="none" w:color="000000"/>
        <w:bdr w:val="none" w:sz="0" w:space="0" w:color="auto"/>
        <w:shd w:val="clear" w:color="auto" w:fill="auto"/>
        <w:vertAlign w:val="baseline"/>
      </w:rPr>
    </w:lvl>
  </w:abstractNum>
  <w:abstractNum w:abstractNumId="4">
    <w:nsid w:val="6C221090"/>
    <w:multiLevelType w:val="hybridMultilevel"/>
    <w:tmpl w:val="08E2088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0AD60F8"/>
    <w:multiLevelType w:val="hybridMultilevel"/>
    <w:tmpl w:val="9A10D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B748EF"/>
    <w:multiLevelType w:val="hybridMultilevel"/>
    <w:tmpl w:val="9C004398"/>
    <w:lvl w:ilvl="0" w:tplc="8310A546">
      <w:start w:val="1"/>
      <w:numFmt w:val="decimal"/>
      <w:lvlText w:val="%1."/>
      <w:lvlJc w:val="left"/>
      <w:pPr>
        <w:ind w:left="7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1" w:tplc="FD880FAE">
      <w:start w:val="1"/>
      <w:numFmt w:val="lowerLetter"/>
      <w:lvlText w:val="%2"/>
      <w:lvlJc w:val="left"/>
      <w:pPr>
        <w:ind w:left="14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2" w:tplc="D76CF658">
      <w:start w:val="1"/>
      <w:numFmt w:val="lowerRoman"/>
      <w:lvlText w:val="%3"/>
      <w:lvlJc w:val="left"/>
      <w:pPr>
        <w:ind w:left="21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3" w:tplc="4AA895CC">
      <w:start w:val="1"/>
      <w:numFmt w:val="decimal"/>
      <w:lvlText w:val="%4"/>
      <w:lvlJc w:val="left"/>
      <w:pPr>
        <w:ind w:left="28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4" w:tplc="6234E6E4">
      <w:start w:val="1"/>
      <w:numFmt w:val="lowerLetter"/>
      <w:lvlText w:val="%5"/>
      <w:lvlJc w:val="left"/>
      <w:pPr>
        <w:ind w:left="360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5" w:tplc="3ECA2984">
      <w:start w:val="1"/>
      <w:numFmt w:val="lowerRoman"/>
      <w:lvlText w:val="%6"/>
      <w:lvlJc w:val="left"/>
      <w:pPr>
        <w:ind w:left="43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6" w:tplc="2CF29894">
      <w:start w:val="1"/>
      <w:numFmt w:val="decimal"/>
      <w:lvlText w:val="%7"/>
      <w:lvlJc w:val="left"/>
      <w:pPr>
        <w:ind w:left="50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7" w:tplc="0EAE83E2">
      <w:start w:val="1"/>
      <w:numFmt w:val="lowerLetter"/>
      <w:lvlText w:val="%8"/>
      <w:lvlJc w:val="left"/>
      <w:pPr>
        <w:ind w:left="57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8" w:tplc="19844C60">
      <w:start w:val="1"/>
      <w:numFmt w:val="lowerRoman"/>
      <w:lvlText w:val="%9"/>
      <w:lvlJc w:val="left"/>
      <w:pPr>
        <w:ind w:left="64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abstractNum>
  <w:abstractNum w:abstractNumId="7">
    <w:nsid w:val="7ECE7E5B"/>
    <w:multiLevelType w:val="hybridMultilevel"/>
    <w:tmpl w:val="9C004398"/>
    <w:lvl w:ilvl="0" w:tplc="8310A546">
      <w:start w:val="1"/>
      <w:numFmt w:val="decimal"/>
      <w:lvlText w:val="%1."/>
      <w:lvlJc w:val="left"/>
      <w:pPr>
        <w:ind w:left="7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1" w:tplc="FD880FAE">
      <w:start w:val="1"/>
      <w:numFmt w:val="lowerLetter"/>
      <w:lvlText w:val="%2"/>
      <w:lvlJc w:val="left"/>
      <w:pPr>
        <w:ind w:left="14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2" w:tplc="D76CF658">
      <w:start w:val="1"/>
      <w:numFmt w:val="lowerRoman"/>
      <w:lvlText w:val="%3"/>
      <w:lvlJc w:val="left"/>
      <w:pPr>
        <w:ind w:left="21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3" w:tplc="4AA895CC">
      <w:start w:val="1"/>
      <w:numFmt w:val="decimal"/>
      <w:lvlText w:val="%4"/>
      <w:lvlJc w:val="left"/>
      <w:pPr>
        <w:ind w:left="28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4" w:tplc="6234E6E4">
      <w:start w:val="1"/>
      <w:numFmt w:val="lowerLetter"/>
      <w:lvlText w:val="%5"/>
      <w:lvlJc w:val="left"/>
      <w:pPr>
        <w:ind w:left="360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5" w:tplc="3ECA2984">
      <w:start w:val="1"/>
      <w:numFmt w:val="lowerRoman"/>
      <w:lvlText w:val="%6"/>
      <w:lvlJc w:val="left"/>
      <w:pPr>
        <w:ind w:left="432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6" w:tplc="2CF29894">
      <w:start w:val="1"/>
      <w:numFmt w:val="decimal"/>
      <w:lvlText w:val="%7"/>
      <w:lvlJc w:val="left"/>
      <w:pPr>
        <w:ind w:left="504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7" w:tplc="0EAE83E2">
      <w:start w:val="1"/>
      <w:numFmt w:val="lowerLetter"/>
      <w:lvlText w:val="%8"/>
      <w:lvlJc w:val="left"/>
      <w:pPr>
        <w:ind w:left="576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lvl w:ilvl="8" w:tplc="19844C60">
      <w:start w:val="1"/>
      <w:numFmt w:val="lowerRoman"/>
      <w:lvlText w:val="%9"/>
      <w:lvlJc w:val="left"/>
      <w:pPr>
        <w:ind w:left="6480"/>
      </w:pPr>
      <w:rPr>
        <w:rFonts w:ascii="Calibri" w:eastAsia="Calibri" w:hAnsi="Calibri" w:cs="Segoe U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10"/>
  <w:proofState w:spelling="clean"/>
  <w:doNotTrackMoves/>
  <w:defaultTabStop w:val="720"/>
  <w:characterSpacingControl w:val="doNotCompress"/>
  <w:footnotePr>
    <w:footnote w:id="-1"/>
    <w:footnote w:id="0"/>
  </w:footnotePr>
  <w:endnotePr>
    <w:endnote w:id="-1"/>
    <w:endnote w:id="0"/>
  </w:endnotePr>
  <w:compat>
    <w:useFELayout/>
  </w:compat>
  <w:rsids>
    <w:rsidRoot w:val="00CC26DE"/>
    <w:rsid w:val="00014D6C"/>
    <w:rsid w:val="00042985"/>
    <w:rsid w:val="000A5DDC"/>
    <w:rsid w:val="000A6BB1"/>
    <w:rsid w:val="00140149"/>
    <w:rsid w:val="001674CB"/>
    <w:rsid w:val="00186095"/>
    <w:rsid w:val="00205D87"/>
    <w:rsid w:val="00216380"/>
    <w:rsid w:val="00226019"/>
    <w:rsid w:val="002463EE"/>
    <w:rsid w:val="00270E9F"/>
    <w:rsid w:val="002A374E"/>
    <w:rsid w:val="002A51B0"/>
    <w:rsid w:val="00342D09"/>
    <w:rsid w:val="003454E0"/>
    <w:rsid w:val="0035093C"/>
    <w:rsid w:val="003C56DF"/>
    <w:rsid w:val="003D3609"/>
    <w:rsid w:val="004D2FC4"/>
    <w:rsid w:val="005347C9"/>
    <w:rsid w:val="005B0381"/>
    <w:rsid w:val="005D2928"/>
    <w:rsid w:val="0060404D"/>
    <w:rsid w:val="006362CF"/>
    <w:rsid w:val="00681E47"/>
    <w:rsid w:val="006D06F6"/>
    <w:rsid w:val="006E6C21"/>
    <w:rsid w:val="006F0E4D"/>
    <w:rsid w:val="006F13AA"/>
    <w:rsid w:val="006F2B55"/>
    <w:rsid w:val="007A266A"/>
    <w:rsid w:val="00832219"/>
    <w:rsid w:val="00862571"/>
    <w:rsid w:val="008636E0"/>
    <w:rsid w:val="008D21FD"/>
    <w:rsid w:val="008E23C6"/>
    <w:rsid w:val="009209D6"/>
    <w:rsid w:val="0093238B"/>
    <w:rsid w:val="0095705B"/>
    <w:rsid w:val="00A25AF4"/>
    <w:rsid w:val="00A55C59"/>
    <w:rsid w:val="00B30621"/>
    <w:rsid w:val="00B44CF1"/>
    <w:rsid w:val="00B63E2D"/>
    <w:rsid w:val="00B652F5"/>
    <w:rsid w:val="00BC11CE"/>
    <w:rsid w:val="00BD7E45"/>
    <w:rsid w:val="00BE5B7D"/>
    <w:rsid w:val="00C27FF5"/>
    <w:rsid w:val="00CC26DE"/>
    <w:rsid w:val="00CE6DF6"/>
    <w:rsid w:val="00D24372"/>
    <w:rsid w:val="00D446DE"/>
    <w:rsid w:val="00D64FFE"/>
    <w:rsid w:val="00D94BF9"/>
    <w:rsid w:val="00DF1A4F"/>
    <w:rsid w:val="00E06438"/>
    <w:rsid w:val="00E07551"/>
    <w:rsid w:val="00E517D9"/>
    <w:rsid w:val="00ED6A0C"/>
    <w:rsid w:val="00EE41CB"/>
    <w:rsid w:val="00F521DB"/>
  </w:rsids>
  <m:mathPr>
    <m:mathFont m:val="Calibri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140149"/>
    <w:pPr>
      <w:spacing w:after="206" w:line="269"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D94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4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94B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94BF9"/>
    <w:pPr>
      <w:ind w:left="720"/>
      <w:contextualSpacing/>
    </w:pPr>
  </w:style>
  <w:style w:type="character" w:customStyle="1" w:styleId="Heading2Char">
    <w:name w:val="Heading 2 Char"/>
    <w:basedOn w:val="DefaultParagraphFont"/>
    <w:link w:val="Heading2"/>
    <w:uiPriority w:val="9"/>
    <w:rsid w:val="00D94BF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9209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9D6"/>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9209D6"/>
    <w:rPr>
      <w:vertAlign w:val="superscript"/>
    </w:rPr>
  </w:style>
  <w:style w:type="character" w:styleId="Hyperlink">
    <w:name w:val="Hyperlink"/>
    <w:rsid w:val="00D446DE"/>
    <w:rPr>
      <w:color w:val="0000FF"/>
      <w:u w:val="single"/>
    </w:rPr>
  </w:style>
  <w:style w:type="paragraph" w:styleId="BalloonText">
    <w:name w:val="Balloon Text"/>
    <w:basedOn w:val="Normal"/>
    <w:link w:val="BalloonTextChar"/>
    <w:uiPriority w:val="99"/>
    <w:semiHidden/>
    <w:unhideWhenUsed/>
    <w:rsid w:val="00863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6E0"/>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4D2FC4"/>
    <w:rPr>
      <w:color w:val="954F72" w:themeColor="followedHyperlink"/>
      <w:u w:val="single"/>
    </w:rPr>
  </w:style>
  <w:style w:type="character" w:styleId="CommentReference">
    <w:name w:val="annotation reference"/>
    <w:basedOn w:val="DefaultParagraphFont"/>
    <w:rsid w:val="003C56DF"/>
    <w:rPr>
      <w:sz w:val="16"/>
      <w:szCs w:val="16"/>
    </w:rPr>
  </w:style>
  <w:style w:type="paragraph" w:styleId="CommentText">
    <w:name w:val="annotation text"/>
    <w:basedOn w:val="Normal"/>
    <w:link w:val="CommentTextChar"/>
    <w:rsid w:val="003C56DF"/>
    <w:pPr>
      <w:spacing w:line="240" w:lineRule="auto"/>
    </w:pPr>
    <w:rPr>
      <w:sz w:val="20"/>
      <w:szCs w:val="20"/>
    </w:rPr>
  </w:style>
  <w:style w:type="character" w:customStyle="1" w:styleId="CommentTextChar">
    <w:name w:val="Comment Text Char"/>
    <w:basedOn w:val="DefaultParagraphFont"/>
    <w:link w:val="CommentText"/>
    <w:rsid w:val="003C56DF"/>
    <w:rPr>
      <w:rFonts w:ascii="Calibri" w:eastAsia="Calibri" w:hAnsi="Calibri" w:cs="Calibri"/>
      <w:color w:val="000000"/>
      <w:sz w:val="20"/>
      <w:szCs w:val="20"/>
    </w:rPr>
  </w:style>
  <w:style w:type="paragraph" w:styleId="CommentSubject">
    <w:name w:val="annotation subject"/>
    <w:basedOn w:val="CommentText"/>
    <w:next w:val="CommentText"/>
    <w:link w:val="CommentSubjectChar"/>
    <w:rsid w:val="003C56DF"/>
    <w:rPr>
      <w:b/>
      <w:bCs/>
    </w:rPr>
  </w:style>
  <w:style w:type="character" w:customStyle="1" w:styleId="CommentSubjectChar">
    <w:name w:val="Comment Subject Char"/>
    <w:basedOn w:val="CommentTextChar"/>
    <w:link w:val="CommentSubject"/>
    <w:rsid w:val="003C56DF"/>
    <w:rPr>
      <w:rFonts w:ascii="Calibri" w:eastAsia="Calibri" w:hAnsi="Calibri" w:cs="Calibri"/>
      <w:b/>
      <w:bCs/>
      <w:color w:val="000000"/>
      <w:sz w:val="20"/>
      <w:szCs w:val="20"/>
    </w:rPr>
  </w:style>
  <w:style w:type="paragraph" w:styleId="Header">
    <w:name w:val="header"/>
    <w:basedOn w:val="Normal"/>
    <w:link w:val="HeaderChar"/>
    <w:rsid w:val="00B63E2D"/>
    <w:pPr>
      <w:tabs>
        <w:tab w:val="center" w:pos="4320"/>
        <w:tab w:val="right" w:pos="8640"/>
      </w:tabs>
      <w:spacing w:after="0" w:line="240" w:lineRule="auto"/>
    </w:pPr>
  </w:style>
  <w:style w:type="character" w:customStyle="1" w:styleId="HeaderChar">
    <w:name w:val="Header Char"/>
    <w:basedOn w:val="DefaultParagraphFont"/>
    <w:link w:val="Header"/>
    <w:rsid w:val="00B63E2D"/>
    <w:rPr>
      <w:rFonts w:ascii="Calibri" w:eastAsia="Calibri" w:hAnsi="Calibri" w:cs="Calibri"/>
      <w:color w:val="000000"/>
    </w:rPr>
  </w:style>
  <w:style w:type="paragraph" w:styleId="Footer">
    <w:name w:val="footer"/>
    <w:basedOn w:val="Normal"/>
    <w:link w:val="FooterChar"/>
    <w:rsid w:val="00B63E2D"/>
    <w:pPr>
      <w:tabs>
        <w:tab w:val="center" w:pos="4320"/>
        <w:tab w:val="right" w:pos="8640"/>
      </w:tabs>
      <w:spacing w:after="0" w:line="240" w:lineRule="auto"/>
    </w:pPr>
  </w:style>
  <w:style w:type="character" w:customStyle="1" w:styleId="FooterChar">
    <w:name w:val="Footer Char"/>
    <w:basedOn w:val="DefaultParagraphFont"/>
    <w:link w:val="Footer"/>
    <w:rsid w:val="00B63E2D"/>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5230331">
      <w:bodyDiv w:val="1"/>
      <w:marLeft w:val="0"/>
      <w:marRight w:val="0"/>
      <w:marTop w:val="0"/>
      <w:marBottom w:val="0"/>
      <w:divBdr>
        <w:top w:val="none" w:sz="0" w:space="0" w:color="auto"/>
        <w:left w:val="none" w:sz="0" w:space="0" w:color="auto"/>
        <w:bottom w:val="none" w:sz="0" w:space="0" w:color="auto"/>
        <w:right w:val="none" w:sz="0" w:space="0" w:color="auto"/>
      </w:divBdr>
      <w:divsChild>
        <w:div w:id="661859270">
          <w:marLeft w:val="720"/>
          <w:marRight w:val="0"/>
          <w:marTop w:val="115"/>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usanna.kooistra@3gpp.org" TargetMode="External"/><Relationship Id="rId20" Type="http://schemas.openxmlformats.org/officeDocument/2006/relationships/hyperlink" Target="http://ieee802.org/meeting"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33" Type="http://schemas.microsoft.com/office/2011/relationships/people" Target="people.xml"/><Relationship Id="rId10" Type="http://schemas.openxmlformats.org/officeDocument/2006/relationships/hyperlink" Target="mailto:adrian.scrase@etsi.org" TargetMode="External"/><Relationship Id="rId11" Type="http://schemas.openxmlformats.org/officeDocument/2006/relationships/hyperlink" Target="https://mentor.ieee.org/802-ec/dcn/16/ec-16-0119-01-5GSG-report-ieee-802-ec-5g-imt-2020-sc.pptx" TargetMode="External"/><Relationship Id="rId12" Type="http://schemas.openxmlformats.org/officeDocument/2006/relationships/hyperlink" Target="https://mentor.ieee.org/802-ec/dcn/16/ec-16-0119-01-5GSG-report-ieee-802-ec-5g-imt-2020-sc.pptx" TargetMode="External"/><Relationship Id="rId13" Type="http://schemas.openxmlformats.org/officeDocument/2006/relationships/hyperlink" Target="https://mentor.ieee.org/802-ec/dcn/16/ec-16-0119-01-5GSG-report-ieee-802-ec-5g-imt-2020-sc.pptx" TargetMode="External"/><Relationship Id="rId14" Type="http://schemas.openxmlformats.org/officeDocument/2006/relationships/hyperlink" Target="http://standards.ieee.org/develop/indconn/" TargetMode="External"/><Relationship Id="rId15" Type="http://schemas.openxmlformats.org/officeDocument/2006/relationships/hyperlink" Target="http://standards.ieee.org/develop/indconn/" TargetMode="External"/><Relationship Id="rId16" Type="http://schemas.openxmlformats.org/officeDocument/2006/relationships/hyperlink" Target="http://ieee802.org/Stand_Com/5G/" TargetMode="External"/><Relationship Id="rId17" Type="http://schemas.openxmlformats.org/officeDocument/2006/relationships/hyperlink" Target="http://ieee802.org/Stand_Com/5G/" TargetMode="External"/><Relationship Id="rId18" Type="http://schemas.openxmlformats.org/officeDocument/2006/relationships/hyperlink" Target="http://www.3gpp.org/ftp/TSG_RAN/TSG_RAN/TSGR_73/Docs/RP-161804.zip" TargetMode="External"/><Relationship Id="rId19" Type="http://schemas.openxmlformats.org/officeDocument/2006/relationships/hyperlink" Target="http://www.3gpp.org/ftp/tsg_sa/TSG_SA/TSGS_73/Docs/SP-160737.zi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59C4-C400-E442-BBCD-6DCF4567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1105</Words>
  <Characters>6303</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Parsons</dc:creator>
  <cp:lastModifiedBy>Roger Marks</cp:lastModifiedBy>
  <cp:revision>7</cp:revision>
  <dcterms:created xsi:type="dcterms:W3CDTF">2016-10-07T23:07:00Z</dcterms:created>
  <dcterms:modified xsi:type="dcterms:W3CDTF">2016-10-08T00:36:00Z</dcterms:modified>
</cp:coreProperties>
</file>