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proofErr w:type="spellStart"/>
      <w:r>
        <w:rPr>
          <w:rFonts w:cs="Arial"/>
        </w:rPr>
        <w:t>Wiress</w:t>
      </w:r>
      <w:proofErr w:type="spellEnd"/>
      <w:r>
        <w:rPr>
          <w:rFonts w:cs="Arial"/>
        </w:rPr>
        <w:t xml:space="preserve">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BA1921">
        <w:rPr>
          <w:rFonts w:cs="Arial"/>
          <w:b/>
        </w:rPr>
        <w:t>5</w:t>
      </w:r>
      <w:r w:rsidR="007269FF">
        <w:rPr>
          <w:rFonts w:cs="Arial"/>
          <w:b/>
        </w:rPr>
        <w:t>-</w:t>
      </w:r>
      <w:r w:rsidR="00F12E81">
        <w:rPr>
          <w:rFonts w:cs="Arial"/>
          <w:b/>
        </w:rPr>
        <w:t>11</w:t>
      </w:r>
      <w:r w:rsidR="00832572">
        <w:rPr>
          <w:rFonts w:cs="Arial"/>
          <w:b/>
        </w:rPr>
        <w:t>-</w:t>
      </w:r>
      <w:r w:rsidR="00F12E81">
        <w:rPr>
          <w:rFonts w:cs="Arial"/>
          <w:b/>
        </w:rPr>
        <w:t>08</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E07D21" w:rsidP="000240EE">
      <w:pPr>
        <w:pStyle w:val="T3"/>
        <w:tabs>
          <w:tab w:val="clear" w:pos="4680"/>
          <w:tab w:val="center" w:pos="6480"/>
        </w:tabs>
        <w:spacing w:after="0"/>
        <w:jc w:val="center"/>
        <w:rPr>
          <w:rFonts w:cs="Arial"/>
          <w:b/>
        </w:rPr>
      </w:pPr>
      <w:r>
        <w:rPr>
          <w:rFonts w:cs="Arial"/>
          <w:b/>
        </w:rPr>
        <w:t>Bob Heile</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Chair, IEEE 802.15</w:t>
      </w:r>
    </w:p>
    <w:p w:rsidR="00E07D21" w:rsidRDefault="00E07D21" w:rsidP="000240EE">
      <w:pPr>
        <w:pStyle w:val="T3"/>
        <w:tabs>
          <w:tab w:val="clear" w:pos="4680"/>
          <w:tab w:val="center" w:pos="6480"/>
        </w:tabs>
        <w:spacing w:after="0"/>
        <w:jc w:val="center"/>
        <w:rPr>
          <w:rFonts w:cs="Arial"/>
          <w:b/>
        </w:rPr>
      </w:pP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E07D21" w:rsidP="000240EE">
      <w:pPr>
        <w:pStyle w:val="T3"/>
        <w:tabs>
          <w:tab w:val="clear" w:pos="4680"/>
          <w:tab w:val="center" w:pos="6480"/>
        </w:tabs>
        <w:spacing w:after="0"/>
        <w:jc w:val="center"/>
        <w:rPr>
          <w:rFonts w:cs="Arial"/>
          <w:b/>
        </w:rPr>
      </w:pPr>
      <w:r>
        <w:rPr>
          <w:rFonts w:cs="Arial"/>
          <w:b/>
        </w:rPr>
        <w:t>Chair, IEEE 802.11</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8"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0" w:name="_Toc599669"/>
      <w:bookmarkStart w:id="1" w:name="_Toc9275812"/>
      <w:bookmarkStart w:id="2" w:name="_Toc9276259"/>
      <w:bookmarkStart w:id="3" w:name="_Toc19527262"/>
      <w:r>
        <w:rPr>
          <w:rFonts w:cs="Arial"/>
        </w:rPr>
        <w:br w:type="page"/>
      </w:r>
    </w:p>
    <w:p w:rsidR="006C2386" w:rsidRDefault="006C2386" w:rsidP="0058622D">
      <w:pPr>
        <w:pStyle w:val="H2"/>
        <w:rPr>
          <w:rFonts w:cs="Arial"/>
        </w:rPr>
      </w:pPr>
      <w:bookmarkStart w:id="4" w:name="_Toc414625284"/>
      <w:r>
        <w:rPr>
          <w:rFonts w:cs="Arial"/>
        </w:rPr>
        <w:lastRenderedPageBreak/>
        <w:t>Contents</w:t>
      </w:r>
      <w:bookmarkEnd w:id="0"/>
      <w:bookmarkEnd w:id="1"/>
      <w:bookmarkEnd w:id="2"/>
      <w:bookmarkEnd w:id="3"/>
      <w:bookmarkEnd w:id="4"/>
    </w:p>
    <w:p w:rsidR="002C1F5E"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14625284" w:history="1">
        <w:r w:rsidR="002C1F5E" w:rsidRPr="003E1834">
          <w:rPr>
            <w:rStyle w:val="Hyperlink"/>
            <w:rFonts w:cs="Arial"/>
            <w:noProof/>
          </w:rPr>
          <w:t>Contents</w:t>
        </w:r>
        <w:r w:rsidR="002C1F5E">
          <w:rPr>
            <w:noProof/>
            <w:webHidden/>
          </w:rPr>
          <w:tab/>
        </w:r>
        <w:r w:rsidR="002C1F5E">
          <w:rPr>
            <w:noProof/>
            <w:webHidden/>
          </w:rPr>
          <w:fldChar w:fldCharType="begin"/>
        </w:r>
        <w:r w:rsidR="002C1F5E">
          <w:rPr>
            <w:noProof/>
            <w:webHidden/>
          </w:rPr>
          <w:instrText xml:space="preserve"> PAGEREF _Toc414625284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80286B">
      <w:pPr>
        <w:pStyle w:val="TOC3"/>
        <w:tabs>
          <w:tab w:val="right" w:leader="dot" w:pos="9350"/>
        </w:tabs>
        <w:rPr>
          <w:rFonts w:asciiTheme="minorHAnsi" w:eastAsiaTheme="minorEastAsia" w:hAnsiTheme="minorHAnsi" w:cstheme="minorBidi"/>
          <w:noProof/>
          <w:sz w:val="22"/>
          <w:szCs w:val="22"/>
          <w:lang w:val="en-GB" w:eastAsia="en-GB"/>
        </w:rPr>
      </w:pPr>
      <w:hyperlink w:anchor="_Toc414625285" w:history="1">
        <w:r w:rsidR="002C1F5E" w:rsidRPr="003E1834">
          <w:rPr>
            <w:rStyle w:val="Hyperlink"/>
            <w:rFonts w:cs="Arial"/>
            <w:noProof/>
          </w:rPr>
          <w:t>References</w:t>
        </w:r>
        <w:r w:rsidR="002C1F5E">
          <w:rPr>
            <w:noProof/>
            <w:webHidden/>
          </w:rPr>
          <w:tab/>
        </w:r>
        <w:r w:rsidR="002C1F5E">
          <w:rPr>
            <w:noProof/>
            <w:webHidden/>
          </w:rPr>
          <w:fldChar w:fldCharType="begin"/>
        </w:r>
        <w:r w:rsidR="002C1F5E">
          <w:rPr>
            <w:noProof/>
            <w:webHidden/>
          </w:rPr>
          <w:instrText xml:space="preserve"> PAGEREF _Toc414625285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80286B">
      <w:pPr>
        <w:pStyle w:val="TOC3"/>
        <w:tabs>
          <w:tab w:val="right" w:leader="dot" w:pos="9350"/>
        </w:tabs>
        <w:rPr>
          <w:rFonts w:asciiTheme="minorHAnsi" w:eastAsiaTheme="minorEastAsia" w:hAnsiTheme="minorHAnsi" w:cstheme="minorBidi"/>
          <w:noProof/>
          <w:sz w:val="22"/>
          <w:szCs w:val="22"/>
          <w:lang w:val="en-GB" w:eastAsia="en-GB"/>
        </w:rPr>
      </w:pPr>
      <w:hyperlink w:anchor="_Toc414625286" w:history="1">
        <w:r w:rsidR="002C1F5E" w:rsidRPr="003E1834">
          <w:rPr>
            <w:rStyle w:val="Hyperlink"/>
            <w:rFonts w:cs="Arial"/>
            <w:noProof/>
          </w:rPr>
          <w:t>Acronyms</w:t>
        </w:r>
        <w:r w:rsidR="002C1F5E">
          <w:rPr>
            <w:noProof/>
            <w:webHidden/>
          </w:rPr>
          <w:tab/>
        </w:r>
        <w:r w:rsidR="002C1F5E">
          <w:rPr>
            <w:noProof/>
            <w:webHidden/>
          </w:rPr>
          <w:fldChar w:fldCharType="begin"/>
        </w:r>
        <w:r w:rsidR="002C1F5E">
          <w:rPr>
            <w:noProof/>
            <w:webHidden/>
          </w:rPr>
          <w:instrText xml:space="preserve"> PAGEREF _Toc414625286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80286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87" w:history="1">
        <w:r w:rsidR="002C1F5E" w:rsidRPr="003E1834">
          <w:rPr>
            <w:rStyle w:val="Hyperlink"/>
          </w:rPr>
          <w:t>1</w:t>
        </w:r>
        <w:r w:rsidR="002C1F5E">
          <w:rPr>
            <w:rFonts w:asciiTheme="minorHAnsi" w:eastAsiaTheme="minorEastAsia" w:hAnsiTheme="minorHAnsi" w:cstheme="minorBidi"/>
            <w:b w:val="0"/>
            <w:sz w:val="22"/>
            <w:szCs w:val="22"/>
            <w:lang w:val="en-GB" w:eastAsia="en-GB"/>
          </w:rPr>
          <w:tab/>
        </w:r>
        <w:r w:rsidR="002C1F5E" w:rsidRPr="003E1834">
          <w:rPr>
            <w:rStyle w:val="Hyperlink"/>
          </w:rPr>
          <w:t>Hierarchy</w:t>
        </w:r>
        <w:r w:rsidR="002C1F5E">
          <w:rPr>
            <w:webHidden/>
          </w:rPr>
          <w:tab/>
        </w:r>
        <w:r w:rsidR="002C1F5E">
          <w:rPr>
            <w:webHidden/>
          </w:rPr>
          <w:fldChar w:fldCharType="begin"/>
        </w:r>
        <w:r w:rsidR="002C1F5E">
          <w:rPr>
            <w:webHidden/>
          </w:rPr>
          <w:instrText xml:space="preserve"> PAGEREF _Toc414625287 \h </w:instrText>
        </w:r>
        <w:r w:rsidR="002C1F5E">
          <w:rPr>
            <w:webHidden/>
          </w:rPr>
        </w:r>
        <w:r w:rsidR="002C1F5E">
          <w:rPr>
            <w:webHidden/>
          </w:rPr>
          <w:fldChar w:fldCharType="separate"/>
        </w:r>
        <w:r w:rsidR="002C1F5E">
          <w:rPr>
            <w:webHidden/>
          </w:rPr>
          <w:t>4</w:t>
        </w:r>
        <w:r w:rsidR="002C1F5E">
          <w:rPr>
            <w:webHidden/>
          </w:rPr>
          <w:fldChar w:fldCharType="end"/>
        </w:r>
      </w:hyperlink>
    </w:p>
    <w:p w:rsidR="002C1F5E" w:rsidRDefault="0080286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88" w:history="1">
        <w:r w:rsidR="002C1F5E" w:rsidRPr="003E1834">
          <w:rPr>
            <w:rStyle w:val="Hyperlink"/>
          </w:rPr>
          <w:t>2</w:t>
        </w:r>
        <w:r w:rsidR="002C1F5E">
          <w:rPr>
            <w:rFonts w:asciiTheme="minorHAnsi" w:eastAsiaTheme="minorEastAsia" w:hAnsiTheme="minorHAnsi" w:cstheme="minorBidi"/>
            <w:b w:val="0"/>
            <w:sz w:val="22"/>
            <w:szCs w:val="22"/>
            <w:lang w:val="en-GB" w:eastAsia="en-GB"/>
          </w:rPr>
          <w:tab/>
        </w:r>
        <w:r w:rsidR="002C1F5E" w:rsidRPr="003E1834">
          <w:rPr>
            <w:rStyle w:val="Hyperlink"/>
          </w:rPr>
          <w:t>The IEEE 802 Wireless Chairs Standing Committee (WCSC)</w:t>
        </w:r>
        <w:r w:rsidR="002C1F5E">
          <w:rPr>
            <w:webHidden/>
          </w:rPr>
          <w:tab/>
        </w:r>
        <w:r w:rsidR="002C1F5E">
          <w:rPr>
            <w:webHidden/>
          </w:rPr>
          <w:fldChar w:fldCharType="begin"/>
        </w:r>
        <w:r w:rsidR="002C1F5E">
          <w:rPr>
            <w:webHidden/>
          </w:rPr>
          <w:instrText xml:space="preserve"> PAGEREF _Toc414625288 \h </w:instrText>
        </w:r>
        <w:r w:rsidR="002C1F5E">
          <w:rPr>
            <w:webHidden/>
          </w:rPr>
        </w:r>
        <w:r w:rsidR="002C1F5E">
          <w:rPr>
            <w:webHidden/>
          </w:rPr>
          <w:fldChar w:fldCharType="separate"/>
        </w:r>
        <w:r w:rsidR="002C1F5E">
          <w:rPr>
            <w:webHidden/>
          </w:rPr>
          <w:t>4</w:t>
        </w:r>
        <w:r w:rsidR="002C1F5E">
          <w:rPr>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89" w:history="1">
        <w:r w:rsidR="002C1F5E" w:rsidRPr="003E1834">
          <w:rPr>
            <w:rStyle w:val="Hyperlink"/>
            <w:noProof/>
            <w:lang w:val="en-GB"/>
          </w:rPr>
          <w:t>2.1</w:t>
        </w:r>
        <w:r w:rsidR="002C1F5E">
          <w:rPr>
            <w:rFonts w:asciiTheme="minorHAnsi" w:eastAsiaTheme="minorEastAsia" w:hAnsiTheme="minorHAnsi" w:cstheme="minorBidi"/>
            <w:noProof/>
            <w:sz w:val="22"/>
            <w:szCs w:val="22"/>
            <w:lang w:val="en-GB" w:eastAsia="en-GB"/>
          </w:rPr>
          <w:tab/>
        </w:r>
        <w:r w:rsidR="002C1F5E" w:rsidRPr="003E1834">
          <w:rPr>
            <w:rStyle w:val="Hyperlink"/>
            <w:noProof/>
            <w:lang w:val="en-GB"/>
          </w:rPr>
          <w:t>Scope of the WCSC</w:t>
        </w:r>
        <w:r w:rsidR="002C1F5E">
          <w:rPr>
            <w:noProof/>
            <w:webHidden/>
          </w:rPr>
          <w:tab/>
        </w:r>
        <w:r w:rsidR="002C1F5E">
          <w:rPr>
            <w:noProof/>
            <w:webHidden/>
          </w:rPr>
          <w:fldChar w:fldCharType="begin"/>
        </w:r>
        <w:r w:rsidR="002C1F5E">
          <w:rPr>
            <w:noProof/>
            <w:webHidden/>
          </w:rPr>
          <w:instrText xml:space="preserve"> PAGEREF _Toc414625289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0" w:history="1">
        <w:r w:rsidR="002C1F5E" w:rsidRPr="003E1834">
          <w:rPr>
            <w:rStyle w:val="Hyperlink"/>
            <w:noProof/>
          </w:rPr>
          <w:t>2.2</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Purpose</w:t>
        </w:r>
        <w:r w:rsidR="002C1F5E">
          <w:rPr>
            <w:noProof/>
            <w:webHidden/>
          </w:rPr>
          <w:tab/>
        </w:r>
        <w:r w:rsidR="002C1F5E">
          <w:rPr>
            <w:noProof/>
            <w:webHidden/>
          </w:rPr>
          <w:fldChar w:fldCharType="begin"/>
        </w:r>
        <w:r w:rsidR="002C1F5E">
          <w:rPr>
            <w:noProof/>
            <w:webHidden/>
          </w:rPr>
          <w:instrText xml:space="preserve"> PAGEREF _Toc414625290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1" w:history="1">
        <w:r w:rsidR="002C1F5E" w:rsidRPr="003E1834">
          <w:rPr>
            <w:rStyle w:val="Hyperlink"/>
            <w:noProof/>
          </w:rPr>
          <w:t>2.3</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Meetings</w:t>
        </w:r>
        <w:r w:rsidR="002C1F5E">
          <w:rPr>
            <w:noProof/>
            <w:webHidden/>
          </w:rPr>
          <w:tab/>
        </w:r>
        <w:r w:rsidR="002C1F5E">
          <w:rPr>
            <w:noProof/>
            <w:webHidden/>
          </w:rPr>
          <w:fldChar w:fldCharType="begin"/>
        </w:r>
        <w:r w:rsidR="002C1F5E">
          <w:rPr>
            <w:noProof/>
            <w:webHidden/>
          </w:rPr>
          <w:instrText xml:space="preserve"> PAGEREF _Toc414625291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2" w:history="1">
        <w:r w:rsidR="002C1F5E" w:rsidRPr="003E1834">
          <w:rPr>
            <w:rStyle w:val="Hyperlink"/>
            <w:noProof/>
          </w:rPr>
          <w:t>2.4</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Documentation</w:t>
        </w:r>
        <w:r w:rsidR="002C1F5E">
          <w:rPr>
            <w:noProof/>
            <w:webHidden/>
          </w:rPr>
          <w:tab/>
        </w:r>
        <w:r w:rsidR="002C1F5E">
          <w:rPr>
            <w:noProof/>
            <w:webHidden/>
          </w:rPr>
          <w:fldChar w:fldCharType="begin"/>
        </w:r>
        <w:r w:rsidR="002C1F5E">
          <w:rPr>
            <w:noProof/>
            <w:webHidden/>
          </w:rPr>
          <w:instrText xml:space="preserve"> PAGEREF _Toc414625292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3" w:history="1">
        <w:r w:rsidR="002C1F5E" w:rsidRPr="003E1834">
          <w:rPr>
            <w:rStyle w:val="Hyperlink"/>
            <w:noProof/>
          </w:rPr>
          <w:t>2.5</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Delegation of decisions to Joint Treasury subcommittee</w:t>
        </w:r>
        <w:r w:rsidR="002C1F5E">
          <w:rPr>
            <w:noProof/>
            <w:webHidden/>
          </w:rPr>
          <w:tab/>
        </w:r>
        <w:r w:rsidR="002C1F5E">
          <w:rPr>
            <w:noProof/>
            <w:webHidden/>
          </w:rPr>
          <w:fldChar w:fldCharType="begin"/>
        </w:r>
        <w:r w:rsidR="002C1F5E">
          <w:rPr>
            <w:noProof/>
            <w:webHidden/>
          </w:rPr>
          <w:instrText xml:space="preserve"> PAGEREF _Toc414625293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4" w:history="1">
        <w:r w:rsidR="002C1F5E" w:rsidRPr="003E1834">
          <w:rPr>
            <w:rStyle w:val="Hyperlink"/>
            <w:noProof/>
          </w:rPr>
          <w:t>2.6</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Officers and Membership</w:t>
        </w:r>
        <w:r w:rsidR="002C1F5E">
          <w:rPr>
            <w:noProof/>
            <w:webHidden/>
          </w:rPr>
          <w:tab/>
        </w:r>
        <w:r w:rsidR="002C1F5E">
          <w:rPr>
            <w:noProof/>
            <w:webHidden/>
          </w:rPr>
          <w:fldChar w:fldCharType="begin"/>
        </w:r>
        <w:r w:rsidR="002C1F5E">
          <w:rPr>
            <w:noProof/>
            <w:webHidden/>
          </w:rPr>
          <w:instrText xml:space="preserve"> PAGEREF _Toc414625294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80286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5" w:history="1">
        <w:r w:rsidR="002C1F5E" w:rsidRPr="003E1834">
          <w:rPr>
            <w:rStyle w:val="Hyperlink"/>
            <w:noProof/>
          </w:rPr>
          <w:t>2.7</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Subgroups</w:t>
        </w:r>
        <w:r w:rsidR="002C1F5E">
          <w:rPr>
            <w:noProof/>
            <w:webHidden/>
          </w:rPr>
          <w:tab/>
        </w:r>
        <w:r w:rsidR="002C1F5E">
          <w:rPr>
            <w:noProof/>
            <w:webHidden/>
          </w:rPr>
          <w:fldChar w:fldCharType="begin"/>
        </w:r>
        <w:r w:rsidR="002C1F5E">
          <w:rPr>
            <w:noProof/>
            <w:webHidden/>
          </w:rPr>
          <w:instrText xml:space="preserve"> PAGEREF _Toc414625295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80286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14625296" w:history="1">
        <w:r w:rsidR="002C1F5E" w:rsidRPr="003E1834">
          <w:rPr>
            <w:rStyle w:val="Hyperlink"/>
            <w:noProof/>
          </w:rPr>
          <w:t>2.7.1</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Joint Treasury subcommittee</w:t>
        </w:r>
        <w:r w:rsidR="002C1F5E">
          <w:rPr>
            <w:noProof/>
            <w:webHidden/>
          </w:rPr>
          <w:tab/>
        </w:r>
        <w:r w:rsidR="002C1F5E">
          <w:rPr>
            <w:noProof/>
            <w:webHidden/>
          </w:rPr>
          <w:fldChar w:fldCharType="begin"/>
        </w:r>
        <w:r w:rsidR="002C1F5E">
          <w:rPr>
            <w:noProof/>
            <w:webHidden/>
          </w:rPr>
          <w:instrText xml:space="preserve"> PAGEREF _Toc414625296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80286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97" w:history="1">
        <w:r w:rsidR="002C1F5E" w:rsidRPr="003E1834">
          <w:rPr>
            <w:rStyle w:val="Hyperlink"/>
          </w:rPr>
          <w:t>3</w:t>
        </w:r>
        <w:r w:rsidR="002C1F5E">
          <w:rPr>
            <w:rFonts w:asciiTheme="minorHAnsi" w:eastAsiaTheme="minorEastAsia" w:hAnsiTheme="minorHAnsi" w:cstheme="minorBidi"/>
            <w:b w:val="0"/>
            <w:sz w:val="22"/>
            <w:szCs w:val="22"/>
            <w:lang w:val="en-GB" w:eastAsia="en-GB"/>
          </w:rPr>
          <w:tab/>
        </w:r>
        <w:r w:rsidR="002C1F5E" w:rsidRPr="003E1834">
          <w:rPr>
            <w:rStyle w:val="Hyperlink"/>
          </w:rPr>
          <w:t>PCO Selection Process</w:t>
        </w:r>
        <w:r w:rsidR="002C1F5E">
          <w:rPr>
            <w:webHidden/>
          </w:rPr>
          <w:tab/>
        </w:r>
        <w:r w:rsidR="002C1F5E">
          <w:rPr>
            <w:webHidden/>
          </w:rPr>
          <w:fldChar w:fldCharType="begin"/>
        </w:r>
        <w:r w:rsidR="002C1F5E">
          <w:rPr>
            <w:webHidden/>
          </w:rPr>
          <w:instrText xml:space="preserve"> PAGEREF _Toc414625297 \h </w:instrText>
        </w:r>
        <w:r w:rsidR="002C1F5E">
          <w:rPr>
            <w:webHidden/>
          </w:rPr>
        </w:r>
        <w:r w:rsidR="002C1F5E">
          <w:rPr>
            <w:webHidden/>
          </w:rPr>
          <w:fldChar w:fldCharType="separate"/>
        </w:r>
        <w:r w:rsidR="002C1F5E">
          <w:rPr>
            <w:webHidden/>
          </w:rPr>
          <w:t>5</w:t>
        </w:r>
        <w:r w:rsidR="002C1F5E">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rsidR="006C2386" w:rsidRDefault="006C2386">
      <w:pPr>
        <w:pStyle w:val="H2"/>
        <w:rPr>
          <w:rFonts w:cs="Arial"/>
        </w:rPr>
      </w:pPr>
      <w:bookmarkStart w:id="8" w:name="_Toc19527264"/>
      <w:bookmarkStart w:id="9" w:name="_Toc414625285"/>
      <w:bookmarkEnd w:id="5"/>
      <w:bookmarkEnd w:id="6"/>
      <w:bookmarkEnd w:id="7"/>
      <w:r>
        <w:rPr>
          <w:rFonts w:cs="Arial"/>
        </w:rPr>
        <w:t>References</w:t>
      </w:r>
      <w:bookmarkEnd w:id="8"/>
      <w:bookmarkEnd w:id="9"/>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0" w:name="rules1"/>
      <w:bookmarkEnd w:id="10"/>
      <w:r>
        <w:t>IEEE</w:t>
      </w:r>
      <w:r w:rsidR="006C2386">
        <w:t xml:space="preserve"> Standards Board Bylaws </w:t>
      </w:r>
      <w:r w:rsidR="006C2386">
        <w:br/>
      </w:r>
      <w:r w:rsidR="006C2386">
        <w:rPr>
          <w:rStyle w:val="Hyperlink"/>
          <w:rFonts w:cs="Arial"/>
        </w:rPr>
        <w:t xml:space="preserve"> </w:t>
      </w:r>
      <w:hyperlink r:id="rId9"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1" w:name="rules2"/>
      <w:bookmarkEnd w:id="11"/>
      <w:r>
        <w:t>IEEE-SA</w:t>
      </w:r>
      <w:r>
        <w:rPr>
          <w:rFonts w:cs="Arial"/>
        </w:rPr>
        <w:t>®</w:t>
      </w:r>
      <w:r>
        <w:t xml:space="preserve"> Standards Board Operations Manual </w:t>
      </w:r>
      <w:r>
        <w:br/>
      </w:r>
      <w:r>
        <w:rPr>
          <w:rStyle w:val="Hyperlink"/>
          <w:rFonts w:cs="Arial"/>
        </w:rPr>
        <w:t xml:space="preserve"> </w:t>
      </w:r>
      <w:hyperlink r:id="rId10" w:history="1">
        <w:r>
          <w:rPr>
            <w:rStyle w:val="Hyperlink"/>
            <w:rFonts w:cs="Arial"/>
          </w:rPr>
          <w:t>http://standards.ieee.org/guides/opman/</w:t>
        </w:r>
      </w:hyperlink>
    </w:p>
    <w:bookmarkStart w:id="12" w:name="rules3"/>
    <w:bookmarkEnd w:id="12"/>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80286B">
      <w:pPr>
        <w:pStyle w:val="rulesHangIndent"/>
        <w:tabs>
          <w:tab w:val="clear" w:pos="1440"/>
          <w:tab w:val="num" w:pos="900"/>
        </w:tabs>
        <w:ind w:left="900" w:hanging="900"/>
      </w:pPr>
      <w:hyperlink r:id="rId11"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p w:rsidR="006C2386" w:rsidRDefault="006C2386">
      <w:pPr>
        <w:pStyle w:val="rulesHangIndent"/>
        <w:tabs>
          <w:tab w:val="clear" w:pos="1440"/>
          <w:tab w:val="num" w:pos="900"/>
        </w:tabs>
        <w:ind w:left="900" w:hanging="900"/>
      </w:pPr>
      <w:bookmarkStart w:id="13" w:name="rules4"/>
      <w:bookmarkStart w:id="14" w:name="rules6"/>
      <w:bookmarkEnd w:id="13"/>
      <w:r>
        <w:t xml:space="preserve">Robert's Rules of Order Newly Revised </w:t>
      </w:r>
      <w:bookmarkEnd w:id="14"/>
      <w:r>
        <w:t xml:space="preserve">(Latest Published Edition), by </w:t>
      </w:r>
      <w:hyperlink r:id="rId12" w:history="1">
        <w:r>
          <w:t>Henry M. Robert III</w:t>
        </w:r>
      </w:hyperlink>
      <w:r>
        <w:t xml:space="preserve"> (Editor), </w:t>
      </w:r>
      <w:hyperlink r:id="rId13" w:history="1">
        <w:r>
          <w:rPr>
            <w:rStyle w:val="Hyperlink"/>
            <w:rFonts w:cs="Arial"/>
          </w:rPr>
          <w:t>Sarah Corbin Robert</w:t>
        </w:r>
      </w:hyperlink>
      <w:r>
        <w:t xml:space="preserve">, and </w:t>
      </w:r>
      <w:hyperlink r:id="rId14" w:history="1">
        <w:r>
          <w:rPr>
            <w:rStyle w:val="Hyperlink"/>
            <w:rFonts w:cs="Arial"/>
          </w:rPr>
          <w:t>William J. Evans</w:t>
        </w:r>
      </w:hyperlink>
      <w:r>
        <w:t xml:space="preserve"> (Editor), Perseus Publishing</w:t>
      </w:r>
      <w:bookmarkStart w:id="15" w:name="_Toc9295048"/>
      <w:bookmarkStart w:id="16" w:name="_Toc9295268"/>
      <w:bookmarkStart w:id="17" w:name="_Toc9295488"/>
      <w:bookmarkStart w:id="18" w:name="_Toc9348483"/>
      <w:bookmarkStart w:id="19" w:name="_Toc9295051"/>
      <w:bookmarkStart w:id="20" w:name="_Toc9295271"/>
      <w:bookmarkStart w:id="21" w:name="_Toc9295491"/>
      <w:bookmarkStart w:id="22" w:name="_Toc9348486"/>
      <w:bookmarkStart w:id="23" w:name="_Toc9295052"/>
      <w:bookmarkStart w:id="24" w:name="_Toc9295272"/>
      <w:bookmarkStart w:id="25" w:name="_Toc9295492"/>
      <w:bookmarkStart w:id="26" w:name="_Toc9348487"/>
      <w:bookmarkStart w:id="27" w:name="_Toc9295054"/>
      <w:bookmarkStart w:id="28" w:name="_Toc9295274"/>
      <w:bookmarkStart w:id="29" w:name="_Toc9295494"/>
      <w:bookmarkStart w:id="30" w:name="_Toc9348489"/>
      <w:bookmarkStart w:id="31" w:name="_Toc9295055"/>
      <w:bookmarkStart w:id="32" w:name="_Toc9295275"/>
      <w:bookmarkStart w:id="33" w:name="_Toc9295495"/>
      <w:bookmarkStart w:id="34" w:name="_Toc9348490"/>
      <w:bookmarkStart w:id="35" w:name="_Toc9295057"/>
      <w:bookmarkStart w:id="36" w:name="_Toc9295277"/>
      <w:bookmarkStart w:id="37" w:name="_Toc9295497"/>
      <w:bookmarkStart w:id="38" w:name="_Toc9348492"/>
      <w:bookmarkStart w:id="39" w:name="_Toc9295058"/>
      <w:bookmarkStart w:id="40" w:name="_Toc9295278"/>
      <w:bookmarkStart w:id="41" w:name="_Toc9295498"/>
      <w:bookmarkStart w:id="42" w:name="_Toc9348493"/>
      <w:bookmarkStart w:id="43" w:name="_Toc9295060"/>
      <w:bookmarkStart w:id="44" w:name="_Toc9295280"/>
      <w:bookmarkStart w:id="45" w:name="_Toc9295500"/>
      <w:bookmarkStart w:id="46" w:name="_Toc9348495"/>
      <w:bookmarkStart w:id="47" w:name="_Toc599671"/>
      <w:bookmarkStart w:id="48" w:name="_Toc9275814"/>
      <w:bookmarkStart w:id="49" w:name="_Toc927626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C2386" w:rsidRDefault="006C2386">
      <w:pPr>
        <w:rPr>
          <w:rFonts w:cs="Arial"/>
          <w:u w:val="single"/>
        </w:rPr>
      </w:pPr>
    </w:p>
    <w:p w:rsidR="00172E2C" w:rsidRDefault="00172E2C">
      <w:pPr>
        <w:pStyle w:val="H2"/>
        <w:rPr>
          <w:rFonts w:cs="Arial"/>
        </w:rPr>
      </w:pPr>
      <w:bookmarkStart w:id="50" w:name="_Toc19527265"/>
      <w:bookmarkStart w:id="51" w:name="_Toc414625286"/>
      <w:r>
        <w:rPr>
          <w:rFonts w:cs="Arial"/>
        </w:rPr>
        <w:t>Definitions</w:t>
      </w:r>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802.11/802.15.</w:t>
      </w:r>
    </w:p>
    <w:p w:rsidR="006C2386" w:rsidRDefault="006C2386">
      <w:pPr>
        <w:pStyle w:val="H2"/>
        <w:rPr>
          <w:rFonts w:cs="Arial"/>
        </w:rPr>
      </w:pPr>
      <w:r>
        <w:rPr>
          <w:rFonts w:cs="Arial"/>
        </w:rPr>
        <w:t>Acronyms</w:t>
      </w:r>
      <w:bookmarkEnd w:id="50"/>
      <w:bookmarkEnd w:id="5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lastRenderedPageBreak/>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E07D21" w:rsidRDefault="00E07D21" w:rsidP="00E07D21">
      <w:pPr>
        <w:rPr>
          <w:rFonts w:cs="Arial"/>
        </w:rPr>
      </w:pPr>
      <w:bookmarkStart w:id="52" w:name="_Ref250616847"/>
      <w:bookmarkEnd w:id="47"/>
      <w:bookmarkEnd w:id="48"/>
      <w:bookmarkEnd w:id="49"/>
    </w:p>
    <w:p w:rsidR="00E07D21" w:rsidRDefault="00E07D21">
      <w:pPr>
        <w:rPr>
          <w:rFonts w:cs="Arial"/>
          <w:b/>
          <w:bCs/>
          <w:kern w:val="32"/>
          <w:sz w:val="32"/>
          <w:szCs w:val="32"/>
        </w:rPr>
      </w:pPr>
      <w:r>
        <w:br w:type="page"/>
      </w:r>
    </w:p>
    <w:p w:rsidR="002F1068" w:rsidRPr="00764F21" w:rsidRDefault="002F1068" w:rsidP="00E07D21">
      <w:pPr>
        <w:pStyle w:val="Heading1"/>
      </w:pPr>
      <w:bookmarkStart w:id="53" w:name="_Toc414625287"/>
      <w:r w:rsidRPr="00764F21">
        <w:lastRenderedPageBreak/>
        <w:t>Hierarchy</w:t>
      </w:r>
      <w:bookmarkEnd w:id="52"/>
      <w:bookmarkEnd w:id="53"/>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80286B">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1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1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17" w:history="1">
        <w:r w:rsidR="00A72AAA" w:rsidRPr="00A72A54">
          <w:rPr>
            <w:rStyle w:val="Hyperlink"/>
            <w:rFonts w:ascii="Tahoma" w:hAnsi="Tahoma" w:cs="Tahoma"/>
            <w:sz w:val="20"/>
            <w:szCs w:val="20"/>
          </w:rPr>
          <w:t>IEEE Bylaws</w:t>
        </w:r>
      </w:hyperlink>
    </w:p>
    <w:p w:rsidR="00A72AAA"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18" w:history="1">
        <w:r w:rsidR="00A72AAA" w:rsidRPr="00A72A54">
          <w:rPr>
            <w:rStyle w:val="Hyperlink"/>
            <w:rFonts w:ascii="Tahoma" w:hAnsi="Tahoma" w:cs="Tahoma"/>
            <w:sz w:val="20"/>
            <w:szCs w:val="20"/>
          </w:rPr>
          <w:t>IEEE Policies</w:t>
        </w:r>
      </w:hyperlink>
    </w:p>
    <w:p w:rsidR="00A72AAA"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1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0" w:history="1">
        <w:r w:rsidR="00A72AAA" w:rsidRPr="00A72A54">
          <w:rPr>
            <w:rStyle w:val="Hyperlink"/>
            <w:rFonts w:ascii="Tahoma" w:hAnsi="Tahoma" w:cs="Tahoma"/>
            <w:sz w:val="20"/>
            <w:szCs w:val="20"/>
          </w:rPr>
          <w:t>IEEE Standards Association Operations Manual</w:t>
        </w:r>
      </w:hyperlink>
    </w:p>
    <w:p w:rsidR="00A72AAA"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2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2" w:history="1">
        <w:r w:rsidR="00A72AAA" w:rsidRPr="00A72A54">
          <w:rPr>
            <w:rStyle w:val="Hyperlink"/>
            <w:rFonts w:ascii="Tahoma" w:hAnsi="Tahoma" w:cs="Tahoma"/>
            <w:sz w:val="20"/>
            <w:szCs w:val="20"/>
          </w:rPr>
          <w:t>IEEE-SA Standards Board Bylaws</w:t>
        </w:r>
      </w:hyperlink>
    </w:p>
    <w:p w:rsidR="00A72AAA" w:rsidRPr="00A72A54" w:rsidRDefault="0080286B">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3" w:history="1">
        <w:r w:rsidR="00A72AAA" w:rsidRPr="00A72A54">
          <w:rPr>
            <w:rStyle w:val="Hyperlink"/>
            <w:rFonts w:ascii="Tahoma" w:hAnsi="Tahoma" w:cs="Tahoma"/>
            <w:sz w:val="20"/>
            <w:szCs w:val="20"/>
          </w:rPr>
          <w:t>IEEE-SA Standards Board Operations Manual</w:t>
        </w:r>
      </w:hyperlink>
    </w:p>
    <w:p w:rsidR="00A72AAA"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2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2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80286B">
      <w:pPr>
        <w:autoSpaceDE w:val="0"/>
        <w:autoSpaceDN w:val="0"/>
        <w:adjustRightInd w:val="0"/>
        <w:spacing w:after="60"/>
        <w:ind w:left="360"/>
        <w:rPr>
          <w:rFonts w:ascii="Tahoma" w:hAnsi="Tahoma" w:cs="Tahoma"/>
          <w:color w:val="000000"/>
        </w:rPr>
      </w:pPr>
      <w:hyperlink r:id="rId27" w:history="1">
        <w:r w:rsidR="002F1068" w:rsidRPr="00084814">
          <w:rPr>
            <w:rStyle w:val="Hyperlink"/>
            <w:rFonts w:ascii="Tahoma" w:hAnsi="Tahoma" w:cs="Tahoma"/>
          </w:rPr>
          <w:t>IEEE CS Board of Governors Resolutions</w:t>
        </w:r>
      </w:hyperlink>
    </w:p>
    <w:p w:rsidR="002F1068" w:rsidRPr="00A72A54" w:rsidRDefault="0080286B">
      <w:pPr>
        <w:autoSpaceDE w:val="0"/>
        <w:autoSpaceDN w:val="0"/>
        <w:adjustRightInd w:val="0"/>
        <w:spacing w:after="60"/>
        <w:ind w:left="360"/>
        <w:rPr>
          <w:rFonts w:ascii="Tahoma" w:hAnsi="Tahoma" w:cs="Tahoma"/>
          <w:color w:val="0000FF"/>
        </w:rPr>
      </w:pPr>
      <w:hyperlink r:id="rId2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2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80286B">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31" w:history="1">
        <w:r w:rsidRPr="006B59E5">
          <w:rPr>
            <w:rStyle w:val="Hyperlink"/>
            <w:rFonts w:cs="Arial"/>
            <w:i/>
          </w:rPr>
          <w:t>http</w:t>
        </w:r>
      </w:hyperlink>
      <w:hyperlink r:id="rId32" w:history="1">
        <w:proofErr w:type="gramStart"/>
        <w:r w:rsidRPr="006B59E5">
          <w:rPr>
            <w:rStyle w:val="Hyperlink"/>
            <w:rFonts w:cs="Arial"/>
            <w:i/>
          </w:rPr>
          <w:t>:/</w:t>
        </w:r>
        <w:proofErr w:type="gramEnd"/>
        <w:r w:rsidRPr="006B59E5">
          <w:rPr>
            <w:rStyle w:val="Hyperlink"/>
            <w:rFonts w:cs="Arial"/>
            <w:i/>
          </w:rPr>
          <w:t>/</w:t>
        </w:r>
      </w:hyperlink>
      <w:hyperlink r:id="rId33"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EA0834" w:rsidRDefault="00EA0834">
      <w:bookmarkStart w:id="54" w:name="_Toc599672"/>
      <w:bookmarkStart w:id="55" w:name="_Toc9275815"/>
      <w:bookmarkStart w:id="56" w:name="_Toc9276262"/>
      <w:bookmarkStart w:id="57" w:name="_Toc19527267"/>
    </w:p>
    <w:p w:rsidR="006C2386" w:rsidRDefault="00E07D21">
      <w:pPr>
        <w:pStyle w:val="Heading1"/>
        <w:jc w:val="both"/>
      </w:pPr>
      <w:bookmarkStart w:id="58" w:name="_Toc250617672"/>
      <w:bookmarkStart w:id="59" w:name="_Toc251533818"/>
      <w:bookmarkStart w:id="60" w:name="_Toc251538268"/>
      <w:bookmarkStart w:id="61" w:name="_Toc251538537"/>
      <w:bookmarkStart w:id="62" w:name="_Toc251563806"/>
      <w:bookmarkStart w:id="63" w:name="_Toc251591833"/>
      <w:bookmarkStart w:id="64" w:name="_Toc135780493"/>
      <w:bookmarkStart w:id="65" w:name="_Toc250617682"/>
      <w:bookmarkStart w:id="66" w:name="_Toc251533828"/>
      <w:bookmarkStart w:id="67" w:name="_Toc251538278"/>
      <w:bookmarkStart w:id="68" w:name="_Toc251538547"/>
      <w:bookmarkStart w:id="69" w:name="_Toc251563816"/>
      <w:bookmarkStart w:id="70" w:name="_Toc251591843"/>
      <w:bookmarkStart w:id="71" w:name="_Toc250617686"/>
      <w:bookmarkStart w:id="72" w:name="_Toc251533832"/>
      <w:bookmarkStart w:id="73" w:name="_Toc251538282"/>
      <w:bookmarkStart w:id="74" w:name="_Toc251538551"/>
      <w:bookmarkStart w:id="75" w:name="_Toc251563820"/>
      <w:bookmarkStart w:id="76" w:name="_Toc251591847"/>
      <w:bookmarkStart w:id="77" w:name="_Toc19527321"/>
      <w:bookmarkStart w:id="78" w:name="_Toc19527451"/>
      <w:bookmarkStart w:id="79" w:name="_Toc250617690"/>
      <w:bookmarkStart w:id="80" w:name="_Toc251533836"/>
      <w:bookmarkStart w:id="81" w:name="_Toc251538286"/>
      <w:bookmarkStart w:id="82" w:name="_Toc251538555"/>
      <w:bookmarkStart w:id="83" w:name="_Toc251563824"/>
      <w:bookmarkStart w:id="84" w:name="_Toc251591851"/>
      <w:bookmarkStart w:id="85" w:name="_Toc250617701"/>
      <w:bookmarkStart w:id="86" w:name="_Toc251533847"/>
      <w:bookmarkStart w:id="87" w:name="_Toc251538297"/>
      <w:bookmarkStart w:id="88" w:name="_Toc251538566"/>
      <w:bookmarkStart w:id="89" w:name="_Toc251563835"/>
      <w:bookmarkStart w:id="90" w:name="_Toc251591862"/>
      <w:bookmarkStart w:id="91" w:name="_Toc41462528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The IEEE </w:t>
      </w:r>
      <w:r w:rsidR="00B05AAF">
        <w:t>802</w:t>
      </w:r>
      <w:bookmarkEnd w:id="54"/>
      <w:bookmarkEnd w:id="55"/>
      <w:bookmarkEnd w:id="56"/>
      <w:bookmarkEnd w:id="57"/>
      <w:r>
        <w:t xml:space="preserve"> Wireless Chairs Standing Committee (WCSC)</w:t>
      </w:r>
      <w:bookmarkEnd w:id="91"/>
    </w:p>
    <w:p w:rsidR="00527D1E" w:rsidRDefault="00527D1E" w:rsidP="00527D1E">
      <w:pPr>
        <w:pStyle w:val="Heading2"/>
        <w:rPr>
          <w:lang w:val="en-GB"/>
        </w:rPr>
      </w:pPr>
      <w:bookmarkStart w:id="92" w:name="_Toc414625289"/>
      <w:r>
        <w:rPr>
          <w:lang w:val="en-GB"/>
        </w:rPr>
        <w:t>Scope of the WCSC</w:t>
      </w:r>
      <w:bookmarkEnd w:id="92"/>
    </w:p>
    <w:p w:rsidR="00213934" w:rsidRPr="00527D1E" w:rsidRDefault="005A40D7" w:rsidP="00527D1E">
      <w:pPr>
        <w:rPr>
          <w:lang w:val="en-GB"/>
        </w:rPr>
      </w:pPr>
      <w:r w:rsidRPr="00527D1E">
        <w:rPr>
          <w:lang w:val="en-GB"/>
        </w:rPr>
        <w:t>The WC SC manages the operation of Wireless Interim meetings and provides a venue for the joint treasury of the wireless groups to meet and solicit input from non-joint treasury groups.</w:t>
      </w:r>
    </w:p>
    <w:p w:rsidR="00E07D21" w:rsidRDefault="00E07D21" w:rsidP="00E07D21">
      <w:pPr>
        <w:pStyle w:val="Heading2"/>
      </w:pPr>
      <w:bookmarkStart w:id="93" w:name="_Toc414625290"/>
      <w:r>
        <w:t>Purpose</w:t>
      </w:r>
      <w:bookmarkEnd w:id="93"/>
    </w:p>
    <w:p w:rsidR="00E07D21" w:rsidRDefault="00E07D21" w:rsidP="00E07D21">
      <w:r>
        <w:t xml:space="preserve">The WCSC was established during closing the July 2014 IEEE 802 plenary meeting as an activity that (according to the language in </w:t>
      </w:r>
      <w:r w:rsidR="00527D1E">
        <w:t xml:space="preserve">[rules3]) is an “Other subgroup” that </w:t>
      </w:r>
      <w:r>
        <w:t>“Assists the Sponsor”</w:t>
      </w:r>
      <w:r w:rsidR="00527D1E">
        <w:t>.  In this case, it assists the sponsor by managing the operation of Wireless Interim meetings.</w:t>
      </w:r>
    </w:p>
    <w:p w:rsidR="00527D1E" w:rsidRDefault="00527D1E" w:rsidP="00E07D21"/>
    <w:p w:rsidR="00527D1E" w:rsidRDefault="00527D1E" w:rsidP="00527D1E">
      <w:pPr>
        <w:pStyle w:val="Heading2"/>
      </w:pPr>
      <w:bookmarkStart w:id="94" w:name="_Toc414625291"/>
      <w:r>
        <w:t>Meetings</w:t>
      </w:r>
      <w:bookmarkEnd w:id="94"/>
    </w:p>
    <w:p w:rsidR="00527D1E" w:rsidRPr="00527D1E" w:rsidRDefault="00527D1E" w:rsidP="00527D1E">
      <w:r w:rsidRPr="00527D1E">
        <w:t xml:space="preserve">The WC SC shall meet at least once per Wireless Interim session, 802 </w:t>
      </w:r>
      <w:proofErr w:type="gramStart"/>
      <w:r w:rsidRPr="00527D1E">
        <w:t>Plenary</w:t>
      </w:r>
      <w:proofErr w:type="gramEnd"/>
      <w:r w:rsidRPr="00527D1E">
        <w:t xml:space="preserve"> session and 802 Interim meeting. It shall make any necessary decisions related to the operation of the current and future Wireless Interim meeting(s).</w:t>
      </w:r>
    </w:p>
    <w:p w:rsidR="00527D1E" w:rsidRDefault="00527D1E" w:rsidP="00527D1E">
      <w:r w:rsidRPr="00527D1E">
        <w:t>The WC SC shall provide a venue for the joint treasury of the wireless groups to meet.</w:t>
      </w:r>
    </w:p>
    <w:p w:rsidR="00527D1E" w:rsidRDefault="00527D1E" w:rsidP="00527D1E">
      <w:pPr>
        <w:pStyle w:val="Heading2"/>
      </w:pPr>
      <w:bookmarkStart w:id="95" w:name="_Toc414625292"/>
      <w:r>
        <w:lastRenderedPageBreak/>
        <w:t>Documentation</w:t>
      </w:r>
      <w:bookmarkEnd w:id="95"/>
    </w:p>
    <w:p w:rsidR="00527D1E" w:rsidRPr="00527D1E" w:rsidRDefault="00527D1E" w:rsidP="00527D1E">
      <w:r>
        <w:t>The WCSC shall post agendas and minutes of its meetings meeting the rules in [rules3].</w:t>
      </w:r>
    </w:p>
    <w:p w:rsidR="00527D1E" w:rsidRDefault="00527D1E">
      <w:pPr>
        <w:pStyle w:val="Heading2"/>
      </w:pPr>
      <w:bookmarkStart w:id="96" w:name="_Toc414625293"/>
      <w:r>
        <w:t>Delegation of decisions to Joint Treasury subcommittee</w:t>
      </w:r>
      <w:bookmarkEnd w:id="96"/>
    </w:p>
    <w:p w:rsidR="00527D1E" w:rsidRPr="00527D1E" w:rsidRDefault="00527D1E" w:rsidP="00527D1E">
      <w:r>
        <w:t>All decisions related to or affecting the Joint Treasury shall be delegated to the Joint Treasury subcommittee.</w:t>
      </w:r>
      <w:r w:rsidR="00172E2C">
        <w:t xml:space="preserve">  Examples of such decisions include approval to spend funds and venue selection.</w:t>
      </w:r>
    </w:p>
    <w:p w:rsidR="00E07D21" w:rsidRDefault="00527D1E">
      <w:pPr>
        <w:pStyle w:val="Heading2"/>
      </w:pPr>
      <w:bookmarkStart w:id="97" w:name="_Toc414625294"/>
      <w:r>
        <w:t xml:space="preserve">Officers and </w:t>
      </w:r>
      <w:r w:rsidR="00E07D21">
        <w:t>Membership</w:t>
      </w:r>
      <w:bookmarkEnd w:id="97"/>
    </w:p>
    <w:p w:rsidR="00527D1E" w:rsidRDefault="00527D1E" w:rsidP="00527D1E">
      <w:r>
        <w:t>The WCSC Chair is appointed by the IEEE LMSC Sponsor.</w:t>
      </w:r>
    </w:p>
    <w:p w:rsidR="00527D1E" w:rsidRDefault="00527D1E" w:rsidP="00527D1E">
      <w:r>
        <w:t>The WCSC Secretary is appointed by the WCSC Chair.</w:t>
      </w:r>
    </w:p>
    <w:p w:rsidR="00527D1E" w:rsidRDefault="00527D1E" w:rsidP="00527D1E"/>
    <w:p w:rsidR="00527D1E" w:rsidRDefault="00527D1E" w:rsidP="00527D1E">
      <w:r>
        <w:t>The members of the WCSC are The Sponsor Chair and officers, all LMSC Working Group chairs and officers.</w:t>
      </w:r>
    </w:p>
    <w:p w:rsidR="00527D1E" w:rsidRDefault="00527D1E" w:rsidP="00527D1E"/>
    <w:p w:rsidR="00527D1E" w:rsidRPr="00527D1E" w:rsidRDefault="00527D1E" w:rsidP="00527D1E">
      <w:r>
        <w:t xml:space="preserve">Each WG that is meeting at a Wireless Interim is expected to send a </w:t>
      </w:r>
      <w:r w:rsidR="00172E2C">
        <w:t xml:space="preserve">member </w:t>
      </w:r>
      <w:r>
        <w:t>rep</w:t>
      </w:r>
      <w:r w:rsidR="00172E2C">
        <w:t>resentative to the WCSC meeting at that interim.</w:t>
      </w:r>
    </w:p>
    <w:p w:rsidR="00E07D21" w:rsidRDefault="00E07D21">
      <w:pPr>
        <w:pStyle w:val="Heading2"/>
      </w:pPr>
      <w:bookmarkStart w:id="98" w:name="_Toc414625295"/>
      <w:r>
        <w:t>Subgroups</w:t>
      </w:r>
      <w:bookmarkEnd w:id="98"/>
    </w:p>
    <w:p w:rsidR="00E07D21" w:rsidRDefault="00527D1E" w:rsidP="00E07D21">
      <w:pPr>
        <w:pStyle w:val="Heading3"/>
      </w:pPr>
      <w:bookmarkStart w:id="99" w:name="_Toc414625296"/>
      <w:r>
        <w:t>Joint Treasury</w:t>
      </w:r>
      <w:r w:rsidR="00E07D21">
        <w:t xml:space="preserve"> subcommittee</w:t>
      </w:r>
      <w:bookmarkEnd w:id="99"/>
    </w:p>
    <w:p w:rsidR="00527D1E" w:rsidRDefault="00527D1E" w:rsidP="00527D1E"/>
    <w:p w:rsidR="00527D1E" w:rsidRDefault="00527D1E" w:rsidP="00527D1E">
      <w:r>
        <w:t xml:space="preserve">The Joint Treasury (JT) subcommittee is responsible for </w:t>
      </w:r>
      <w:r w:rsidR="002C1F5E">
        <w:t>oper</w:t>
      </w:r>
      <w:r w:rsidR="00172E2C">
        <w:t xml:space="preserve">ation of the </w:t>
      </w:r>
      <w:r w:rsidR="002C1F5E">
        <w:t>Joint Treasury.</w:t>
      </w:r>
    </w:p>
    <w:p w:rsidR="002C1F5E" w:rsidRDefault="002C1F5E" w:rsidP="00527D1E"/>
    <w:p w:rsidR="001F0B6E" w:rsidRDefault="001F0B6E" w:rsidP="00527D1E">
      <w:r>
        <w:t>The WCSC Chair is also the JT subcommittee Chair.</w:t>
      </w:r>
    </w:p>
    <w:p w:rsidR="001F0B6E" w:rsidRDefault="001F0B6E" w:rsidP="00527D1E">
      <w:r>
        <w:t>The WCSC Secretary i</w:t>
      </w:r>
      <w:r w:rsidR="00F12E81">
        <w:t>s also the JT subcommittee Secretary</w:t>
      </w:r>
      <w:bookmarkStart w:id="100" w:name="_GoBack"/>
      <w:bookmarkEnd w:id="100"/>
      <w:r>
        <w:t>.</w:t>
      </w:r>
    </w:p>
    <w:p w:rsidR="001F0B6E" w:rsidRDefault="001F0B6E" w:rsidP="00527D1E"/>
    <w:p w:rsidR="002C1F5E" w:rsidRDefault="002C1F5E" w:rsidP="00527D1E">
      <w:r>
        <w:t>All decisions that affect the joint treasury are delegated by the WCSC to the JT subcommittee.</w:t>
      </w:r>
    </w:p>
    <w:p w:rsidR="002C1F5E" w:rsidRDefault="002C1F5E" w:rsidP="00527D1E"/>
    <w:p w:rsidR="002C1F5E" w:rsidRDefault="002C1F5E" w:rsidP="00527D1E">
      <w:r>
        <w:t xml:space="preserve">Voting members of the JT subcommittee are the </w:t>
      </w:r>
      <w:proofErr w:type="spellStart"/>
      <w:r>
        <w:t>excutive</w:t>
      </w:r>
      <w:proofErr w:type="spellEnd"/>
      <w:r>
        <w:t xml:space="preserve"> committee members </w:t>
      </w:r>
      <w:r w:rsidR="00172E2C">
        <w:t xml:space="preserve">(chair, vice-chairs, secretary, </w:t>
      </w:r>
      <w:proofErr w:type="gramStart"/>
      <w:r w:rsidR="00172E2C">
        <w:t>treasurer</w:t>
      </w:r>
      <w:proofErr w:type="gramEnd"/>
      <w:r w:rsidR="00172E2C">
        <w:t xml:space="preserve">) </w:t>
      </w:r>
      <w:r>
        <w:t xml:space="preserve">of the groups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r>
        <w:t>The minutes of any JT subcommittee agenda items shall be included in the WCSC minutes and approved with the WCSC minutes.  These JT subcommittee agenda items shall be clearly distinguished as such.</w:t>
      </w:r>
    </w:p>
    <w:p w:rsidR="002C1F5E" w:rsidRDefault="00BD69F8" w:rsidP="002C1F5E">
      <w:pPr>
        <w:pStyle w:val="Heading1"/>
      </w:pPr>
      <w:bookmarkStart w:id="101" w:name="_Toc414625297"/>
      <w:r>
        <w:t>Professional Conference Organizer (</w:t>
      </w:r>
      <w:r w:rsidR="002C1F5E">
        <w:t>PCO</w:t>
      </w:r>
      <w:r>
        <w:t>)</w:t>
      </w:r>
      <w:r w:rsidR="002C1F5E">
        <w:t xml:space="preserve"> Selection Process</w:t>
      </w:r>
      <w:bookmarkEnd w:id="101"/>
    </w:p>
    <w:p w:rsidR="00BD69F8" w:rsidRDefault="00BD69F8" w:rsidP="00BD69F8"/>
    <w:p w:rsidR="00BD69F8" w:rsidRDefault="00BD69F8" w:rsidP="005A40D7">
      <w:pPr>
        <w:pStyle w:val="ListParagraph"/>
        <w:numPr>
          <w:ilvl w:val="0"/>
          <w:numId w:val="4"/>
        </w:numPr>
      </w:pPr>
      <w:r>
        <w:t>PCOs shall be selected that are IEEE contracts department approved</w:t>
      </w:r>
    </w:p>
    <w:p w:rsidR="00BD69F8" w:rsidRDefault="00BD69F8" w:rsidP="005A40D7">
      <w:pPr>
        <w:pStyle w:val="ListParagraph"/>
        <w:numPr>
          <w:ilvl w:val="0"/>
          <w:numId w:val="4"/>
        </w:numPr>
      </w:pPr>
      <w:r>
        <w:t>PCOs should be selected on a three year cadence</w:t>
      </w:r>
    </w:p>
    <w:p w:rsidR="00BD69F8" w:rsidRDefault="00BD69F8" w:rsidP="005A40D7">
      <w:pPr>
        <w:pStyle w:val="ListParagraph"/>
        <w:numPr>
          <w:ilvl w:val="1"/>
          <w:numId w:val="4"/>
        </w:numPr>
      </w:pPr>
      <w:r>
        <w:t>This cadence should be aligned to the IEEE 802 meeting planner cadence, perhaps offset so that the outcome of the 802 meeting planner selection is known.</w:t>
      </w:r>
    </w:p>
    <w:p w:rsidR="00BD69F8" w:rsidRDefault="00BD69F8" w:rsidP="005A40D7">
      <w:pPr>
        <w:pStyle w:val="ListParagraph"/>
        <w:numPr>
          <w:ilvl w:val="0"/>
          <w:numId w:val="4"/>
        </w:numPr>
      </w:pPr>
      <w:r>
        <w:t>A single PCO for NA/US meetings should be selected</w:t>
      </w:r>
    </w:p>
    <w:p w:rsidR="00BD69F8" w:rsidRDefault="00BD69F8" w:rsidP="005A40D7">
      <w:pPr>
        <w:pStyle w:val="ListParagraph"/>
        <w:numPr>
          <w:ilvl w:val="1"/>
          <w:numId w:val="4"/>
        </w:numPr>
      </w:pPr>
      <w:r>
        <w:t>Should cover all NA/US meetings within a three year period</w:t>
      </w:r>
    </w:p>
    <w:p w:rsidR="00BD69F8" w:rsidRDefault="00BD69F8" w:rsidP="005A40D7">
      <w:pPr>
        <w:pStyle w:val="ListParagraph"/>
        <w:numPr>
          <w:ilvl w:val="1"/>
          <w:numId w:val="4"/>
        </w:numPr>
      </w:pPr>
      <w:r>
        <w:t>May be the same as the PCO for the IEEE 802 plenary meetings, but will need T&amp;Cs contracted specifically for IEEE 802 wireless interim meetings.</w:t>
      </w:r>
    </w:p>
    <w:p w:rsidR="00BD69F8" w:rsidRDefault="00BD69F8" w:rsidP="005A40D7">
      <w:pPr>
        <w:pStyle w:val="ListParagraph"/>
        <w:numPr>
          <w:ilvl w:val="0"/>
          <w:numId w:val="4"/>
        </w:numPr>
      </w:pPr>
      <w:r>
        <w:t>A single PCO for non-NA/non-US meetings should be selected</w:t>
      </w:r>
    </w:p>
    <w:p w:rsidR="00BD69F8" w:rsidRDefault="00BD69F8" w:rsidP="005A40D7">
      <w:pPr>
        <w:pStyle w:val="ListParagraph"/>
        <w:numPr>
          <w:ilvl w:val="1"/>
          <w:numId w:val="4"/>
        </w:numPr>
      </w:pPr>
      <w:r>
        <w:t>Should cover all non-NA/non-US meetings within a three year period</w:t>
      </w:r>
    </w:p>
    <w:p w:rsidR="00BD69F8" w:rsidRDefault="00BD69F8" w:rsidP="005A40D7">
      <w:pPr>
        <w:pStyle w:val="ListParagraph"/>
        <w:numPr>
          <w:ilvl w:val="1"/>
          <w:numId w:val="4"/>
        </w:numPr>
      </w:pPr>
      <w:r>
        <w:t>May be selected based on past performance of PCOs used</w:t>
      </w:r>
    </w:p>
    <w:p w:rsidR="00BD69F8" w:rsidRDefault="00BD69F8" w:rsidP="005A40D7">
      <w:pPr>
        <w:pStyle w:val="ListParagraph"/>
        <w:numPr>
          <w:ilvl w:val="1"/>
          <w:numId w:val="4"/>
        </w:numPr>
      </w:pPr>
      <w:r>
        <w:t>May be selected by asking prospective PCOs to provide a bid using a format (spreadsheet) that will capture comparative capabilities and costs.</w:t>
      </w:r>
    </w:p>
    <w:p w:rsidR="00BD69F8" w:rsidRDefault="00BD69F8" w:rsidP="005A40D7">
      <w:pPr>
        <w:pStyle w:val="ListParagraph"/>
        <w:numPr>
          <w:ilvl w:val="1"/>
          <w:numId w:val="4"/>
        </w:numPr>
      </w:pPr>
      <w:r>
        <w:lastRenderedPageBreak/>
        <w:t>The decision as to whether to ask a single PCO to bid, or whether to ask multiple PCOs to bid will be made by motion in the WC SC Joint Treasury.</w:t>
      </w:r>
    </w:p>
    <w:p w:rsidR="00BD69F8" w:rsidRDefault="00BD69F8" w:rsidP="005A40D7">
      <w:pPr>
        <w:pStyle w:val="ListParagraph"/>
        <w:numPr>
          <w:ilvl w:val="0"/>
          <w:numId w:val="4"/>
        </w:numPr>
      </w:pPr>
      <w:r>
        <w:t>Any 802-sponsored “interims of the whole” are special cases</w:t>
      </w:r>
    </w:p>
    <w:p w:rsidR="00BD69F8" w:rsidRDefault="00BD69F8" w:rsidP="005A40D7">
      <w:pPr>
        <w:pStyle w:val="ListParagraph"/>
        <w:numPr>
          <w:ilvl w:val="1"/>
          <w:numId w:val="4"/>
        </w:numPr>
      </w:pPr>
      <w:r>
        <w:t>PCO may be selected on a per-meeting basis</w:t>
      </w:r>
    </w:p>
    <w:p w:rsidR="00BD69F8" w:rsidRDefault="00BD69F8" w:rsidP="005A40D7">
      <w:pPr>
        <w:pStyle w:val="ListParagraph"/>
        <w:numPr>
          <w:ilvl w:val="0"/>
          <w:numId w:val="4"/>
        </w:numPr>
      </w:pPr>
      <w:r>
        <w:t>Existing contracts are grandfathered.</w:t>
      </w:r>
    </w:p>
    <w:p w:rsidR="008613C9" w:rsidRDefault="008613C9" w:rsidP="008613C9"/>
    <w:p w:rsidR="008613C9" w:rsidRPr="008613C9" w:rsidRDefault="008613C9" w:rsidP="008613C9">
      <w:pPr>
        <w:pStyle w:val="Heading2"/>
      </w:pPr>
      <w:r>
        <w:t>Selection Metrics / Criteria</w:t>
      </w:r>
    </w:p>
    <w:p w:rsidR="008613C9" w:rsidRPr="00232725" w:rsidRDefault="008613C9" w:rsidP="008613C9">
      <w:pPr>
        <w:ind w:left="990"/>
        <w:rPr>
          <w:i/>
          <w:color w:val="0F243E" w:themeColor="text2" w:themeShade="80"/>
          <w:sz w:val="18"/>
          <w:szCs w:val="18"/>
        </w:rPr>
      </w:pPr>
    </w:p>
    <w:tbl>
      <w:tblPr>
        <w:tblStyle w:val="TableGrid"/>
        <w:tblW w:w="6588" w:type="dxa"/>
        <w:tblInd w:w="1117" w:type="dxa"/>
        <w:tblLook w:val="04A0" w:firstRow="1" w:lastRow="0" w:firstColumn="1" w:lastColumn="0" w:noHBand="0" w:noVBand="1"/>
      </w:tblPr>
      <w:tblGrid>
        <w:gridCol w:w="1890"/>
        <w:gridCol w:w="1637"/>
        <w:gridCol w:w="1531"/>
        <w:gridCol w:w="1530"/>
      </w:tblGrid>
      <w:tr w:rsidR="008613C9" w:rsidRPr="00232725" w:rsidTr="008613C9">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pPr>
              <w:rPr>
                <w:b/>
              </w:rPr>
            </w:pPr>
            <w:r w:rsidRPr="008613C9">
              <w:rPr>
                <w:b/>
              </w:rPr>
              <w:t>Metric</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300 Attendees</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400 Attendees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t>U</w:t>
            </w:r>
            <w:r w:rsidRPr="008613C9">
              <w:t>nit</w:t>
            </w:r>
            <w:r>
              <w:t>(s)</w:t>
            </w: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Attendee fee</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Per attendee</w:t>
            </w: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Meeting services</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One off</w:t>
            </w: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pPr>
              <w:rPr>
                <w:b/>
              </w:rPr>
            </w:pPr>
            <w:r w:rsidRPr="008613C9">
              <w:rPr>
                <w:b/>
              </w:rPr>
              <w:t>Criteria</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PCO response (yes/no)</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IEEE 802 WC requirement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Willing to sign contract with Hotel</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Optional – but highly desirable</w:t>
            </w:r>
          </w:p>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Collects meeting fees</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Mandatory</w:t>
            </w:r>
          </w:p>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bl>
    <w:p w:rsidR="008613C9" w:rsidRPr="00232725" w:rsidRDefault="008613C9" w:rsidP="008613C9">
      <w:pPr>
        <w:ind w:left="990"/>
        <w:rPr>
          <w:i/>
          <w:color w:val="0F243E" w:themeColor="text2" w:themeShade="80"/>
          <w:sz w:val="18"/>
          <w:szCs w:val="18"/>
          <w:lang w:val="en-GB"/>
        </w:rPr>
      </w:pPr>
    </w:p>
    <w:p w:rsidR="008613C9" w:rsidRDefault="001F0B6E" w:rsidP="001F0B6E">
      <w:pPr>
        <w:pStyle w:val="Heading1"/>
        <w:numPr>
          <w:ilvl w:val="0"/>
          <w:numId w:val="0"/>
        </w:numPr>
        <w:ind w:left="432" w:hanging="432"/>
      </w:pPr>
      <w:r>
        <w:t xml:space="preserve">Annex </w:t>
      </w:r>
      <w:proofErr w:type="gramStart"/>
      <w:r>
        <w:t>A</w:t>
      </w:r>
      <w:proofErr w:type="gramEnd"/>
      <w:r>
        <w:t xml:space="preserve"> Rules for operating with joint treasury</w:t>
      </w:r>
    </w:p>
    <w:p w:rsidR="001F0B6E" w:rsidRDefault="001F0B6E" w:rsidP="001F0B6E">
      <w:pPr>
        <w:rPr>
          <w:b/>
        </w:rPr>
      </w:pPr>
      <w:r>
        <w:rPr>
          <w:b/>
        </w:rPr>
        <w:t>(This is a copy of the rules from the 21 March 2014 LMSC WG P&amp;P document.  It is repeated here for convenience</w:t>
      </w:r>
      <w:proofErr w:type="gramStart"/>
      <w:r>
        <w:rPr>
          <w:b/>
        </w:rPr>
        <w:t>,  and</w:t>
      </w:r>
      <w:proofErr w:type="gramEnd"/>
      <w:r>
        <w:rPr>
          <w:b/>
        </w:rPr>
        <w:t xml:space="preserve"> may eventually be its final resting place if removed from the WG P&amp;P.)</w:t>
      </w:r>
    </w:p>
    <w:p w:rsidR="001F0B6E" w:rsidRDefault="001F0B6E" w:rsidP="001F0B6E">
      <w:pPr>
        <w:rPr>
          <w:b/>
        </w:rPr>
      </w:pPr>
    </w:p>
    <w:p w:rsidR="001F0B6E" w:rsidRPr="001F0B6E" w:rsidRDefault="001F0B6E" w:rsidP="001F0B6E">
      <w:pPr>
        <w:rPr>
          <w:b/>
        </w:rPr>
      </w:pPr>
      <w:r w:rsidRPr="001F0B6E">
        <w:rPr>
          <w:b/>
        </w:rPr>
        <w:t>14.2 WG financial operation with joint treasury</w:t>
      </w:r>
    </w:p>
    <w:p w:rsidR="001F0B6E" w:rsidRDefault="001F0B6E" w:rsidP="001F0B6E"/>
    <w:p w:rsidR="001F0B6E" w:rsidRDefault="001F0B6E" w:rsidP="001F0B6E">
      <w:r>
        <w:t xml:space="preserve">Two or more WGs with the approval of the Sponsor, may operate with a single joint treasury. </w:t>
      </w:r>
    </w:p>
    <w:p w:rsidR="001F0B6E" w:rsidRDefault="001F0B6E" w:rsidP="001F0B6E">
      <w:r>
        <w:t xml:space="preserve">WGs that operate with a joint treasury shall have no other treasury. The merger of separate WG </w:t>
      </w:r>
    </w:p>
    <w:p w:rsidR="001F0B6E" w:rsidRDefault="001F0B6E" w:rsidP="001F0B6E">
      <w:proofErr w:type="gramStart"/>
      <w:r>
        <w:t>treasuries</w:t>
      </w:r>
      <w:proofErr w:type="gramEnd"/>
      <w:r>
        <w:t xml:space="preserve"> into a joint treasury or the splitting of a joint treasury into separate WG treasuries </w:t>
      </w:r>
    </w:p>
    <w:p w:rsidR="001F0B6E" w:rsidRDefault="001F0B6E" w:rsidP="001F0B6E">
      <w:proofErr w:type="gramStart"/>
      <w:r>
        <w:t>requires</w:t>
      </w:r>
      <w:proofErr w:type="gramEnd"/>
      <w:r>
        <w:t xml:space="preserve"> approval of the Sponsor. Each such action shall be supported by a motion from each of </w:t>
      </w:r>
    </w:p>
    <w:p w:rsidR="001F0B6E" w:rsidRDefault="001F0B6E" w:rsidP="001F0B6E">
      <w:proofErr w:type="gramStart"/>
      <w:r>
        <w:t>the</w:t>
      </w:r>
      <w:proofErr w:type="gramEnd"/>
      <w:r>
        <w:t xml:space="preserve"> involved WGs that requests the action and that has been approved by the WG.</w:t>
      </w:r>
    </w:p>
    <w:p w:rsidR="001F0B6E" w:rsidRDefault="001F0B6E" w:rsidP="001F0B6E"/>
    <w:p w:rsidR="001F0B6E" w:rsidRDefault="001F0B6E" w:rsidP="001F0B6E">
      <w:r>
        <w:t xml:space="preserve">The operation of a joint treasury is subject to the same rules as a WG operating with treasury </w:t>
      </w:r>
    </w:p>
    <w:p w:rsidR="001F0B6E" w:rsidRDefault="001F0B6E" w:rsidP="001F0B6E">
      <w:proofErr w:type="gramStart"/>
      <w:r>
        <w:t>with</w:t>
      </w:r>
      <w:proofErr w:type="gramEnd"/>
      <w:r>
        <w:t xml:space="preserve"> the following exception: The Executive Committee </w:t>
      </w:r>
      <w:proofErr w:type="spellStart"/>
      <w:r>
        <w:t>over seeing</w:t>
      </w:r>
      <w:proofErr w:type="spellEnd"/>
      <w:r>
        <w:t xml:space="preserve"> the joint treasury shall be a </w:t>
      </w:r>
    </w:p>
    <w:p w:rsidR="001F0B6E" w:rsidRDefault="001F0B6E" w:rsidP="001F0B6E">
      <w:r>
        <w:t xml:space="preserve">Joint Executive Committee that is the union of the Executive Committees of the WGs operating </w:t>
      </w:r>
    </w:p>
    <w:p w:rsidR="001F0B6E" w:rsidRDefault="001F0B6E" w:rsidP="001F0B6E">
      <w:proofErr w:type="gramStart"/>
      <w:r>
        <w:t>with</w:t>
      </w:r>
      <w:proofErr w:type="gramEnd"/>
      <w:r>
        <w:t xml:space="preserve"> the joint treasury. The Chair of the Joint EC shall be selected by the Joint Executive </w:t>
      </w:r>
    </w:p>
    <w:p w:rsidR="001F0B6E" w:rsidRPr="001F0B6E" w:rsidRDefault="001F0B6E" w:rsidP="001F0B6E">
      <w:r>
        <w:t>Committee and shall be the Chair of one of the participating WGs.</w:t>
      </w:r>
    </w:p>
    <w:sectPr w:rsidR="001F0B6E" w:rsidRPr="001F0B6E" w:rsidSect="0025474A">
      <w:headerReference w:type="default" r:id="rId34"/>
      <w:footerReference w:type="default" r:id="rId35"/>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6B" w:rsidRDefault="0080286B">
      <w:r>
        <w:separator/>
      </w:r>
    </w:p>
  </w:endnote>
  <w:endnote w:type="continuationSeparator" w:id="0">
    <w:p w:rsidR="0080286B" w:rsidRDefault="0080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D21" w:rsidRDefault="00E07D21">
    <w:pPr>
      <w:pStyle w:val="Footer"/>
      <w:pBdr>
        <w:top w:val="none" w:sz="0" w:space="0" w:color="auto"/>
      </w:pBdr>
      <w:tabs>
        <w:tab w:val="clear" w:pos="6480"/>
        <w:tab w:val="center" w:pos="4680"/>
        <w:tab w:val="right" w:pos="9360"/>
      </w:tabs>
      <w:rPr>
        <w:sz w:val="20"/>
      </w:rPr>
    </w:pPr>
  </w:p>
  <w:p w:rsidR="00E07D21" w:rsidRDefault="00E07D21">
    <w:pPr>
      <w:pStyle w:val="Footer"/>
      <w:tabs>
        <w:tab w:val="clear" w:pos="6480"/>
        <w:tab w:val="center" w:pos="4680"/>
        <w:tab w:val="right" w:pos="9360"/>
      </w:tabs>
      <w:rPr>
        <w:sz w:val="20"/>
      </w:rPr>
    </w:pPr>
  </w:p>
  <w:p w:rsidR="00E07D21" w:rsidRPr="007D1600" w:rsidRDefault="00E07D21">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F12E81">
      <w:rPr>
        <w:rFonts w:ascii="Times New Roman" w:hAnsi="Times New Roman"/>
        <w:noProof/>
        <w:sz w:val="20"/>
      </w:rPr>
      <w:t>6</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F12E81">
      <w:rPr>
        <w:rStyle w:val="PageNumber"/>
        <w:rFonts w:ascii="Times New Roman" w:hAnsi="Times New Roman"/>
        <w:noProof/>
        <w:sz w:val="20"/>
      </w:rPr>
      <w:t>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6B" w:rsidRDefault="0080286B">
      <w:r>
        <w:separator/>
      </w:r>
    </w:p>
  </w:footnote>
  <w:footnote w:type="continuationSeparator" w:id="0">
    <w:p w:rsidR="0080286B" w:rsidRDefault="00802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D21" w:rsidRPr="007D1600" w:rsidRDefault="00F12E81"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November</w:t>
    </w:r>
    <w:r w:rsidR="00E07D21">
      <w:rPr>
        <w:rFonts w:ascii="Times New Roman" w:hAnsi="Times New Roman"/>
        <w:b w:val="0"/>
        <w:sz w:val="20"/>
        <w:szCs w:val="24"/>
      </w:rPr>
      <w:t xml:space="preserve"> 2015</w:t>
    </w:r>
    <w:r w:rsidR="00E07D21" w:rsidRPr="007D1600">
      <w:rPr>
        <w:rFonts w:ascii="Times New Roman" w:hAnsi="Times New Roman"/>
        <w:b w:val="0"/>
        <w:sz w:val="20"/>
        <w:szCs w:val="24"/>
      </w:rPr>
      <w:tab/>
    </w:r>
    <w:r w:rsidR="00E07D21" w:rsidRPr="007D1600">
      <w:rPr>
        <w:rFonts w:ascii="Times New Roman" w:hAnsi="Times New Roman"/>
        <w:b w:val="0"/>
        <w:sz w:val="20"/>
        <w:szCs w:val="24"/>
      </w:rPr>
      <w:tab/>
    </w:r>
    <w:fldSimple w:instr=" TITLE   \* MERGEFORMAT ">
      <w:r w:rsidRPr="00F12E81">
        <w:rPr>
          <w:rFonts w:ascii="Times New Roman" w:hAnsi="Times New Roman"/>
          <w:b w:val="0"/>
          <w:sz w:val="20"/>
          <w:szCs w:val="24"/>
        </w:rPr>
        <w:t>doc.: IEEE 802-ec-15/28r1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2E2C"/>
    <w:rsid w:val="0017405E"/>
    <w:rsid w:val="00176405"/>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0B6E"/>
    <w:rsid w:val="001F3D45"/>
    <w:rsid w:val="001F6509"/>
    <w:rsid w:val="001F7E23"/>
    <w:rsid w:val="00202916"/>
    <w:rsid w:val="0020427F"/>
    <w:rsid w:val="002047B2"/>
    <w:rsid w:val="00213934"/>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1F5E"/>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748C"/>
    <w:rsid w:val="003C2DAB"/>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5007"/>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13C9"/>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9F8"/>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C6238"/>
    <w:rsid w:val="00DC7694"/>
    <w:rsid w:val="00DD2620"/>
    <w:rsid w:val="00DD3E48"/>
    <w:rsid w:val="00DD779B"/>
    <w:rsid w:val="00DD7F63"/>
    <w:rsid w:val="00DE3475"/>
    <w:rsid w:val="00DE3A87"/>
    <w:rsid w:val="00DE419C"/>
    <w:rsid w:val="00DE7954"/>
    <w:rsid w:val="00DF2463"/>
    <w:rsid w:val="00DF765F"/>
    <w:rsid w:val="00E07D21"/>
    <w:rsid w:val="00E12F2E"/>
    <w:rsid w:val="00E16B54"/>
    <w:rsid w:val="00E20CE5"/>
    <w:rsid w:val="00E22CF4"/>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2E81"/>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D92DA0-A06F-4047-9EA4-BC7AAA84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http://www.amazon.com/exec/obidos/Author=Robert,%20Sarah%20Corbin/103-9605712-7510225" TargetMode="External"/><Relationship Id="rId18" Type="http://schemas.openxmlformats.org/officeDocument/2006/relationships/hyperlink" Target="http://www.ieee.org/web/aboutus/whatis/policies/index.html" TargetMode="External"/><Relationship Id="rId26" Type="http://schemas.openxmlformats.org/officeDocument/2006/relationships/hyperlink" Target="http://www2.computer.org/portal/web/volunteercenter/ppm10" TargetMode="External"/><Relationship Id="rId3" Type="http://schemas.openxmlformats.org/officeDocument/2006/relationships/styles" Target="styles.xml"/><Relationship Id="rId21" Type="http://schemas.openxmlformats.org/officeDocument/2006/relationships/hyperlink" Target="http://http:/standards.ieee.org/sa/bog/resolutions.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azon.com/exec/obidos/Author=Robert,%20Henry%20M./103-9605712-7510225" TargetMode="External"/><Relationship Id="rId17" Type="http://schemas.openxmlformats.org/officeDocument/2006/relationships/hyperlink" Target="http://www.ieee.org/web/aboutus/whatis/bylaws/index.html" TargetMode="External"/><Relationship Id="rId25" Type="http://schemas.openxmlformats.org/officeDocument/2006/relationships/hyperlink" Target="http://www2.computer.org/portal/web/volunteercenter/constitution" TargetMode="External"/><Relationship Id="rId33" Type="http://schemas.openxmlformats.org/officeDocument/2006/relationships/hyperlink" Target="http://www.ieee802.org/devdocs.shtml" TargetMode="External"/><Relationship Id="rId2" Type="http://schemas.openxmlformats.org/officeDocument/2006/relationships/numbering" Target="numbering.xml"/><Relationship Id="rId16" Type="http://schemas.openxmlformats.org/officeDocument/2006/relationships/hyperlink" Target="http://www.ieee.org/portal/cms_docs_iportals/iportals/aboutus/whatis/01-05-1993_Certificate_of_Incorporation.pdf" TargetMode="External"/><Relationship Id="rId20" Type="http://schemas.openxmlformats.org/officeDocument/2006/relationships/hyperlink" Target="http://standards.ieee.org/sa/sa-om-main.html" TargetMode="External"/><Relationship Id="rId29" Type="http://schemas.openxmlformats.org/officeDocument/2006/relationships/hyperlink" Target="http://standards.ieee.org/board/aud/LMS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PNP/approved/IEEE_802_OM_v14.pdf" TargetMode="External"/><Relationship Id="rId24" Type="http://schemas.openxmlformats.org/officeDocument/2006/relationships/hyperlink" Target="http://standards.ieee.org/board/stdsbd/sasb-resolutions.html" TargetMode="External"/><Relationship Id="rId32" Type="http://schemas.openxmlformats.org/officeDocument/2006/relationships/hyperlink" Target="http://www.ieee802.org/devdocs.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tandards.ieee.org/guides/opman/index.html" TargetMode="External"/><Relationship Id="rId28" Type="http://schemas.openxmlformats.org/officeDocument/2006/relationships/hyperlink" Target="http://www.computer.org/portal/web/sab/policies" TargetMode="External"/><Relationship Id="rId36" Type="http://schemas.openxmlformats.org/officeDocument/2006/relationships/fontTable" Target="fontTable.xml"/><Relationship Id="rId10" Type="http://schemas.openxmlformats.org/officeDocument/2006/relationships/hyperlink" Target="http://standards.ieee.org/guides/opman/" TargetMode="External"/><Relationship Id="rId19" Type="http://schemas.openxmlformats.org/officeDocument/2006/relationships/hyperlink" Target="http://www.ieee.org/web/aboutus/corporate/board/action.html" TargetMode="External"/><Relationship Id="rId31" Type="http://schemas.openxmlformats.org/officeDocument/2006/relationships/hyperlink" Target="http://www.ieee802.org/devdocs.shtml" TargetMode="External"/><Relationship Id="rId4" Type="http://schemas.openxmlformats.org/officeDocument/2006/relationships/settings" Target="settings.xml"/><Relationship Id="rId9" Type="http://schemas.openxmlformats.org/officeDocument/2006/relationships/hyperlink" Target="http://standards.ieee.org/guides/bylaws/" TargetMode="External"/><Relationship Id="rId14" Type="http://schemas.openxmlformats.org/officeDocument/2006/relationships/hyperlink" Target="http://www.amazon.com/exec/obidos/Author=Evans,%20William%20J./103-9605712-7510225" TargetMode="External"/><Relationship Id="rId22" Type="http://schemas.openxmlformats.org/officeDocument/2006/relationships/hyperlink" Target="http://standards.ieee.org/guides/bylaws/index.html" TargetMode="External"/><Relationship Id="rId27" Type="http://schemas.openxmlformats.org/officeDocument/2006/relationships/hyperlink" Target="http://standards.ieee.org/about/bog/resolutions.html" TargetMode="External"/><Relationship Id="rId30" Type="http://schemas.openxmlformats.org/officeDocument/2006/relationships/hyperlink" Target="http://www.ieee802.org/PNP/approved/IEEE_802_OM_v14.pdf"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CDDCA-BBE6-43B0-B927-408122A9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3</TotalTime>
  <Pages>7</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802-ec-15/28r0</vt:lpstr>
    </vt:vector>
  </TitlesOfParts>
  <Company>Aruba Networks</Company>
  <LinksUpToDate>false</LinksUpToDate>
  <CharactersWithSpaces>11645</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802-ec-15/28r1</dc:title>
  <dc:subject>802.11 WG Operations Manual</dc:subject>
  <dc:creator>Adrian Stephens;DStanley@arubanetworks.com</dc:creator>
  <cp:keywords>November 2015</cp:keywords>
  <dc:description>Adrian Stephens, Intel Corp.</dc:description>
  <cp:lastModifiedBy>Stephens, Adrian P</cp:lastModifiedBy>
  <cp:revision>3</cp:revision>
  <cp:lastPrinted>2014-07-12T22:07:00Z</cp:lastPrinted>
  <dcterms:created xsi:type="dcterms:W3CDTF">2015-11-08T22:54:00Z</dcterms:created>
  <dcterms:modified xsi:type="dcterms:W3CDTF">2015-11-08T22:57:00Z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