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121"/>
        <w:tblW w:w="8931"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581"/>
      </w:tblGrid>
      <w:tr w:rsidR="005D6C10" w:rsidRPr="00AD4D1B" w14:paraId="7BC22EB3" w14:textId="77777777" w:rsidTr="005D6C10">
        <w:tc>
          <w:tcPr>
            <w:tcW w:w="1350" w:type="dxa"/>
          </w:tcPr>
          <w:p w14:paraId="032DA016" w14:textId="77777777" w:rsidR="005D6C10" w:rsidRPr="00AD4D1B" w:rsidRDefault="005D6C10" w:rsidP="005D6C10">
            <w:pPr>
              <w:pStyle w:val="covertext"/>
              <w:spacing w:line="276" w:lineRule="auto"/>
            </w:pPr>
            <w:r w:rsidRPr="00AD4D1B">
              <w:t>Project</w:t>
            </w:r>
          </w:p>
        </w:tc>
        <w:tc>
          <w:tcPr>
            <w:tcW w:w="7581" w:type="dxa"/>
          </w:tcPr>
          <w:p w14:paraId="0863302E" w14:textId="77777777" w:rsidR="005D6C10" w:rsidRPr="001747DF" w:rsidRDefault="005D6C10" w:rsidP="005D6C10">
            <w:pPr>
              <w:pStyle w:val="covertext"/>
              <w:rPr>
                <w:b/>
              </w:rPr>
            </w:pPr>
            <w:r w:rsidRPr="006C6BB8">
              <w:rPr>
                <w:b/>
              </w:rPr>
              <w:t>Human Factor for Immersive Content Working Group</w:t>
            </w:r>
          </w:p>
          <w:p w14:paraId="603C136D" w14:textId="77777777" w:rsidR="005D6C10" w:rsidRPr="00AD4D1B" w:rsidRDefault="005D6C10" w:rsidP="005D6C10">
            <w:pPr>
              <w:pStyle w:val="covertext"/>
              <w:spacing w:line="276" w:lineRule="auto"/>
              <w:rPr>
                <w:b/>
              </w:rPr>
            </w:pPr>
            <w:r>
              <w:t>&lt;</w:t>
            </w:r>
            <w:hyperlink r:id="rId8" w:history="1">
              <w:r w:rsidRPr="000457C0">
                <w:rPr>
                  <w:rStyle w:val="a7"/>
                </w:rPr>
                <w:t>http://sites.ieee.org/sagroups-3079/</w:t>
              </w:r>
            </w:hyperlink>
            <w:r>
              <w:rPr>
                <w:b/>
              </w:rPr>
              <w:t xml:space="preserve"> &gt;</w:t>
            </w:r>
          </w:p>
        </w:tc>
      </w:tr>
      <w:tr w:rsidR="005D6C10" w:rsidRPr="00B971B5" w14:paraId="53A67B7D" w14:textId="77777777" w:rsidTr="005D6C10">
        <w:tc>
          <w:tcPr>
            <w:tcW w:w="1350" w:type="dxa"/>
          </w:tcPr>
          <w:p w14:paraId="63869272" w14:textId="77777777" w:rsidR="005D6C10" w:rsidRPr="00AD4D1B" w:rsidRDefault="005D6C10" w:rsidP="005D6C10">
            <w:pPr>
              <w:pStyle w:val="covertext"/>
              <w:spacing w:line="276" w:lineRule="auto"/>
            </w:pPr>
            <w:r w:rsidRPr="00AD4D1B">
              <w:t>Title</w:t>
            </w:r>
          </w:p>
        </w:tc>
        <w:tc>
          <w:tcPr>
            <w:tcW w:w="7581" w:type="dxa"/>
          </w:tcPr>
          <w:p w14:paraId="3CACFE59" w14:textId="2BC26244" w:rsidR="005D6C10" w:rsidRPr="00B971B5" w:rsidRDefault="00B971B5" w:rsidP="005D6C10">
            <w:pPr>
              <w:pStyle w:val="covertext"/>
              <w:spacing w:line="276" w:lineRule="auto"/>
              <w:rPr>
                <w:rFonts w:eastAsia="바탕체"/>
                <w:b/>
                <w:bCs/>
                <w:lang w:val="fr-FR"/>
              </w:rPr>
            </w:pPr>
            <w:r w:rsidRPr="00B971B5">
              <w:rPr>
                <w:rFonts w:eastAsia="바탕체" w:hint="eastAsia"/>
                <w:b/>
                <w:bCs/>
                <w:lang w:val="fr-FR"/>
              </w:rPr>
              <w:t>2</w:t>
            </w:r>
            <w:r w:rsidR="00F042C2">
              <w:rPr>
                <w:rFonts w:eastAsia="바탕체" w:hint="eastAsia"/>
                <w:b/>
                <w:bCs/>
                <w:lang w:val="fr-FR"/>
              </w:rPr>
              <w:t>1</w:t>
            </w:r>
            <w:r w:rsidRPr="00B971B5">
              <w:rPr>
                <w:rFonts w:eastAsia="바탕체" w:hint="eastAsia"/>
                <w:b/>
                <w:bCs/>
                <w:lang w:val="fr-FR"/>
              </w:rPr>
              <w:t>-Sep_2020</w:t>
            </w:r>
            <w:r w:rsidRPr="00B971B5">
              <w:rPr>
                <w:rFonts w:eastAsia="바탕체"/>
                <w:b/>
                <w:bCs/>
                <w:lang w:val="fr-FR"/>
              </w:rPr>
              <w:t xml:space="preserve"> </w:t>
            </w:r>
            <w:r w:rsidRPr="00B971B5">
              <w:rPr>
                <w:rFonts w:eastAsia="바탕체" w:hint="eastAsia"/>
                <w:b/>
                <w:bCs/>
                <w:lang w:val="fr-FR"/>
              </w:rPr>
              <w:t>IEEE-SA</w:t>
            </w:r>
            <w:r w:rsidRPr="00B971B5">
              <w:rPr>
                <w:rFonts w:eastAsia="바탕체"/>
                <w:b/>
                <w:bCs/>
                <w:lang w:val="fr-FR"/>
              </w:rPr>
              <w:t xml:space="preserve"> </w:t>
            </w:r>
            <w:r w:rsidRPr="00B971B5">
              <w:rPr>
                <w:rFonts w:eastAsia="바탕체" w:hint="eastAsia"/>
                <w:b/>
                <w:bCs/>
                <w:lang w:val="fr-FR"/>
              </w:rPr>
              <w:t>NesCom</w:t>
            </w:r>
            <w:r w:rsidRPr="00B971B5">
              <w:rPr>
                <w:rFonts w:eastAsia="바탕체"/>
                <w:b/>
                <w:bCs/>
                <w:lang w:val="fr-FR"/>
              </w:rPr>
              <w:t xml:space="preserve"> </w:t>
            </w:r>
            <w:r w:rsidRPr="00B971B5">
              <w:rPr>
                <w:rFonts w:eastAsia="바탕체" w:hint="eastAsia"/>
                <w:b/>
                <w:bCs/>
                <w:lang w:val="fr-FR"/>
              </w:rPr>
              <w:t>Recommendations</w:t>
            </w:r>
          </w:p>
        </w:tc>
      </w:tr>
      <w:tr w:rsidR="005D6C10" w:rsidRPr="00AD4D1B" w14:paraId="652E28DB" w14:textId="77777777" w:rsidTr="005D6C10">
        <w:tc>
          <w:tcPr>
            <w:tcW w:w="1350" w:type="dxa"/>
          </w:tcPr>
          <w:p w14:paraId="34DC5E7A" w14:textId="77777777" w:rsidR="005D6C10" w:rsidRPr="00AD4D1B" w:rsidRDefault="005D6C10" w:rsidP="005D6C10">
            <w:pPr>
              <w:pStyle w:val="covertext"/>
              <w:spacing w:line="276" w:lineRule="auto"/>
            </w:pPr>
            <w:r w:rsidRPr="00AD4D1B">
              <w:t>DCN</w:t>
            </w:r>
          </w:p>
        </w:tc>
        <w:tc>
          <w:tcPr>
            <w:tcW w:w="7581" w:type="dxa"/>
          </w:tcPr>
          <w:p w14:paraId="05212FA9" w14:textId="02A79511" w:rsidR="005D6C10" w:rsidRPr="00AD4D1B" w:rsidRDefault="005D6C10" w:rsidP="005D6C10">
            <w:pPr>
              <w:pStyle w:val="covertext"/>
              <w:spacing w:line="276" w:lineRule="auto"/>
              <w:rPr>
                <w:b/>
              </w:rPr>
            </w:pPr>
            <w:r>
              <w:rPr>
                <w:b/>
              </w:rPr>
              <w:t>3079-20-00</w:t>
            </w:r>
            <w:r w:rsidR="00B971B5">
              <w:rPr>
                <w:rFonts w:hint="eastAsia"/>
                <w:b/>
              </w:rPr>
              <w:t>46</w:t>
            </w:r>
            <w:r>
              <w:rPr>
                <w:b/>
              </w:rPr>
              <w:t>-00-0000</w:t>
            </w:r>
          </w:p>
        </w:tc>
      </w:tr>
      <w:tr w:rsidR="005D6C10" w:rsidRPr="00AD4D1B" w14:paraId="2EB59D83" w14:textId="77777777" w:rsidTr="005D6C10">
        <w:tc>
          <w:tcPr>
            <w:tcW w:w="1350" w:type="dxa"/>
          </w:tcPr>
          <w:p w14:paraId="36E237D2" w14:textId="77777777" w:rsidR="005D6C10" w:rsidRPr="00AD4D1B" w:rsidRDefault="005D6C10" w:rsidP="005D6C10">
            <w:pPr>
              <w:pStyle w:val="covertext"/>
              <w:spacing w:line="276" w:lineRule="auto"/>
            </w:pPr>
            <w:r w:rsidRPr="00AD4D1B">
              <w:t>Date Submitted</w:t>
            </w:r>
          </w:p>
        </w:tc>
        <w:tc>
          <w:tcPr>
            <w:tcW w:w="7581" w:type="dxa"/>
          </w:tcPr>
          <w:p w14:paraId="1F843A19" w14:textId="65AC41DB" w:rsidR="005D6C10" w:rsidRPr="00AD4D1B" w:rsidRDefault="00B971B5" w:rsidP="005D6C10">
            <w:pPr>
              <w:pStyle w:val="covertext"/>
              <w:spacing w:line="276" w:lineRule="auto"/>
              <w:rPr>
                <w:b/>
              </w:rPr>
            </w:pPr>
            <w:r>
              <w:rPr>
                <w:rFonts w:hint="eastAsia"/>
                <w:b/>
              </w:rPr>
              <w:t>October</w:t>
            </w:r>
            <w:r w:rsidR="005D6C10" w:rsidRPr="00AD4D1B">
              <w:rPr>
                <w:b/>
                <w:lang w:eastAsia="ja-JP"/>
              </w:rPr>
              <w:t xml:space="preserve"> </w:t>
            </w:r>
            <w:r>
              <w:rPr>
                <w:rFonts w:hint="eastAsia"/>
                <w:b/>
              </w:rPr>
              <w:t>12</w:t>
            </w:r>
            <w:r w:rsidR="005D6C10">
              <w:rPr>
                <w:b/>
                <w:lang w:eastAsia="ja-JP"/>
              </w:rPr>
              <w:t>, 2020</w:t>
            </w:r>
          </w:p>
        </w:tc>
      </w:tr>
      <w:tr w:rsidR="005D6C10" w:rsidRPr="00BD0E07" w14:paraId="7DF7B93C" w14:textId="77777777" w:rsidTr="005D6C10">
        <w:tc>
          <w:tcPr>
            <w:tcW w:w="1350" w:type="dxa"/>
          </w:tcPr>
          <w:p w14:paraId="0868688F" w14:textId="77777777" w:rsidR="005D6C10" w:rsidRPr="00AD4D1B" w:rsidRDefault="005D6C10" w:rsidP="005D6C10">
            <w:pPr>
              <w:pStyle w:val="covertext"/>
              <w:spacing w:line="276" w:lineRule="auto"/>
            </w:pPr>
            <w:r w:rsidRPr="00AD4D1B">
              <w:t>Source(s)</w:t>
            </w:r>
          </w:p>
        </w:tc>
        <w:tc>
          <w:tcPr>
            <w:tcW w:w="7581" w:type="dxa"/>
          </w:tcPr>
          <w:p w14:paraId="287FF1BE" w14:textId="77945C78" w:rsidR="005D6C10" w:rsidRDefault="006133F1" w:rsidP="005D6C10">
            <w:pPr>
              <w:pStyle w:val="covertext"/>
              <w:spacing w:line="276" w:lineRule="auto"/>
              <w:rPr>
                <w:b/>
                <w:bCs/>
                <w:lang w:val="es-MX"/>
              </w:rPr>
            </w:pPr>
            <w:r>
              <w:rPr>
                <w:rFonts w:hint="eastAsia"/>
                <w:b/>
                <w:bCs/>
                <w:lang w:val="es-MX"/>
              </w:rPr>
              <w:t>Jeong,</w:t>
            </w:r>
            <w:r>
              <w:rPr>
                <w:b/>
                <w:bCs/>
                <w:lang w:val="es-MX"/>
              </w:rPr>
              <w:t xml:space="preserve"> </w:t>
            </w:r>
            <w:r w:rsidR="005D6C10" w:rsidRPr="00BD0E07">
              <w:rPr>
                <w:rFonts w:hint="eastAsia"/>
                <w:b/>
                <w:bCs/>
                <w:lang w:val="es-MX"/>
              </w:rPr>
              <w:t>S</w:t>
            </w:r>
            <w:r w:rsidR="005D6C10" w:rsidRPr="00BD0E07">
              <w:rPr>
                <w:b/>
                <w:bCs/>
                <w:lang w:val="es-MX"/>
              </w:rPr>
              <w:t>angkwon Peter</w:t>
            </w:r>
            <w:r w:rsidR="005D6C10" w:rsidRPr="006C6BB8">
              <w:rPr>
                <w:color w:val="000000" w:themeColor="text1"/>
              </w:rPr>
              <w:t xml:space="preserve"> </w:t>
            </w:r>
            <w:hyperlink r:id="rId9" w:history="1">
              <w:r w:rsidR="005D6C10" w:rsidRPr="006C6BB8">
                <w:rPr>
                  <w:rStyle w:val="a7"/>
                </w:rPr>
                <w:t>ceo@joyfun.kr</w:t>
              </w:r>
            </w:hyperlink>
            <w:r w:rsidR="005D6C10" w:rsidRPr="006C6BB8">
              <w:rPr>
                <w:color w:val="000000" w:themeColor="text1"/>
              </w:rPr>
              <w:t xml:space="preserve"> </w:t>
            </w:r>
            <w:r w:rsidR="005D6C10" w:rsidRPr="00BD0E07">
              <w:rPr>
                <w:b/>
                <w:bCs/>
                <w:lang w:val="es-MX"/>
              </w:rPr>
              <w:t>(JoyFun Inc.,)</w:t>
            </w:r>
          </w:p>
          <w:p w14:paraId="2B733652" w14:textId="3C759856" w:rsidR="005D6C10" w:rsidRPr="006C6BB8" w:rsidRDefault="00B971B5" w:rsidP="00B971B5">
            <w:pPr>
              <w:pStyle w:val="covertext"/>
              <w:spacing w:line="276" w:lineRule="auto"/>
              <w:rPr>
                <w:color w:val="000000" w:themeColor="text1"/>
              </w:rPr>
            </w:pPr>
            <w:r>
              <w:rPr>
                <w:rFonts w:hint="eastAsia"/>
                <w:b/>
                <w:bCs/>
                <w:lang w:val="es-MX"/>
              </w:rPr>
              <w:t>Seo,</w:t>
            </w:r>
            <w:r>
              <w:rPr>
                <w:b/>
                <w:bCs/>
                <w:lang w:val="es-MX"/>
              </w:rPr>
              <w:t xml:space="preserve"> </w:t>
            </w:r>
            <w:r>
              <w:rPr>
                <w:rFonts w:hint="eastAsia"/>
                <w:b/>
                <w:bCs/>
                <w:lang w:val="es-MX"/>
              </w:rPr>
              <w:t>Dong</w:t>
            </w:r>
            <w:r>
              <w:rPr>
                <w:b/>
                <w:bCs/>
                <w:lang w:val="es-MX"/>
              </w:rPr>
              <w:t xml:space="preserve"> </w:t>
            </w:r>
            <w:r>
              <w:rPr>
                <w:rFonts w:hint="eastAsia"/>
                <w:b/>
                <w:bCs/>
                <w:lang w:val="es-MX"/>
              </w:rPr>
              <w:t>Il</w:t>
            </w:r>
            <w:r>
              <w:rPr>
                <w:b/>
                <w:bCs/>
                <w:lang w:val="es-MX"/>
              </w:rPr>
              <w:t xml:space="preserve"> </w:t>
            </w:r>
            <w:r>
              <w:rPr>
                <w:rFonts w:hint="eastAsia"/>
                <w:b/>
                <w:bCs/>
                <w:lang w:val="es-MX"/>
              </w:rPr>
              <w:t>Dillon</w:t>
            </w:r>
            <w:r w:rsidR="005D6C10" w:rsidRPr="00AD4D1B">
              <w:t xml:space="preserve"> </w:t>
            </w:r>
            <w:hyperlink r:id="rId10" w:history="1">
              <w:r w:rsidRPr="00B971B5">
                <w:rPr>
                  <w:rStyle w:val="a7"/>
                </w:rPr>
                <w:t>mailto::dillon.seo@dtcp.capital</w:t>
              </w:r>
            </w:hyperlink>
            <w:r w:rsidRPr="00B971B5">
              <w:t xml:space="preserve"> </w:t>
            </w:r>
            <w:r w:rsidR="005D6C10" w:rsidRPr="00AD4D1B">
              <w:t xml:space="preserve"> </w:t>
            </w:r>
            <w:r w:rsidR="005D6C10">
              <w:rPr>
                <w:b/>
                <w:bCs/>
                <w:lang w:val="es-MX" w:eastAsia="ja-JP"/>
              </w:rPr>
              <w:t>(</w:t>
            </w:r>
            <w:r>
              <w:rPr>
                <w:rFonts w:hint="eastAsia"/>
                <w:b/>
                <w:bCs/>
                <w:lang w:val="es-MX"/>
              </w:rPr>
              <w:t>DTCP</w:t>
            </w:r>
            <w:r w:rsidR="005D6C10">
              <w:rPr>
                <w:b/>
                <w:bCs/>
                <w:lang w:val="es-MX" w:eastAsia="ja-JP"/>
              </w:rPr>
              <w:t>)</w:t>
            </w:r>
          </w:p>
        </w:tc>
      </w:tr>
      <w:tr w:rsidR="005D6C10" w:rsidRPr="00AD4D1B" w14:paraId="0D9F74C8" w14:textId="77777777" w:rsidTr="005D6C10">
        <w:tc>
          <w:tcPr>
            <w:tcW w:w="1350" w:type="dxa"/>
          </w:tcPr>
          <w:p w14:paraId="238A1DA6" w14:textId="77777777" w:rsidR="005D6C10" w:rsidRPr="00AD4D1B" w:rsidRDefault="005D6C10" w:rsidP="005D6C10">
            <w:pPr>
              <w:pStyle w:val="covertext"/>
              <w:spacing w:line="276" w:lineRule="auto"/>
            </w:pPr>
            <w:r w:rsidRPr="00AD4D1B">
              <w:t>Re:</w:t>
            </w:r>
          </w:p>
        </w:tc>
        <w:tc>
          <w:tcPr>
            <w:tcW w:w="7581" w:type="dxa"/>
          </w:tcPr>
          <w:p w14:paraId="04A01DAF" w14:textId="77777777" w:rsidR="005D6C10" w:rsidRPr="00AD4D1B" w:rsidRDefault="005D6C10" w:rsidP="005D6C10">
            <w:pPr>
              <w:pStyle w:val="covertext"/>
              <w:spacing w:line="276" w:lineRule="auto"/>
              <w:rPr>
                <w:rFonts w:eastAsia="MS Mincho"/>
                <w:lang w:val="en-GB" w:eastAsia="ja-JP"/>
              </w:rPr>
            </w:pPr>
          </w:p>
        </w:tc>
      </w:tr>
      <w:tr w:rsidR="005D6C10" w:rsidRPr="00AD4D1B" w14:paraId="5F2A5E68" w14:textId="77777777" w:rsidTr="005D6C10">
        <w:tc>
          <w:tcPr>
            <w:tcW w:w="1350" w:type="dxa"/>
          </w:tcPr>
          <w:p w14:paraId="394FC498" w14:textId="77777777" w:rsidR="005D6C10" w:rsidRPr="00AD4D1B" w:rsidRDefault="005D6C10" w:rsidP="005D6C10">
            <w:pPr>
              <w:pStyle w:val="covertext"/>
              <w:spacing w:line="276" w:lineRule="auto"/>
            </w:pPr>
            <w:r w:rsidRPr="00AD4D1B">
              <w:t>Abstract</w:t>
            </w:r>
          </w:p>
        </w:tc>
        <w:tc>
          <w:tcPr>
            <w:tcW w:w="7581" w:type="dxa"/>
          </w:tcPr>
          <w:p w14:paraId="4435CDF1" w14:textId="27C191F8" w:rsidR="005D6C10" w:rsidRPr="009D0883" w:rsidRDefault="005D6C10" w:rsidP="005D6C10">
            <w:pPr>
              <w:pStyle w:val="af1"/>
              <w:rPr>
                <w:rFonts w:ascii="Times New Roman" w:eastAsiaTheme="minorEastAsia" w:hAnsi="Times New Roman" w:cs="Times New Roman" w:hint="eastAsia"/>
                <w:color w:val="auto"/>
                <w:szCs w:val="24"/>
                <w:lang w:bidi="he-IL"/>
              </w:rPr>
            </w:pPr>
            <w:r w:rsidRPr="00BD30D6">
              <w:rPr>
                <w:rFonts w:ascii="Times New Roman" w:eastAsiaTheme="minorEastAsia" w:hAnsi="Times New Roman" w:cs="Times New Roman" w:hint="eastAsia"/>
                <w:color w:val="auto"/>
                <w:szCs w:val="24"/>
                <w:lang w:bidi="he-IL"/>
              </w:rPr>
              <w:t>This</w:t>
            </w:r>
            <w:r w:rsidRPr="00BD30D6">
              <w:rPr>
                <w:rFonts w:ascii="Times New Roman" w:eastAsiaTheme="minorEastAsia" w:hAnsi="Times New Roman" w:cs="Times New Roman"/>
                <w:color w:val="auto"/>
                <w:szCs w:val="24"/>
                <w:lang w:bidi="he-IL"/>
              </w:rPr>
              <w:t xml:space="preserve"> </w:t>
            </w:r>
            <w:r w:rsidRPr="00BD30D6">
              <w:rPr>
                <w:rFonts w:ascii="Times New Roman" w:eastAsiaTheme="minorEastAsia" w:hAnsi="Times New Roman" w:cs="Times New Roman" w:hint="eastAsia"/>
                <w:color w:val="auto"/>
                <w:szCs w:val="24"/>
                <w:lang w:bidi="he-IL"/>
              </w:rPr>
              <w:t xml:space="preserve">document </w:t>
            </w:r>
            <w:r w:rsidR="005307C7">
              <w:rPr>
                <w:rFonts w:ascii="Times New Roman" w:eastAsiaTheme="minorEastAsia" w:hAnsi="Times New Roman" w:cs="Times New Roman" w:hint="eastAsia"/>
                <w:color w:val="auto"/>
                <w:szCs w:val="24"/>
                <w:lang w:bidi="he-IL"/>
              </w:rPr>
              <w:t xml:space="preserve">is </w:t>
            </w:r>
            <w:r w:rsidR="005307C7">
              <w:rPr>
                <w:rFonts w:ascii="Times New Roman" w:eastAsiaTheme="minorEastAsia" w:hAnsi="Times New Roman" w:cs="Times New Roman"/>
                <w:color w:val="auto"/>
                <w:szCs w:val="24"/>
                <w:lang w:bidi="he-IL"/>
              </w:rPr>
              <w:t xml:space="preserve">the summary of the </w:t>
            </w:r>
            <w:proofErr w:type="spellStart"/>
            <w:r w:rsidR="005307C7">
              <w:rPr>
                <w:rFonts w:ascii="Times New Roman" w:eastAsiaTheme="minorEastAsia" w:hAnsi="Times New Roman" w:cs="Times New Roman"/>
                <w:color w:val="auto"/>
                <w:szCs w:val="24"/>
                <w:lang w:bidi="he-IL"/>
              </w:rPr>
              <w:t>NesCom</w:t>
            </w:r>
            <w:proofErr w:type="spellEnd"/>
            <w:r w:rsidR="005307C7">
              <w:rPr>
                <w:rFonts w:ascii="Times New Roman" w:eastAsiaTheme="minorEastAsia" w:hAnsi="Times New Roman" w:cs="Times New Roman"/>
                <w:color w:val="auto"/>
                <w:szCs w:val="24"/>
                <w:lang w:bidi="he-IL"/>
              </w:rPr>
              <w:t xml:space="preserve"> meeting held on </w:t>
            </w:r>
            <w:proofErr w:type="spellStart"/>
            <w:r w:rsidR="005307C7">
              <w:rPr>
                <w:rFonts w:ascii="Times New Roman" w:eastAsiaTheme="minorEastAsia" w:hAnsi="Times New Roman" w:cs="Times New Roman"/>
                <w:color w:val="auto"/>
                <w:szCs w:val="24"/>
                <w:lang w:bidi="he-IL"/>
              </w:rPr>
              <w:t>Septmeber</w:t>
            </w:r>
            <w:proofErr w:type="spellEnd"/>
            <w:r w:rsidR="005307C7">
              <w:rPr>
                <w:rFonts w:ascii="Times New Roman" w:eastAsiaTheme="minorEastAsia" w:hAnsi="Times New Roman" w:cs="Times New Roman"/>
                <w:color w:val="auto"/>
                <w:szCs w:val="24"/>
                <w:lang w:bidi="he-IL"/>
              </w:rPr>
              <w:t xml:space="preserve"> 21, 2020. It contains the list of projects submitted to </w:t>
            </w:r>
            <w:proofErr w:type="spellStart"/>
            <w:r w:rsidR="005307C7">
              <w:rPr>
                <w:rFonts w:ascii="Times New Roman" w:eastAsiaTheme="minorEastAsia" w:hAnsi="Times New Roman" w:cs="Times New Roman"/>
                <w:color w:val="auto"/>
                <w:szCs w:val="24"/>
                <w:lang w:bidi="he-IL"/>
              </w:rPr>
              <w:t>NesCom</w:t>
            </w:r>
            <w:proofErr w:type="spellEnd"/>
            <w:r w:rsidR="005307C7">
              <w:rPr>
                <w:rFonts w:ascii="Times New Roman" w:eastAsiaTheme="minorEastAsia" w:hAnsi="Times New Roman" w:cs="Times New Roman"/>
                <w:color w:val="auto"/>
                <w:szCs w:val="24"/>
                <w:lang w:bidi="he-IL"/>
              </w:rPr>
              <w:t xml:space="preserve"> for PAR approval and the recommendations from IEEE-SASB. Among the list, IEEE 3079.1 and 3079.2 PAR approvals are included</w:t>
            </w:r>
          </w:p>
        </w:tc>
      </w:tr>
      <w:tr w:rsidR="005D6C10" w:rsidRPr="00AD4D1B" w14:paraId="14B05CF8" w14:textId="77777777" w:rsidTr="005D6C10">
        <w:tc>
          <w:tcPr>
            <w:tcW w:w="1350" w:type="dxa"/>
          </w:tcPr>
          <w:p w14:paraId="77749D09" w14:textId="77777777" w:rsidR="005D6C10" w:rsidRPr="00AD4D1B" w:rsidRDefault="005D6C10" w:rsidP="005D6C10">
            <w:pPr>
              <w:pStyle w:val="covertext"/>
              <w:spacing w:line="276" w:lineRule="auto"/>
            </w:pPr>
            <w:r w:rsidRPr="00AD4D1B">
              <w:t>Purpose</w:t>
            </w:r>
          </w:p>
        </w:tc>
        <w:tc>
          <w:tcPr>
            <w:tcW w:w="7581" w:type="dxa"/>
          </w:tcPr>
          <w:p w14:paraId="4FB959A1" w14:textId="42162F7C" w:rsidR="005D6C10" w:rsidRPr="009D0883" w:rsidRDefault="005D6C10" w:rsidP="005D6C10">
            <w:pPr>
              <w:pStyle w:val="af0"/>
              <w:snapToGrid/>
              <w:rPr>
                <w:rFonts w:ascii="Times New Roman" w:eastAsiaTheme="minorEastAsia" w:hAnsi="Times New Roman" w:cs="Times New Roman" w:hint="eastAsia"/>
                <w:color w:val="auto"/>
                <w:sz w:val="20"/>
                <w:szCs w:val="24"/>
                <w:lang w:bidi="he-IL"/>
              </w:rPr>
            </w:pPr>
            <w:r w:rsidRPr="00BD30D6">
              <w:rPr>
                <w:rFonts w:ascii="Times New Roman" w:eastAsiaTheme="minorEastAsia" w:hAnsi="Times New Roman" w:cs="Times New Roman"/>
                <w:color w:val="auto"/>
                <w:sz w:val="20"/>
                <w:szCs w:val="24"/>
                <w:lang w:bidi="he-IL"/>
              </w:rPr>
              <w:t xml:space="preserve">The purpose of this </w:t>
            </w:r>
            <w:r w:rsidRPr="00BD30D6">
              <w:rPr>
                <w:rFonts w:ascii="Times New Roman" w:eastAsiaTheme="minorEastAsia" w:hAnsi="Times New Roman" w:cs="Times New Roman" w:hint="eastAsia"/>
                <w:color w:val="auto"/>
                <w:sz w:val="20"/>
                <w:szCs w:val="24"/>
                <w:lang w:bidi="he-IL"/>
              </w:rPr>
              <w:t>document</w:t>
            </w:r>
            <w:r w:rsidRPr="00BD30D6">
              <w:rPr>
                <w:rFonts w:ascii="Times New Roman" w:eastAsiaTheme="minorEastAsia" w:hAnsi="Times New Roman" w:cs="Times New Roman"/>
                <w:color w:val="auto"/>
                <w:sz w:val="20"/>
                <w:szCs w:val="24"/>
                <w:lang w:bidi="he-IL"/>
              </w:rPr>
              <w:t xml:space="preserve"> </w:t>
            </w:r>
            <w:r w:rsidRPr="009D0883">
              <w:rPr>
                <w:rFonts w:ascii="Times New Roman" w:eastAsiaTheme="minorEastAsia" w:hAnsi="Times New Roman" w:cs="Times New Roman"/>
                <w:color w:val="auto"/>
                <w:sz w:val="20"/>
                <w:szCs w:val="24"/>
                <w:lang w:bidi="he-IL"/>
              </w:rPr>
              <w:t xml:space="preserve">is </w:t>
            </w:r>
            <w:r w:rsidR="005307C7">
              <w:rPr>
                <w:rFonts w:ascii="Times New Roman" w:eastAsiaTheme="minorEastAsia" w:hAnsi="Times New Roman" w:cs="Times New Roman"/>
                <w:color w:val="auto"/>
                <w:sz w:val="20"/>
                <w:szCs w:val="24"/>
                <w:lang w:bidi="he-IL"/>
              </w:rPr>
              <w:t xml:space="preserve">to review the new PARs submitted to </w:t>
            </w:r>
            <w:proofErr w:type="spellStart"/>
            <w:r w:rsidR="005307C7">
              <w:rPr>
                <w:rFonts w:ascii="Times New Roman" w:eastAsiaTheme="minorEastAsia" w:hAnsi="Times New Roman" w:cs="Times New Roman"/>
                <w:color w:val="auto"/>
                <w:sz w:val="20"/>
                <w:szCs w:val="24"/>
                <w:lang w:bidi="he-IL"/>
              </w:rPr>
              <w:t>NesCom</w:t>
            </w:r>
            <w:proofErr w:type="spellEnd"/>
            <w:r w:rsidR="005307C7">
              <w:rPr>
                <w:rFonts w:ascii="Times New Roman" w:eastAsiaTheme="minorEastAsia" w:hAnsi="Times New Roman" w:cs="Times New Roman"/>
                <w:color w:val="auto"/>
                <w:sz w:val="20"/>
                <w:szCs w:val="24"/>
                <w:lang w:bidi="he-IL"/>
              </w:rPr>
              <w:t xml:space="preserve"> and the feedback provided by the committee so IEEE 3079 WG participating members gain the insight on how to approach to </w:t>
            </w:r>
            <w:proofErr w:type="spellStart"/>
            <w:r w:rsidR="005307C7">
              <w:rPr>
                <w:rFonts w:ascii="Times New Roman" w:eastAsiaTheme="minorEastAsia" w:hAnsi="Times New Roman" w:cs="Times New Roman"/>
                <w:color w:val="auto"/>
                <w:sz w:val="20"/>
                <w:szCs w:val="24"/>
                <w:lang w:bidi="he-IL"/>
              </w:rPr>
              <w:t>NesCom</w:t>
            </w:r>
            <w:proofErr w:type="spellEnd"/>
            <w:r w:rsidR="005307C7">
              <w:rPr>
                <w:rFonts w:ascii="Times New Roman" w:eastAsiaTheme="minorEastAsia" w:hAnsi="Times New Roman" w:cs="Times New Roman"/>
                <w:color w:val="auto"/>
                <w:sz w:val="20"/>
                <w:szCs w:val="24"/>
                <w:lang w:bidi="he-IL"/>
              </w:rPr>
              <w:t xml:space="preserve"> for future new projects</w:t>
            </w:r>
          </w:p>
        </w:tc>
      </w:tr>
      <w:tr w:rsidR="005D6C10" w:rsidRPr="00AD4D1B" w14:paraId="26156D25" w14:textId="77777777" w:rsidTr="005D6C10">
        <w:trPr>
          <w:trHeight w:val="840"/>
        </w:trPr>
        <w:tc>
          <w:tcPr>
            <w:tcW w:w="1350" w:type="dxa"/>
          </w:tcPr>
          <w:p w14:paraId="4CEB43A6" w14:textId="77777777" w:rsidR="005D6C10" w:rsidRPr="00AD4D1B" w:rsidRDefault="005D6C10" w:rsidP="005D6C10">
            <w:pPr>
              <w:pStyle w:val="covertext"/>
              <w:spacing w:line="276" w:lineRule="auto"/>
            </w:pPr>
            <w:r w:rsidRPr="00AD4D1B">
              <w:t>Notice</w:t>
            </w:r>
          </w:p>
        </w:tc>
        <w:tc>
          <w:tcPr>
            <w:tcW w:w="7581" w:type="dxa"/>
          </w:tcPr>
          <w:p w14:paraId="788F21ED" w14:textId="77777777" w:rsidR="005D6C10" w:rsidRPr="00AD4D1B" w:rsidRDefault="005D6C10" w:rsidP="005D6C10">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D6C10" w:rsidRPr="00AD4D1B" w14:paraId="75707757" w14:textId="77777777" w:rsidTr="005D6C10">
        <w:trPr>
          <w:trHeight w:val="1439"/>
        </w:trPr>
        <w:tc>
          <w:tcPr>
            <w:tcW w:w="1350" w:type="dxa"/>
          </w:tcPr>
          <w:p w14:paraId="1F08FB96" w14:textId="77777777" w:rsidR="005D6C10" w:rsidRPr="00AD4D1B" w:rsidRDefault="005D6C10" w:rsidP="005D6C10">
            <w:pPr>
              <w:pStyle w:val="covertext"/>
              <w:spacing w:line="276" w:lineRule="auto"/>
            </w:pPr>
            <w:r w:rsidRPr="00AD4D1B">
              <w:t>Release</w:t>
            </w:r>
          </w:p>
        </w:tc>
        <w:tc>
          <w:tcPr>
            <w:tcW w:w="7581" w:type="dxa"/>
          </w:tcPr>
          <w:p w14:paraId="36A8667C" w14:textId="589FAD0D" w:rsidR="005D6C10" w:rsidRPr="00AD4D1B" w:rsidRDefault="005D6C10" w:rsidP="005D6C10">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AD4D1B">
              <w:rPr>
                <w:sz w:val="20"/>
              </w:rPr>
              <w:t xml:space="preserve"> may make this contribution public.</w:t>
            </w:r>
          </w:p>
        </w:tc>
      </w:tr>
      <w:tr w:rsidR="005D6C10" w:rsidRPr="00AD4D1B" w14:paraId="21FAD51B" w14:textId="77777777" w:rsidTr="005D6C10">
        <w:trPr>
          <w:trHeight w:val="70"/>
        </w:trPr>
        <w:tc>
          <w:tcPr>
            <w:tcW w:w="1350" w:type="dxa"/>
          </w:tcPr>
          <w:p w14:paraId="769F2BB4" w14:textId="77777777" w:rsidR="005D6C10" w:rsidRPr="00AD4D1B" w:rsidRDefault="005D6C10" w:rsidP="005D6C10">
            <w:pPr>
              <w:pStyle w:val="covertext"/>
              <w:spacing w:line="276" w:lineRule="auto"/>
            </w:pPr>
            <w:r w:rsidRPr="00AD4D1B">
              <w:t>Patent Policy</w:t>
            </w:r>
          </w:p>
        </w:tc>
        <w:tc>
          <w:tcPr>
            <w:tcW w:w="7581" w:type="dxa"/>
          </w:tcPr>
          <w:p w14:paraId="535C9632" w14:textId="77777777" w:rsidR="005D6C10" w:rsidRPr="00AD4D1B" w:rsidRDefault="005D6C10" w:rsidP="005D6C10">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1"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2"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3" w:tgtFrame="_parent" w:history="1">
              <w:r w:rsidRPr="00AD4D1B">
                <w:rPr>
                  <w:rStyle w:val="a7"/>
                  <w:rFonts w:ascii="Times New Roman" w:hAnsi="Times New Roman" w:cs="Times New Roman"/>
                </w:rPr>
                <w:t>http://standards.ieee.org/board/pat/faq.pdf</w:t>
              </w:r>
            </w:hyperlink>
          </w:p>
        </w:tc>
      </w:tr>
    </w:tbl>
    <w:p w14:paraId="17BB049F" w14:textId="77777777" w:rsidR="00B971B5" w:rsidRPr="00B971B5" w:rsidRDefault="00BD30D6" w:rsidP="00192EEE">
      <w:pPr>
        <w:adjustRightInd w:val="0"/>
        <w:spacing w:after="0" w:line="240" w:lineRule="auto"/>
        <w:rPr>
          <w:rFonts w:ascii="Times New Roman" w:eastAsia="Verdana-Bold" w:hAnsi="Times New Roman" w:cs="Times New Roman"/>
          <w:b/>
          <w:bCs/>
          <w:color w:val="000000"/>
          <w:sz w:val="26"/>
          <w:szCs w:val="26"/>
        </w:rPr>
      </w:pPr>
      <w:r>
        <w:rPr>
          <w:rFonts w:ascii="굴림" w:eastAsia="굴림" w:hAnsi="굴림" w:cs="굴림"/>
          <w:b/>
          <w:bCs/>
          <w:color w:val="000000"/>
          <w:szCs w:val="22"/>
          <w:lang w:bidi="ar-SA"/>
        </w:rPr>
        <w:br w:type="page"/>
      </w:r>
      <w:r w:rsidR="00B971B5" w:rsidRPr="00B971B5">
        <w:rPr>
          <w:rFonts w:ascii="Times New Roman" w:eastAsia="Verdana-Bold" w:hAnsi="Times New Roman" w:cs="Times New Roman"/>
          <w:b/>
          <w:bCs/>
          <w:color w:val="000000"/>
          <w:sz w:val="26"/>
          <w:szCs w:val="26"/>
        </w:rPr>
        <w:lastRenderedPageBreak/>
        <w:t>IEEE SA Standards Board New Standards Committee (</w:t>
      </w:r>
      <w:proofErr w:type="spellStart"/>
      <w:r w:rsidR="00B971B5" w:rsidRPr="00B971B5">
        <w:rPr>
          <w:rFonts w:ascii="Times New Roman" w:eastAsia="Verdana-Bold" w:hAnsi="Times New Roman" w:cs="Times New Roman"/>
          <w:b/>
          <w:bCs/>
          <w:color w:val="000000"/>
          <w:sz w:val="26"/>
          <w:szCs w:val="26"/>
        </w:rPr>
        <w:t>NesCom</w:t>
      </w:r>
      <w:proofErr w:type="spellEnd"/>
      <w:r w:rsidR="00B971B5" w:rsidRPr="00B971B5">
        <w:rPr>
          <w:rFonts w:ascii="Times New Roman" w:eastAsia="Verdana-Bold" w:hAnsi="Times New Roman" w:cs="Times New Roman"/>
          <w:b/>
          <w:bCs/>
          <w:color w:val="000000"/>
          <w:sz w:val="26"/>
          <w:szCs w:val="26"/>
        </w:rPr>
        <w:t>)</w:t>
      </w:r>
    </w:p>
    <w:p w14:paraId="7CAD15D5" w14:textId="77777777" w:rsidR="00B971B5" w:rsidRPr="00B971B5" w:rsidRDefault="00B971B5" w:rsidP="00192EEE">
      <w:pPr>
        <w:adjustRightInd w:val="0"/>
        <w:spacing w:after="0" w:line="240" w:lineRule="auto"/>
        <w:rPr>
          <w:rFonts w:ascii="Times New Roman" w:eastAsia="Verdana-Bold" w:hAnsi="Times New Roman" w:cs="Times New Roman"/>
          <w:b/>
          <w:bCs/>
          <w:color w:val="000000"/>
          <w:sz w:val="26"/>
          <w:szCs w:val="26"/>
        </w:rPr>
      </w:pPr>
      <w:r w:rsidRPr="00B971B5">
        <w:rPr>
          <w:rFonts w:ascii="Times New Roman" w:eastAsia="Verdana-Bold" w:hAnsi="Times New Roman" w:cs="Times New Roman"/>
          <w:b/>
          <w:bCs/>
          <w:color w:val="000000"/>
          <w:sz w:val="26"/>
          <w:szCs w:val="26"/>
        </w:rPr>
        <w:t>Recommendations</w:t>
      </w:r>
    </w:p>
    <w:p w14:paraId="172B96ED"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[SASB approval date: 24-Sep-2020]</w:t>
      </w:r>
    </w:p>
    <w:p w14:paraId="7E49B006"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[All votes unanimous unless noted otherwise.]</w:t>
      </w:r>
    </w:p>
    <w:p w14:paraId="6BF2E3A4" w14:textId="77777777" w:rsidR="00B971B5" w:rsidRPr="00B971B5" w:rsidRDefault="00B971B5" w:rsidP="00192EEE">
      <w:pPr>
        <w:adjustRightInd w:val="0"/>
        <w:spacing w:after="0" w:line="240" w:lineRule="auto"/>
        <w:rPr>
          <w:rFonts w:ascii="Times New Roman" w:eastAsia="Verdana-Bold" w:hAnsi="Times New Roman" w:cs="Times New Roman"/>
          <w:b/>
          <w:bCs/>
          <w:color w:val="000000"/>
          <w:sz w:val="24"/>
          <w:szCs w:val="24"/>
        </w:rPr>
      </w:pPr>
      <w:r w:rsidRPr="00B971B5">
        <w:rPr>
          <w:rFonts w:ascii="Times New Roman" w:eastAsia="Verdana-Bold" w:hAnsi="Times New Roman" w:cs="Times New Roman"/>
          <w:b/>
          <w:bCs/>
          <w:color w:val="000000"/>
          <w:sz w:val="24"/>
          <w:szCs w:val="24"/>
        </w:rPr>
        <w:t>Withdrawal Requests</w:t>
      </w:r>
    </w:p>
    <w:p w14:paraId="60140862"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Computer Society/LAN/MAN Standards Committee</w:t>
      </w:r>
    </w:p>
    <w:p w14:paraId="7B92708A"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P802.19.2</w:t>
      </w:r>
    </w:p>
    <w:p w14:paraId="3BF44F46"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Recommended Practice for Local and Metropolitan Area Networks - Part 19: Coexistence of Unlicensed Wireless Systems in a Vehicular Environment</w:t>
      </w:r>
    </w:p>
    <w:p w14:paraId="2692150F"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PAR withdrawal</w:t>
      </w:r>
    </w:p>
    <w:p w14:paraId="4D3EB81D"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Engineering in Medicine and Biology Society/IEEE 11073 Standards Committee</w:t>
      </w:r>
    </w:p>
    <w:p w14:paraId="7A2A1E4D"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P11073-10316</w:t>
      </w:r>
    </w:p>
    <w:p w14:paraId="3CD97426"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Trial-Use Health Informatics -- Device Interoperability -- Part 10316: Point-of-Care Medical Device</w:t>
      </w:r>
    </w:p>
    <w:p w14:paraId="7D499929"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Communication -- Device Specialization -- Dialysis Device</w:t>
      </w:r>
    </w:p>
    <w:p w14:paraId="0B85C56A"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PAR withdrawal</w:t>
      </w:r>
    </w:p>
    <w:p w14:paraId="25F32F61"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Instrumentation and Measurement Society/TC9 - Sensor Technology</w:t>
      </w:r>
    </w:p>
    <w:p w14:paraId="7D6D54BB"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P1451.1</w:t>
      </w:r>
    </w:p>
    <w:p w14:paraId="6658887C"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for Smart Transducer Interface for Sensors and Actuators - Common Network Services</w:t>
      </w:r>
    </w:p>
    <w:p w14:paraId="6D78F54E"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PAR withdrawal</w:t>
      </w:r>
    </w:p>
    <w:p w14:paraId="54679FA1"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P1451.2</w:t>
      </w:r>
    </w:p>
    <w:p w14:paraId="2663CBB7"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ISO/IEC/IEEE Standard for Information Technology -- Smart Transducer Interface for Sensors and Actuators --Part 2: Serial Point-to-Point Interface</w:t>
      </w:r>
    </w:p>
    <w:p w14:paraId="5D8AF85B"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PAR withdrawal</w:t>
      </w:r>
    </w:p>
    <w:p w14:paraId="3766A2D6"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IEEE-SASB Coordinating Committees/SCC39 - International Committee on Electromagnetic</w:t>
      </w:r>
    </w:p>
    <w:p w14:paraId="7781B52B"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Safety</w:t>
      </w:r>
    </w:p>
    <w:p w14:paraId="46103320"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PC95.4</w:t>
      </w:r>
    </w:p>
    <w:p w14:paraId="768619E1"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 xml:space="preserve">Recommended Practice for Determining Safe Distances </w:t>
      </w:r>
      <w:proofErr w:type="gramStart"/>
      <w:r w:rsidRPr="00B971B5">
        <w:rPr>
          <w:rFonts w:ascii="Times New Roman" w:eastAsia="Verdana-Bold" w:hAnsi="Times New Roman" w:cs="Times New Roman"/>
          <w:color w:val="000000"/>
          <w:szCs w:val="20"/>
        </w:rPr>
        <w:t>From</w:t>
      </w:r>
      <w:proofErr w:type="gramEnd"/>
      <w:r w:rsidRPr="00B971B5">
        <w:rPr>
          <w:rFonts w:ascii="Times New Roman" w:eastAsia="Verdana-Bold" w:hAnsi="Times New Roman" w:cs="Times New Roman"/>
          <w:color w:val="000000"/>
          <w:szCs w:val="20"/>
        </w:rPr>
        <w:t xml:space="preserve"> Radio Frequency Transmitting Antennas When Using Electric Blasting Caps During Explosive Operations</w:t>
      </w:r>
    </w:p>
    <w:p w14:paraId="119BC2FA"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PAR withdrawal</w:t>
      </w:r>
    </w:p>
    <w:p w14:paraId="1F93BC93" w14:textId="77777777" w:rsidR="00B971B5" w:rsidRPr="00B971B5" w:rsidRDefault="00B971B5" w:rsidP="00192EEE">
      <w:pPr>
        <w:adjustRightInd w:val="0"/>
        <w:spacing w:after="0" w:line="240" w:lineRule="auto"/>
        <w:rPr>
          <w:rFonts w:ascii="Times New Roman" w:eastAsia="Verdana-Bold" w:hAnsi="Times New Roman" w:cs="Times New Roman"/>
          <w:b/>
          <w:bCs/>
          <w:color w:val="000000"/>
          <w:sz w:val="24"/>
          <w:szCs w:val="24"/>
        </w:rPr>
      </w:pPr>
      <w:r w:rsidRPr="00B971B5">
        <w:rPr>
          <w:rFonts w:ascii="Times New Roman" w:eastAsia="Verdana-Bold" w:hAnsi="Times New Roman" w:cs="Times New Roman"/>
          <w:b/>
          <w:bCs/>
          <w:color w:val="000000"/>
          <w:sz w:val="24"/>
          <w:szCs w:val="24"/>
        </w:rPr>
        <w:t>Modified PARs</w:t>
      </w:r>
    </w:p>
    <w:p w14:paraId="01B61F62"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Communications Society/Access and Core Networks Standards Committee</w:t>
      </w:r>
    </w:p>
    <w:p w14:paraId="42DEAD1F"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P1910.1</w:t>
      </w:r>
    </w:p>
    <w:p w14:paraId="73A452C8"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for Meshed Tree Bridging with Loop Free Forwarding</w:t>
      </w:r>
    </w:p>
    <w:p w14:paraId="0208AF4E"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modified PAR</w:t>
      </w:r>
    </w:p>
    <w:p w14:paraId="223A0580"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Communications Society/Mobile Communication Networks Standards Committee</w:t>
      </w:r>
    </w:p>
    <w:p w14:paraId="26F1C1E4"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P1920.1</w:t>
      </w:r>
    </w:p>
    <w:p w14:paraId="23A80FC3"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Aerial Communications and Networking Standards</w:t>
      </w:r>
    </w:p>
    <w:p w14:paraId="01716DB5"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modified PAR</w:t>
      </w:r>
    </w:p>
    <w:p w14:paraId="778A5F44"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Computer Society/Software &amp; Systems Engineering Standards Committee</w:t>
      </w:r>
    </w:p>
    <w:p w14:paraId="12759B7C"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P12207-2</w:t>
      </w:r>
    </w:p>
    <w:p w14:paraId="44DA92BA"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Systems and Software Engineering -- Software Life Cycle Processes -- Part 2: Relation and Mapping Between ISO/IEC/IEEE 12207:2017 and ISO/IEC/IEEE 12207:2008</w:t>
      </w:r>
    </w:p>
    <w:p w14:paraId="103BC9A2"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modified PAR</w:t>
      </w:r>
    </w:p>
    <w:p w14:paraId="60B2FA15"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Industry Applications Society/Petroleum &amp; Chemical Industry</w:t>
      </w:r>
    </w:p>
    <w:p w14:paraId="4D30D43D"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P1017.1</w:t>
      </w:r>
    </w:p>
    <w:p w14:paraId="654B157B"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Recommended Practice for Field Testing Electric Submersible Pump Cable</w:t>
      </w:r>
    </w:p>
    <w:p w14:paraId="0C83EA0D"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modified PAR</w:t>
      </w:r>
    </w:p>
    <w:p w14:paraId="3BB6AA72"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Instrumentation and Measurement Society/TC9 - Sensor Technology</w:t>
      </w:r>
    </w:p>
    <w:p w14:paraId="69B5BA51"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P1451.99</w:t>
      </w:r>
    </w:p>
    <w:p w14:paraId="7BB9ACA2"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for Harmonization of Internet of Things (IoT) Devices and Systems</w:t>
      </w:r>
    </w:p>
    <w:p w14:paraId="1D20C2AF"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modified PAR</w:t>
      </w:r>
    </w:p>
    <w:p w14:paraId="0CD9628F"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Power and Energy Society/Nuclear Power Engineering</w:t>
      </w:r>
    </w:p>
    <w:p w14:paraId="0AA6B728"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P387</w:t>
      </w:r>
    </w:p>
    <w:p w14:paraId="38CD3DA4" w14:textId="77777777" w:rsidR="00B971B5" w:rsidRPr="00B971B5" w:rsidRDefault="00B971B5" w:rsidP="00DA7F30">
      <w:pPr>
        <w:wordWrap w:val="0"/>
        <w:jc w:val="both"/>
        <w:rPr>
          <w:rFonts w:ascii="Times New Roman" w:hAnsi="Times New Roman" w:cs="Times New Roman"/>
          <w:color w:val="000000"/>
          <w:szCs w:val="20"/>
        </w:rPr>
      </w:pPr>
      <w:r w:rsidRPr="00B971B5">
        <w:rPr>
          <w:rFonts w:ascii="Times New Roman" w:eastAsia="Verdana-Bold" w:hAnsi="Times New Roman" w:cs="Times New Roman"/>
          <w:color w:val="000000"/>
          <w:szCs w:val="20"/>
        </w:rPr>
        <w:lastRenderedPageBreak/>
        <w:t xml:space="preserve">Nuclear Facilities – Electrical Power Systems – Part 387: Diesel Generator Units Applied as Standby Power </w:t>
      </w:r>
      <w:r w:rsidRPr="00B971B5">
        <w:rPr>
          <w:rFonts w:ascii="Times New Roman" w:hAnsi="Times New Roman" w:cs="Times New Roman"/>
          <w:color w:val="000000"/>
          <w:szCs w:val="20"/>
        </w:rPr>
        <w:t>Sources</w:t>
      </w:r>
    </w:p>
    <w:p w14:paraId="34C29AB0" w14:textId="77777777" w:rsidR="00B971B5" w:rsidRPr="00B971B5" w:rsidRDefault="00B971B5" w:rsidP="00192EEE">
      <w:pPr>
        <w:adjustRightInd w:val="0"/>
        <w:spacing w:after="0" w:line="240" w:lineRule="auto"/>
        <w:rPr>
          <w:rFonts w:ascii="Times New Roman" w:hAnsi="Times New Roman" w:cs="Times New Roman"/>
          <w:color w:val="000000"/>
          <w:szCs w:val="20"/>
          <w:lang w:val="fr-FR"/>
        </w:rPr>
      </w:pPr>
      <w:r w:rsidRPr="00B971B5">
        <w:rPr>
          <w:rFonts w:ascii="Times New Roman" w:eastAsia="Verdana-Bold" w:hAnsi="Times New Roman" w:cs="Times New Roman"/>
          <w:b/>
          <w:bCs/>
          <w:color w:val="000000"/>
          <w:szCs w:val="20"/>
          <w:lang w:val="fr-FR"/>
        </w:rPr>
        <w:t xml:space="preserve">Recommendation: </w:t>
      </w:r>
      <w:r w:rsidRPr="00B971B5">
        <w:rPr>
          <w:rFonts w:ascii="Times New Roman" w:hAnsi="Times New Roman" w:cs="Times New Roman"/>
          <w:color w:val="000000"/>
          <w:szCs w:val="20"/>
          <w:lang w:val="fr-FR"/>
        </w:rPr>
        <w:t>Approve modified PAR</w:t>
      </w:r>
    </w:p>
    <w:p w14:paraId="28B5312C"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lang w:val="fr-FR"/>
        </w:rPr>
      </w:pPr>
      <w:r w:rsidRPr="00B971B5">
        <w:rPr>
          <w:rFonts w:ascii="Times New Roman" w:eastAsia="Verdana-Bold" w:hAnsi="Times New Roman" w:cs="Times New Roman"/>
          <w:b/>
          <w:bCs/>
          <w:color w:val="0000FF"/>
          <w:szCs w:val="20"/>
          <w:lang w:val="fr-FR"/>
        </w:rPr>
        <w:t>P2411</w:t>
      </w:r>
    </w:p>
    <w:p w14:paraId="4A2C39A7"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Human Factors Engineering Guide for the Validation of System Designs and Integrated Systems Operations at Nuclear Facilities</w:t>
      </w:r>
    </w:p>
    <w:p w14:paraId="1DAC9F40"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modified PAR</w:t>
      </w:r>
    </w:p>
    <w:p w14:paraId="02661D17"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Power and Energy Society/Switchgear</w:t>
      </w:r>
    </w:p>
    <w:p w14:paraId="2276AFBC"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PC37.04-2018/Cor 1</w:t>
      </w:r>
    </w:p>
    <w:p w14:paraId="3E407180"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Ratings and Requirements for AC High-Voltage Circuit Breakers with Rated Maximum Voltage Above 1000 V - Corrigendum 1</w:t>
      </w:r>
    </w:p>
    <w:p w14:paraId="494F20CE" w14:textId="77777777" w:rsidR="00B971B5" w:rsidRPr="00B971B5" w:rsidRDefault="00B971B5" w:rsidP="00192EEE">
      <w:pPr>
        <w:adjustRightInd w:val="0"/>
        <w:spacing w:after="0" w:line="240" w:lineRule="auto"/>
        <w:rPr>
          <w:rFonts w:ascii="Times New Roman" w:hAnsi="Times New Roman" w:cs="Times New Roman"/>
          <w:color w:val="000000"/>
          <w:szCs w:val="20"/>
          <w:lang w:val="fr-FR"/>
        </w:rPr>
      </w:pPr>
      <w:r w:rsidRPr="00B971B5">
        <w:rPr>
          <w:rFonts w:ascii="Times New Roman" w:eastAsia="Verdana-Bold" w:hAnsi="Times New Roman" w:cs="Times New Roman"/>
          <w:b/>
          <w:bCs/>
          <w:color w:val="000000"/>
          <w:szCs w:val="20"/>
          <w:lang w:val="fr-FR"/>
        </w:rPr>
        <w:t xml:space="preserve">Recommendation: </w:t>
      </w:r>
      <w:r w:rsidRPr="00B971B5">
        <w:rPr>
          <w:rFonts w:ascii="Times New Roman" w:hAnsi="Times New Roman" w:cs="Times New Roman"/>
          <w:color w:val="000000"/>
          <w:szCs w:val="20"/>
          <w:lang w:val="fr-FR"/>
        </w:rPr>
        <w:t>Approve modified PAR</w:t>
      </w:r>
    </w:p>
    <w:p w14:paraId="7BAA487D"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SA Board of Governors/Corporate Advisory Group</w:t>
      </w:r>
    </w:p>
    <w:p w14:paraId="4EABD274"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P2777</w:t>
      </w:r>
    </w:p>
    <w:p w14:paraId="30B58D79"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Recommended Practice for Operation of 300 MW to 600 MW Pulverized Coal Fired Boiler</w:t>
      </w:r>
    </w:p>
    <w:p w14:paraId="400132EC"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modified PAR</w:t>
      </w:r>
    </w:p>
    <w:p w14:paraId="090B6B05"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Vehicular Technology Society/Intelligent Transportation Systems</w:t>
      </w:r>
    </w:p>
    <w:p w14:paraId="161545C8"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P1609.3</w:t>
      </w:r>
    </w:p>
    <w:p w14:paraId="4922CE84"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Wireless Access in Vehicular Environments (WAVE) -- Networking Services</w:t>
      </w:r>
    </w:p>
    <w:p w14:paraId="57597505"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modified PAR</w:t>
      </w:r>
    </w:p>
    <w:p w14:paraId="1DEB1D35"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P2846</w:t>
      </w:r>
    </w:p>
    <w:p w14:paraId="5FCC2C4E"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Assumptions for Models in Safety-Related Automated Vehicle Behavior</w:t>
      </w:r>
    </w:p>
    <w:p w14:paraId="36CC9310"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modified PAR</w:t>
      </w:r>
    </w:p>
    <w:p w14:paraId="6132A7C6" w14:textId="77777777" w:rsidR="00B971B5" w:rsidRPr="00B971B5" w:rsidRDefault="00B971B5" w:rsidP="00192EEE">
      <w:pPr>
        <w:adjustRightInd w:val="0"/>
        <w:spacing w:after="0" w:line="240" w:lineRule="auto"/>
        <w:rPr>
          <w:rFonts w:ascii="Times New Roman" w:eastAsia="Verdana-Bold" w:hAnsi="Times New Roman" w:cs="Times New Roman"/>
          <w:b/>
          <w:bCs/>
          <w:color w:val="000000"/>
          <w:sz w:val="24"/>
          <w:szCs w:val="24"/>
        </w:rPr>
      </w:pPr>
      <w:r w:rsidRPr="00B971B5">
        <w:rPr>
          <w:rFonts w:ascii="Times New Roman" w:eastAsia="Verdana-Bold" w:hAnsi="Times New Roman" w:cs="Times New Roman"/>
          <w:b/>
          <w:bCs/>
          <w:color w:val="000000"/>
          <w:sz w:val="24"/>
          <w:szCs w:val="24"/>
        </w:rPr>
        <w:t>Extension Requests</w:t>
      </w:r>
    </w:p>
    <w:p w14:paraId="6F5B4466"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Antennas and Propagation Society/Antennas and Propagation Standards Committee</w:t>
      </w:r>
    </w:p>
    <w:p w14:paraId="1B5BE55C"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P149</w:t>
      </w:r>
    </w:p>
    <w:p w14:paraId="2F7AA7E8"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Recommended Practice for Antenna Measurements</w:t>
      </w:r>
    </w:p>
    <w:p w14:paraId="0F882C93"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request for an extension until December 2021</w:t>
      </w:r>
    </w:p>
    <w:p w14:paraId="7622CD34"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Communications Society/Green ICT Standards Committee</w:t>
      </w:r>
    </w:p>
    <w:p w14:paraId="302740DF"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P1922.1</w:t>
      </w:r>
    </w:p>
    <w:p w14:paraId="6CF083F3"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a Method for Calculating Anticipated Emissions Caused by Virtual Machine Migration and Placement</w:t>
      </w:r>
    </w:p>
    <w:p w14:paraId="6202F26B"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request for an extension until December 2022</w:t>
      </w:r>
    </w:p>
    <w:p w14:paraId="261AD780"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P1923.1</w:t>
      </w:r>
    </w:p>
    <w:p w14:paraId="6ECA212A"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Computation of Energy Efficiency Upper Bound for Apparatus Processing Communication Signal Waveforms</w:t>
      </w:r>
    </w:p>
    <w:p w14:paraId="5B673607"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request for an extension until December 2021</w:t>
      </w:r>
    </w:p>
    <w:p w14:paraId="2190886E"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P1924.1</w:t>
      </w:r>
    </w:p>
    <w:p w14:paraId="40CEAE4A"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Recommended Practice for Developing Energy Efficient Power-Proportional Digital Architectures</w:t>
      </w:r>
    </w:p>
    <w:p w14:paraId="54012DEA"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request for an extension until December 2022</w:t>
      </w:r>
    </w:p>
    <w:p w14:paraId="4C4B4C77"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P1925.1</w:t>
      </w:r>
    </w:p>
    <w:p w14:paraId="7FC13EA1"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Energy Efficient Dynamic Line Rate Transmission System</w:t>
      </w:r>
    </w:p>
    <w:p w14:paraId="338C98AE"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request for an extension until December 2022</w:t>
      </w:r>
    </w:p>
    <w:p w14:paraId="33CA1E28"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P1926.1</w:t>
      </w:r>
    </w:p>
    <w:p w14:paraId="6BF3C14A"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a Functional Architecture of Distributed Energy Efficient Big Data Processing</w:t>
      </w:r>
    </w:p>
    <w:p w14:paraId="014B2F25"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request for an extension until December 2022</w:t>
      </w:r>
    </w:p>
    <w:p w14:paraId="3C5C4A46"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P1927.1</w:t>
      </w:r>
    </w:p>
    <w:p w14:paraId="3B9A433C"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Services Provided by the Energy-efficient Orchestration and Management of Virtualized Distributed Data Centers Interconnected by a Virtualized Network</w:t>
      </w:r>
    </w:p>
    <w:p w14:paraId="28123801"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request for an extension until December 2022</w:t>
      </w:r>
    </w:p>
    <w:p w14:paraId="5DFB44B8"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P1928.1</w:t>
      </w:r>
    </w:p>
    <w:p w14:paraId="0B883631"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a Mechanism for Energy Efficient Virtual Machine Placement</w:t>
      </w:r>
    </w:p>
    <w:p w14:paraId="0393A622"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request for an extension until December 2022</w:t>
      </w:r>
    </w:p>
    <w:p w14:paraId="52591FE5"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P1929.1</w:t>
      </w:r>
    </w:p>
    <w:p w14:paraId="40298136"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lastRenderedPageBreak/>
        <w:t>An Architectural Framework for Energy Efficient Content Distribution</w:t>
      </w:r>
    </w:p>
    <w:p w14:paraId="134ED979"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request for an extension until December 2022</w:t>
      </w:r>
    </w:p>
    <w:p w14:paraId="52F9BD2A"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Communications Society/Mobile Communication Networks Standards Committee</w:t>
      </w:r>
    </w:p>
    <w:p w14:paraId="51DAD5AA"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P1918.1</w:t>
      </w:r>
    </w:p>
    <w:p w14:paraId="5343B9B1"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Tactile Internet: Application Scenarios, Definitions and Terminology, Architecture, Functions, and Technical Assumptions</w:t>
      </w:r>
    </w:p>
    <w:p w14:paraId="68379A75" w14:textId="77777777" w:rsidR="00B971B5" w:rsidRPr="00B971B5" w:rsidRDefault="00B971B5" w:rsidP="00192EEE">
      <w:pPr>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request for an extension until December 2022</w:t>
      </w:r>
    </w:p>
    <w:p w14:paraId="382D6E92"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P1918.1.1</w:t>
      </w:r>
    </w:p>
    <w:p w14:paraId="41F79860"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Haptic Codecs for the Tactile Internet</w:t>
      </w:r>
    </w:p>
    <w:p w14:paraId="529D83B3"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request for an extension until December 2022</w:t>
      </w:r>
    </w:p>
    <w:p w14:paraId="7FD24849"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P1920.1</w:t>
      </w:r>
    </w:p>
    <w:p w14:paraId="412C05B1"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Aerial Communications and Networking Standards</w:t>
      </w:r>
    </w:p>
    <w:p w14:paraId="50E323CD"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request for an extension until December 2022</w:t>
      </w:r>
    </w:p>
    <w:p w14:paraId="34E15AC5"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P1931.1</w:t>
      </w:r>
    </w:p>
    <w:p w14:paraId="4464159A"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for an Architectural Framework for Real-time Onsite Operations Facilitation (ROOF) for the Internet of Things</w:t>
      </w:r>
    </w:p>
    <w:p w14:paraId="4E9D8D36"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request for an extension until December 2022</w:t>
      </w:r>
    </w:p>
    <w:p w14:paraId="0D3F2969"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Computer Society/LAN/MAN Standards Committee</w:t>
      </w:r>
    </w:p>
    <w:p w14:paraId="4B245DFC"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P802.11ax</w:t>
      </w:r>
    </w:p>
    <w:p w14:paraId="4D367944"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for Information Technology -- Telecommunications and Information Exchange Between Systems Local and Metropolitan Area Networks -- Specific Requirements Part 11: Wireless LAN Medium Access Control (MAC) and Physical Layer (PHY) Specifications Amendment Enhancements for High Efficiency WLAN</w:t>
      </w:r>
    </w:p>
    <w:p w14:paraId="3DD7150C"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request for an extension until December 2021</w:t>
      </w:r>
    </w:p>
    <w:p w14:paraId="7F4F440C"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P802.11ba</w:t>
      </w:r>
    </w:p>
    <w:p w14:paraId="1EF286A2"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for Information Technology--Telecommunications and Information Exchange Between Systems Local and Metropolitan Area Networks--Specific Requirements Part 11: Wireless LAN Medium Access Control (MAC) and Physical Layer (PHY) Specifications Amendment: Wake-up Radio Operation</w:t>
      </w:r>
    </w:p>
    <w:p w14:paraId="5923BB82"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request for an extension until December 2021</w:t>
      </w:r>
    </w:p>
    <w:p w14:paraId="4ADD4F14"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P802.15.22.3</w:t>
      </w:r>
    </w:p>
    <w:p w14:paraId="272F9ED7"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for Spectrum Characterization and Occupancy Sensing</w:t>
      </w:r>
    </w:p>
    <w:p w14:paraId="68ED5926"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 xml:space="preserve">Defer request for an extension until the next </w:t>
      </w:r>
      <w:proofErr w:type="spellStart"/>
      <w:r w:rsidRPr="00B971B5">
        <w:rPr>
          <w:rFonts w:ascii="Times New Roman" w:eastAsia="Verdana-Bold" w:hAnsi="Times New Roman" w:cs="Times New Roman"/>
          <w:color w:val="000000"/>
          <w:szCs w:val="20"/>
        </w:rPr>
        <w:t>NesCom</w:t>
      </w:r>
      <w:proofErr w:type="spellEnd"/>
      <w:r w:rsidRPr="00B971B5">
        <w:rPr>
          <w:rFonts w:ascii="Times New Roman" w:eastAsia="Verdana-Bold" w:hAnsi="Times New Roman" w:cs="Times New Roman"/>
          <w:color w:val="000000"/>
          <w:szCs w:val="20"/>
        </w:rPr>
        <w:t xml:space="preserve"> meeting; based on whether</w:t>
      </w:r>
    </w:p>
    <w:p w14:paraId="7481E5BC"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proofErr w:type="spellStart"/>
      <w:r w:rsidRPr="00B971B5">
        <w:rPr>
          <w:rFonts w:ascii="Times New Roman" w:eastAsia="Verdana-Bold" w:hAnsi="Times New Roman" w:cs="Times New Roman"/>
          <w:color w:val="000000"/>
          <w:szCs w:val="20"/>
        </w:rPr>
        <w:t>RevCom</w:t>
      </w:r>
      <w:proofErr w:type="spellEnd"/>
      <w:r w:rsidRPr="00B971B5">
        <w:rPr>
          <w:rFonts w:ascii="Times New Roman" w:eastAsia="Verdana-Bold" w:hAnsi="Times New Roman" w:cs="Times New Roman"/>
          <w:color w:val="000000"/>
          <w:szCs w:val="20"/>
        </w:rPr>
        <w:t xml:space="preserve"> and the SASB do not approve the standard.</w:t>
      </w:r>
    </w:p>
    <w:p w14:paraId="365762D2"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Computer Society/Software &amp; Systems Engineering Standards Committee</w:t>
      </w:r>
    </w:p>
    <w:p w14:paraId="5176E024"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P7002</w:t>
      </w:r>
    </w:p>
    <w:p w14:paraId="5881945A"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Data Privacy Process</w:t>
      </w:r>
    </w:p>
    <w:p w14:paraId="7E252146"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request for an extension until December 2021</w:t>
      </w:r>
    </w:p>
    <w:p w14:paraId="717A7FCD"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P42010</w:t>
      </w:r>
    </w:p>
    <w:p w14:paraId="0385C19B"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for Systems and Software Engineering -- Architecture Description</w:t>
      </w:r>
    </w:p>
    <w:p w14:paraId="3D60FA9A"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request for an extension until December 2021</w:t>
      </w:r>
    </w:p>
    <w:p w14:paraId="4C7AAEA0"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Computer Society/Test Technology</w:t>
      </w:r>
    </w:p>
    <w:p w14:paraId="198A114F"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P1687.1</w:t>
      </w:r>
    </w:p>
    <w:p w14:paraId="60C6CDBA"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for the Application of Interfaces and Controllers to Access 1687 IJTAG Networks Embedded Within Semiconductor Devices</w:t>
      </w:r>
    </w:p>
    <w:p w14:paraId="45CF4418"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request for an extension until December 2022</w:t>
      </w:r>
    </w:p>
    <w:p w14:paraId="3B74194C"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Engineering in Medicine and Biology Society/IEEE 11073 Standards Committee</w:t>
      </w:r>
    </w:p>
    <w:p w14:paraId="6FFB4482"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P11073-10406</w:t>
      </w:r>
    </w:p>
    <w:p w14:paraId="15802F82"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Health Informatics -- Device Interoperability -- Part 10406: Personal Health Device Communication – Device Specialization--Basic Electrocardiograph (ECG) (1- to 3-lead ECG)</w:t>
      </w:r>
    </w:p>
    <w:p w14:paraId="71AB4080"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request for an extension until December 2022 (9 approve, 0 disapprove, 1</w:t>
      </w:r>
    </w:p>
    <w:p w14:paraId="51D66A22"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recuse [Zhong])</w:t>
      </w:r>
    </w:p>
    <w:p w14:paraId="29B2691A"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P11073-10471</w:t>
      </w:r>
    </w:p>
    <w:p w14:paraId="3C76E09D"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lastRenderedPageBreak/>
        <w:t>Health Informatics -- Device Interoperability -- Part 10471: Personal Health Device Communication – Device Specialization--Independent Living Activity Hub</w:t>
      </w:r>
    </w:p>
    <w:p w14:paraId="3793BC87"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request for an extension until December 2022 (9 approve, 0 disapprove, 1</w:t>
      </w:r>
    </w:p>
    <w:p w14:paraId="39B46A8C"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recuse [Zhong])</w:t>
      </w:r>
    </w:p>
    <w:p w14:paraId="59685F17"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Industry Applications Society/Industrial &amp; Commercial Power Systems Standards</w:t>
      </w:r>
    </w:p>
    <w:p w14:paraId="1414D438"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Development Committee</w:t>
      </w:r>
    </w:p>
    <w:p w14:paraId="7E1E1A2B"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P3001.9</w:t>
      </w:r>
    </w:p>
    <w:p w14:paraId="63DEDBCE"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Recommended Practice for the Design of Power Systems Supplying Lighting Systems in Commercial and Industrial Facilities</w:t>
      </w:r>
    </w:p>
    <w:p w14:paraId="77A35529"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request for an extension until December 2022 (5 approve, 2 disapprove [Fathy, Wei], 3 abstain [Kulick, Wang, Winston])</w:t>
      </w:r>
    </w:p>
    <w:p w14:paraId="5006F23D"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Instrumentation and Measurement Society/TC10 - Waveform Generation Measurement</w:t>
      </w:r>
    </w:p>
    <w:p w14:paraId="3588012D"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and Analysis</w:t>
      </w:r>
    </w:p>
    <w:p w14:paraId="3DA1EE38"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P1241</w:t>
      </w:r>
    </w:p>
    <w:p w14:paraId="083CB024"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for Terminology and Test Methods for Analog-to-Digital Converters</w:t>
      </w:r>
    </w:p>
    <w:p w14:paraId="1B3E07BB" w14:textId="77777777" w:rsidR="00B971B5" w:rsidRPr="00B971B5" w:rsidRDefault="00B971B5" w:rsidP="00192EEE">
      <w:pPr>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request for an extension until December 2022</w:t>
      </w:r>
    </w:p>
    <w:p w14:paraId="35BB62AE"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Power and Energy Society/Electric Machinery</w:t>
      </w:r>
    </w:p>
    <w:p w14:paraId="70C58D91"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P433</w:t>
      </w:r>
    </w:p>
    <w:p w14:paraId="65D4E424"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Recommended Practice for Insulation Testing of AC Electric Machinery with High Voltage Rating up to 30 kV at Very Low Frequency</w:t>
      </w:r>
    </w:p>
    <w:p w14:paraId="33412BA5"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request for an extension until December 2021</w:t>
      </w:r>
    </w:p>
    <w:p w14:paraId="6634285D"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P1812</w:t>
      </w:r>
    </w:p>
    <w:p w14:paraId="79FD664D"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Guide for Testing Permanent Magnet Machines</w:t>
      </w:r>
    </w:p>
    <w:p w14:paraId="094A951B"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request for an extension until December 2023</w:t>
      </w:r>
    </w:p>
    <w:p w14:paraId="0D46ED7A"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Power and Energy Society/Energy Development &amp; Power Generation</w:t>
      </w:r>
    </w:p>
    <w:p w14:paraId="75110B6D"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P666</w:t>
      </w:r>
    </w:p>
    <w:p w14:paraId="29F057F3"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Design Guide for Electric Power Service Systems for Generating Stations</w:t>
      </w:r>
    </w:p>
    <w:p w14:paraId="046AC8CB"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request for an extension until December 2022</w:t>
      </w:r>
    </w:p>
    <w:p w14:paraId="0FA5BA1D"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P1010</w:t>
      </w:r>
    </w:p>
    <w:p w14:paraId="63E19E02"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Guide for Control of Hydroelectric Power Plants</w:t>
      </w:r>
    </w:p>
    <w:p w14:paraId="6177AAC3"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request for an extension until December 2021</w:t>
      </w:r>
    </w:p>
    <w:p w14:paraId="46DED43B"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P1147</w:t>
      </w:r>
    </w:p>
    <w:p w14:paraId="6D80A9A8"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Guide for the Rehabilitation of Hydroelectric Power Plants</w:t>
      </w:r>
    </w:p>
    <w:p w14:paraId="7BF98425"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request for an extension until December 2022</w:t>
      </w:r>
    </w:p>
    <w:p w14:paraId="2E4F71DC"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Power and Energy Society/Energy Storage &amp; Stationary Battery Committee</w:t>
      </w:r>
    </w:p>
    <w:p w14:paraId="38CFC67C"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P1188</w:t>
      </w:r>
    </w:p>
    <w:p w14:paraId="15FE5A6B"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Recommended Practice for Maintenance, Testing, and Replacement of Valve-Regulated Lead-Acid (VRLA) Batteries for Stationary Applications</w:t>
      </w:r>
    </w:p>
    <w:p w14:paraId="59DF6667"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request for an extension until December 2022</w:t>
      </w:r>
    </w:p>
    <w:p w14:paraId="6A686BB6"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P2405</w:t>
      </w:r>
    </w:p>
    <w:p w14:paraId="42F90D58"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for the Design of Battery Chargers Used in Stationary Applications</w:t>
      </w:r>
    </w:p>
    <w:p w14:paraId="6781B5D8"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request for an extension until December 2022</w:t>
      </w:r>
    </w:p>
    <w:p w14:paraId="762A073E"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Power and Energy Society/Insulated Conductors</w:t>
      </w:r>
    </w:p>
    <w:p w14:paraId="4564C551"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P1407</w:t>
      </w:r>
    </w:p>
    <w:p w14:paraId="45F28E91"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Guide for Accelerated Aging Tests for 5 kV to 46 kV Extruded Electric Power Cables Using Water-Filled Tanks</w:t>
      </w:r>
    </w:p>
    <w:p w14:paraId="055417DD"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request for an extension until December 2021</w:t>
      </w:r>
    </w:p>
    <w:p w14:paraId="06241BD5"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P2417</w:t>
      </w:r>
    </w:p>
    <w:p w14:paraId="324C63BE"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Guide to Smoke, Fire and Explosions in Underground Electrical Structures</w:t>
      </w:r>
    </w:p>
    <w:p w14:paraId="379B2DB1"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request for an extension until December 2022</w:t>
      </w:r>
    </w:p>
    <w:p w14:paraId="5734A595"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P2740</w:t>
      </w:r>
    </w:p>
    <w:p w14:paraId="19C12D82"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Guide for the Selection and Installation of Electrical Cables and Cable Systems in Hazardous (Classified)</w:t>
      </w:r>
    </w:p>
    <w:p w14:paraId="22FB88AE"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lastRenderedPageBreak/>
        <w:t>Locations on Oil &amp; Gas Land Drilling Rigs</w:t>
      </w:r>
    </w:p>
    <w:p w14:paraId="26B73462"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request for an extension until December 2021</w:t>
      </w:r>
    </w:p>
    <w:p w14:paraId="5D615DC7"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Power and Energy Society/Nuclear Power Engineering</w:t>
      </w:r>
    </w:p>
    <w:p w14:paraId="7B5794C0"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P2411</w:t>
      </w:r>
    </w:p>
    <w:p w14:paraId="69F27472"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Human Factors Engineering Guide for the Validation of System Designs and Integrated Systems Operations at Nuclear Facilities</w:t>
      </w:r>
    </w:p>
    <w:p w14:paraId="156A2C6F"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request for an extension until December 2021</w:t>
      </w:r>
    </w:p>
    <w:p w14:paraId="25374AD5"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P2421</w:t>
      </w:r>
    </w:p>
    <w:p w14:paraId="553EA32C"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Guide for Designing and Developing Computer-Based Displays for Monitoring and Control of Nuclear Facilities</w:t>
      </w:r>
    </w:p>
    <w:p w14:paraId="5F06A7FF"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request for an extension until December 2022</w:t>
      </w:r>
    </w:p>
    <w:p w14:paraId="1D67D9C0"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Power and Energy Society/Power System Instrumentation and Measurements</w:t>
      </w:r>
    </w:p>
    <w:p w14:paraId="341954BF"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P1122</w:t>
      </w:r>
    </w:p>
    <w:p w14:paraId="4AD4ED7E"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for Digital Recorders for Measurements in High-Voltage and High-Current Impulse Tests</w:t>
      </w:r>
    </w:p>
    <w:p w14:paraId="65A7C6E6"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request for an extension until December 2022</w:t>
      </w:r>
    </w:p>
    <w:p w14:paraId="7086545F"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Power and Energy Society/Power System Relaying and Control</w:t>
      </w:r>
    </w:p>
    <w:p w14:paraId="6C5FB326"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P1613</w:t>
      </w:r>
    </w:p>
    <w:p w14:paraId="2E68B5B6"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for Environmental and Testing Requirements for Intelligent Electronic Devices (IEDs) Installed in Transmission and Distribution Facilities</w:t>
      </w:r>
    </w:p>
    <w:p w14:paraId="020FD92B"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request for an extension until December 2022</w:t>
      </w:r>
    </w:p>
    <w:p w14:paraId="350AF620"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PC37.2</w:t>
      </w:r>
    </w:p>
    <w:p w14:paraId="0091099D"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Electrical Power System Device Function Numbers, Acronyms, and Contact Designations</w:t>
      </w:r>
    </w:p>
    <w:p w14:paraId="572A8A4D"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request for an extension until December 2022</w:t>
      </w:r>
    </w:p>
    <w:p w14:paraId="160883A5"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PC37.242</w:t>
      </w:r>
    </w:p>
    <w:p w14:paraId="5FAEFD72" w14:textId="77777777" w:rsidR="00B971B5" w:rsidRPr="00B971B5" w:rsidRDefault="00B971B5" w:rsidP="00192EEE">
      <w:pPr>
        <w:wordWrap w:val="0"/>
        <w:jc w:val="both"/>
        <w:rPr>
          <w:rFonts w:ascii="Times New Roman" w:hAnsi="Times New Roman" w:cs="Times New Roman"/>
          <w:color w:val="000000"/>
          <w:szCs w:val="20"/>
        </w:rPr>
      </w:pPr>
      <w:r w:rsidRPr="00B971B5">
        <w:rPr>
          <w:rFonts w:ascii="Times New Roman" w:eastAsia="Verdana-Bold" w:hAnsi="Times New Roman" w:cs="Times New Roman"/>
          <w:color w:val="000000"/>
          <w:szCs w:val="20"/>
        </w:rPr>
        <w:t xml:space="preserve">Guide for Synchronization, Calibration, Testing, and Installation of Phasor Measurement Units (PMUs) for Power </w:t>
      </w:r>
      <w:r w:rsidRPr="00B971B5">
        <w:rPr>
          <w:rFonts w:ascii="Times New Roman" w:hAnsi="Times New Roman" w:cs="Times New Roman"/>
          <w:color w:val="000000"/>
          <w:szCs w:val="20"/>
        </w:rPr>
        <w:t>System Protection and Control</w:t>
      </w:r>
    </w:p>
    <w:p w14:paraId="573DFA92"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request for an extension until December 2021</w:t>
      </w:r>
    </w:p>
    <w:p w14:paraId="7FC28C0D"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Power and Energy Society/Surge Protective Devices/High Voltage</w:t>
      </w:r>
    </w:p>
    <w:p w14:paraId="6583C6D5"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PC62.22</w:t>
      </w:r>
    </w:p>
    <w:p w14:paraId="0B6FB9D1"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Guide for the Application of Metal-Oxide Surge Arresters for Alternating-Current Systems</w:t>
      </w:r>
    </w:p>
    <w:p w14:paraId="583831A2"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request for an extension until December 2022</w:t>
      </w:r>
    </w:p>
    <w:p w14:paraId="7ED50238"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PC62.82.2</w:t>
      </w:r>
    </w:p>
    <w:p w14:paraId="4CC30D89"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Guide for the Application of Insulation Coordination</w:t>
      </w:r>
    </w:p>
    <w:p w14:paraId="71EB2FE3"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request for an extension until December 2021</w:t>
      </w:r>
    </w:p>
    <w:p w14:paraId="6698FF9D"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Power and Energy Society/Surge Protective Devices/Low Voltage</w:t>
      </w:r>
    </w:p>
    <w:p w14:paraId="16931676"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PC62.42.2</w:t>
      </w:r>
    </w:p>
    <w:p w14:paraId="23D159FA"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Guide for the Application of Surge-Protective Components in Surge Protective Devices and Equipment Ports - Part 2 Metal-Oxide Varistors (MOVs)</w:t>
      </w:r>
    </w:p>
    <w:p w14:paraId="31758CA2"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request for an extension until December 2022</w:t>
      </w:r>
    </w:p>
    <w:p w14:paraId="05A10144"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PC62.220</w:t>
      </w:r>
    </w:p>
    <w:p w14:paraId="0CBA3C16"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Guide for the Application of Surge Protective Devices for the Smart Grid</w:t>
      </w:r>
    </w:p>
    <w:p w14:paraId="5F9FDC2D"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request for an extension until December 2022</w:t>
      </w:r>
    </w:p>
    <w:p w14:paraId="12CE8F6E"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Power and Energy Society/Switchgear</w:t>
      </w:r>
    </w:p>
    <w:p w14:paraId="196123B7"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P62271-37-013</w:t>
      </w:r>
    </w:p>
    <w:p w14:paraId="3EA3D229"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 xml:space="preserve">IEEE/IEC International Standard for High-Voltage Switchgear and </w:t>
      </w:r>
      <w:proofErr w:type="spellStart"/>
      <w:r w:rsidRPr="00B971B5">
        <w:rPr>
          <w:rFonts w:ascii="Times New Roman" w:hAnsi="Times New Roman" w:cs="Times New Roman"/>
          <w:color w:val="000000"/>
          <w:szCs w:val="20"/>
        </w:rPr>
        <w:t>Controlgear</w:t>
      </w:r>
      <w:proofErr w:type="spellEnd"/>
      <w:r w:rsidRPr="00B971B5">
        <w:rPr>
          <w:rFonts w:ascii="Times New Roman" w:hAnsi="Times New Roman" w:cs="Times New Roman"/>
          <w:color w:val="000000"/>
          <w:szCs w:val="20"/>
        </w:rPr>
        <w:t xml:space="preserve"> -- Part 37-013: Alternating- Current Generator Circuit-Breakers</w:t>
      </w:r>
    </w:p>
    <w:p w14:paraId="2DC24EF4"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request for an extension until December 2022</w:t>
      </w:r>
    </w:p>
    <w:p w14:paraId="125BBB3D"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Power and Energy Society/Transformers</w:t>
      </w:r>
    </w:p>
    <w:p w14:paraId="642AC968"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PC57.160</w:t>
      </w:r>
    </w:p>
    <w:p w14:paraId="587D881A"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Guide for the Electrical Measurement of Partial Discharges in High Voltage Bushings and Instrument Transformers</w:t>
      </w:r>
    </w:p>
    <w:p w14:paraId="62DB27CF"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request for an extension until December 2022</w:t>
      </w:r>
    </w:p>
    <w:p w14:paraId="0C930C4A"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PC57.164</w:t>
      </w:r>
    </w:p>
    <w:p w14:paraId="004B2F6E"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lastRenderedPageBreak/>
        <w:t>Guide for Establishing Short Circuit Withstand Capabilities of Liquid Immersed Power Transformers, Regulators, and Reactors</w:t>
      </w:r>
    </w:p>
    <w:p w14:paraId="5F673972"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request for an extension until December 2022</w:t>
      </w:r>
    </w:p>
    <w:p w14:paraId="1613A3E2"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Power and Energy Society/Transmission and Distribution</w:t>
      </w:r>
    </w:p>
    <w:p w14:paraId="0A82D252"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P516</w:t>
      </w:r>
    </w:p>
    <w:p w14:paraId="57CB56A0"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Guide for Maintenance Methods on Energized Power Lines</w:t>
      </w:r>
    </w:p>
    <w:p w14:paraId="2EC712DD"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request for an extension until December 2021</w:t>
      </w:r>
    </w:p>
    <w:p w14:paraId="262B80DA"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P1806</w:t>
      </w:r>
    </w:p>
    <w:p w14:paraId="6DFAF97E"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Guide for Reliability Based Placement of Overhead and Underground Switching and Overcurrent Protection Equipment Up to and Including 38 kV</w:t>
      </w:r>
    </w:p>
    <w:p w14:paraId="50424FDB"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request for an extension until December 2021</w:t>
      </w:r>
    </w:p>
    <w:p w14:paraId="1AFE72C8"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P1885</w:t>
      </w:r>
    </w:p>
    <w:p w14:paraId="2E861D8D"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Guide for Assessing, Measuring and Verifying Volt-Var Control Optimization on Distribution Systems</w:t>
      </w:r>
    </w:p>
    <w:p w14:paraId="6A287B38"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request for an extension until December 2021 (8 approve, 0 disapprove, 1</w:t>
      </w:r>
    </w:p>
    <w:p w14:paraId="2E0BFABF"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abstain [</w:t>
      </w:r>
      <w:proofErr w:type="spellStart"/>
      <w:r w:rsidRPr="00B971B5">
        <w:rPr>
          <w:rFonts w:ascii="Times New Roman" w:hAnsi="Times New Roman" w:cs="Times New Roman"/>
          <w:color w:val="000000"/>
          <w:szCs w:val="20"/>
        </w:rPr>
        <w:t>Hiertz</w:t>
      </w:r>
      <w:proofErr w:type="spellEnd"/>
      <w:r w:rsidRPr="00B971B5">
        <w:rPr>
          <w:rFonts w:ascii="Times New Roman" w:hAnsi="Times New Roman" w:cs="Times New Roman"/>
          <w:color w:val="000000"/>
          <w:szCs w:val="20"/>
        </w:rPr>
        <w:t>])</w:t>
      </w:r>
    </w:p>
    <w:p w14:paraId="1C9F3E57"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IEEE-SASB Coordinating Committees/SCC14 - Quantities, Units, and Letter Symbols</w:t>
      </w:r>
    </w:p>
    <w:p w14:paraId="242757FD"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P1541</w:t>
      </w:r>
    </w:p>
    <w:p w14:paraId="14674A39"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Prefixes for Binary Multiples</w:t>
      </w:r>
    </w:p>
    <w:p w14:paraId="599720DB"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request for an extension until December 2021</w:t>
      </w:r>
    </w:p>
    <w:p w14:paraId="15D45B96"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IEEE-SASB Coordinating Committees/SCC20 - Test and Diagnosis for Electronic Systems</w:t>
      </w:r>
    </w:p>
    <w:p w14:paraId="0ECA3DCC"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P1641</w:t>
      </w:r>
    </w:p>
    <w:p w14:paraId="7FB16657"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Signal and Test Definition</w:t>
      </w:r>
    </w:p>
    <w:p w14:paraId="53B01064"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request for an extension until December 2022</w:t>
      </w:r>
    </w:p>
    <w:p w14:paraId="24719EAD"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IEEE-SASB Coordinating Committees/SCC39 - International Committee on Electromagnetic</w:t>
      </w:r>
    </w:p>
    <w:p w14:paraId="35E11E3A"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Safety</w:t>
      </w:r>
    </w:p>
    <w:p w14:paraId="18516692"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P63195-1</w:t>
      </w:r>
    </w:p>
    <w:p w14:paraId="05D8BE2B"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Measurement procedure for the assessment of power density of human exposure to radio frequency fields from wireless devices operating in close proximity to the head and body - Frequency range of 6 GHz to 300 GHz</w:t>
      </w:r>
    </w:p>
    <w:p w14:paraId="670423E7"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request for an extension until December 2021</w:t>
      </w:r>
    </w:p>
    <w:p w14:paraId="24E23C2C" w14:textId="77777777" w:rsidR="00B971B5" w:rsidRPr="00B971B5" w:rsidRDefault="00B971B5" w:rsidP="00192EEE">
      <w:pPr>
        <w:adjustRightInd w:val="0"/>
        <w:spacing w:after="0" w:line="240" w:lineRule="auto"/>
        <w:rPr>
          <w:rFonts w:ascii="Times New Roman" w:eastAsia="Verdana-Bold" w:hAnsi="Times New Roman" w:cs="Times New Roman"/>
          <w:b/>
          <w:bCs/>
          <w:color w:val="000000"/>
          <w:sz w:val="24"/>
          <w:szCs w:val="24"/>
        </w:rPr>
      </w:pPr>
      <w:r w:rsidRPr="00B971B5">
        <w:rPr>
          <w:rFonts w:ascii="Times New Roman" w:eastAsia="Verdana-Bold" w:hAnsi="Times New Roman" w:cs="Times New Roman"/>
          <w:b/>
          <w:bCs/>
          <w:color w:val="000000"/>
          <w:sz w:val="24"/>
          <w:szCs w:val="24"/>
        </w:rPr>
        <w:t>New PARs</w:t>
      </w:r>
    </w:p>
    <w:p w14:paraId="162B2300"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Communications Society/Power Line Communications</w:t>
      </w:r>
    </w:p>
    <w:p w14:paraId="0FEA87A0"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P1901b</w:t>
      </w:r>
    </w:p>
    <w:p w14:paraId="3361C9AF" w14:textId="77777777" w:rsidR="00B971B5" w:rsidRPr="00B971B5" w:rsidRDefault="00B971B5" w:rsidP="00192EEE">
      <w:pPr>
        <w:wordWrap w:val="0"/>
        <w:jc w:val="both"/>
        <w:rPr>
          <w:rFonts w:ascii="Times New Roman" w:hAnsi="Times New Roman" w:cs="Times New Roman"/>
          <w:color w:val="000000"/>
          <w:szCs w:val="20"/>
        </w:rPr>
      </w:pPr>
      <w:r w:rsidRPr="00B971B5">
        <w:rPr>
          <w:rFonts w:ascii="Times New Roman" w:hAnsi="Times New Roman" w:cs="Times New Roman"/>
          <w:color w:val="000000"/>
          <w:szCs w:val="20"/>
        </w:rPr>
        <w:t>Standard for Broadband over Power Line Networks: Medium Access Control and Physical Layer Specifications Amendment: Enhancements for Authentication and Authorization</w:t>
      </w:r>
    </w:p>
    <w:p w14:paraId="49832021"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46747EDC"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Computer Society/Data Compression Standards Committee</w:t>
      </w:r>
    </w:p>
    <w:p w14:paraId="7E3394D6"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P2941</w:t>
      </w:r>
    </w:p>
    <w:p w14:paraId="1BE1CA8F"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Artificial Intelligence (AI) Model Representation, Compression, Distribution and Management</w:t>
      </w:r>
    </w:p>
    <w:p w14:paraId="40248A52"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 (6 approve, 0 disapprove, 4 abstain [Fathy,</w:t>
      </w:r>
    </w:p>
    <w:p w14:paraId="54DB325F" w14:textId="77777777" w:rsidR="00B971B5" w:rsidRPr="00B971B5" w:rsidRDefault="00B971B5" w:rsidP="00192EEE">
      <w:pPr>
        <w:adjustRightInd w:val="0"/>
        <w:spacing w:after="0" w:line="240" w:lineRule="auto"/>
        <w:rPr>
          <w:rFonts w:ascii="Times New Roman" w:hAnsi="Times New Roman" w:cs="Times New Roman"/>
          <w:color w:val="000000"/>
          <w:szCs w:val="20"/>
        </w:rPr>
      </w:pPr>
      <w:proofErr w:type="spellStart"/>
      <w:r w:rsidRPr="00B971B5">
        <w:rPr>
          <w:rFonts w:ascii="Times New Roman" w:hAnsi="Times New Roman" w:cs="Times New Roman"/>
          <w:color w:val="000000"/>
          <w:szCs w:val="20"/>
        </w:rPr>
        <w:t>Hiertz</w:t>
      </w:r>
      <w:proofErr w:type="spellEnd"/>
      <w:r w:rsidRPr="00B971B5">
        <w:rPr>
          <w:rFonts w:ascii="Times New Roman" w:hAnsi="Times New Roman" w:cs="Times New Roman"/>
          <w:color w:val="000000"/>
          <w:szCs w:val="20"/>
        </w:rPr>
        <w:t xml:space="preserve">, Lu, </w:t>
      </w:r>
      <w:proofErr w:type="spellStart"/>
      <w:r w:rsidRPr="00B971B5">
        <w:rPr>
          <w:rFonts w:ascii="Times New Roman" w:hAnsi="Times New Roman" w:cs="Times New Roman"/>
          <w:color w:val="000000"/>
          <w:szCs w:val="20"/>
        </w:rPr>
        <w:t>Niu</w:t>
      </w:r>
      <w:proofErr w:type="spellEnd"/>
      <w:r w:rsidRPr="00B971B5">
        <w:rPr>
          <w:rFonts w:ascii="Times New Roman" w:hAnsi="Times New Roman" w:cs="Times New Roman"/>
          <w:color w:val="000000"/>
          <w:szCs w:val="20"/>
        </w:rPr>
        <w:t>])</w:t>
      </w:r>
    </w:p>
    <w:p w14:paraId="78284465"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Computer Society/LAN/MAN Standards Committee</w:t>
      </w:r>
    </w:p>
    <w:p w14:paraId="3BD4C762"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P802.1ASdn</w:t>
      </w:r>
    </w:p>
    <w:p w14:paraId="6CF1DBA2"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Local and Metropolitan Area Networks - Timing and Synchronization for Time-Sensitive</w:t>
      </w:r>
    </w:p>
    <w:p w14:paraId="1583B84F"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Applications Amendment: YANG Data Model</w:t>
      </w:r>
    </w:p>
    <w:p w14:paraId="79427C3F"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06A57D05"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P802.11bf</w:t>
      </w:r>
    </w:p>
    <w:p w14:paraId="15B9CD4F"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lastRenderedPageBreak/>
        <w:t>Standard for Information Technology -- Telecommunications and Information Exchange Between Systems Local and Metropolitan Area Networks -- Specific Requirements - Part 11: Wireless LAN Medium Access Control (MAC) and Physical Layer (PHY) Specifications</w:t>
      </w:r>
    </w:p>
    <w:p w14:paraId="140614C9"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Amendment: Enhancements for Wireless Local Area Network (WLAN) Sensing</w:t>
      </w:r>
    </w:p>
    <w:p w14:paraId="485828A1"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791B7882"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P802.15.4-2020/Cor 2</w:t>
      </w:r>
    </w:p>
    <w:p w14:paraId="2DEB1321"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 xml:space="preserve">Standard for Low-Rate Wireless Networks - Corrigendum </w:t>
      </w:r>
      <w:proofErr w:type="gramStart"/>
      <w:r w:rsidRPr="00B971B5">
        <w:rPr>
          <w:rFonts w:ascii="Times New Roman" w:hAnsi="Times New Roman" w:cs="Times New Roman"/>
          <w:color w:val="000000"/>
          <w:szCs w:val="20"/>
        </w:rPr>
        <w:t>2:Correction</w:t>
      </w:r>
      <w:proofErr w:type="gramEnd"/>
      <w:r w:rsidRPr="00B971B5">
        <w:rPr>
          <w:rFonts w:ascii="Times New Roman" w:hAnsi="Times New Roman" w:cs="Times New Roman"/>
          <w:color w:val="000000"/>
          <w:szCs w:val="20"/>
        </w:rPr>
        <w:t xml:space="preserve"> of errors preventing backward</w:t>
      </w:r>
    </w:p>
    <w:p w14:paraId="2E49B53A"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compatibility</w:t>
      </w:r>
    </w:p>
    <w:p w14:paraId="5CBA3C8C"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6FB1B5D3"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P802.15.7a</w:t>
      </w:r>
    </w:p>
    <w:p w14:paraId="0F99603C"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Local and Metropolitan Area Networks - Part 15.7: Short-Range Optical Wireless Communication</w:t>
      </w:r>
    </w:p>
    <w:p w14:paraId="0A0D8596"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Amendment: Higher Speed, Longer Range Optical Camera Communication (OCC)</w:t>
      </w:r>
    </w:p>
    <w:p w14:paraId="43CA9047"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4D0DC3E4"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Computer Society/Learning Technology</w:t>
      </w:r>
    </w:p>
    <w:p w14:paraId="2420E256"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P2247.4</w:t>
      </w:r>
    </w:p>
    <w:p w14:paraId="1C97D549"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Recommended Practice for Ethically Aligned Design of Artificial Intelligence (AI) in Adaptive Instructional Systems</w:t>
      </w:r>
    </w:p>
    <w:p w14:paraId="07DE1569"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6DE7FFFC"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P2961</w:t>
      </w:r>
    </w:p>
    <w:p w14:paraId="78545224"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Guide for an Architectural Framework and Application for Collaborative Edge Computing</w:t>
      </w:r>
    </w:p>
    <w:p w14:paraId="55E028FC"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139139C5"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Computer Society/Smart Manufacturing Standards Committee</w:t>
      </w:r>
    </w:p>
    <w:p w14:paraId="4561F576"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P2806.1</w:t>
      </w:r>
    </w:p>
    <w:p w14:paraId="5A1280DD"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Connectivity Requirements of Digital Representation for Physical Objects in Factory Environments</w:t>
      </w:r>
    </w:p>
    <w:p w14:paraId="12E685B0"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30A37DE4"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P2934</w:t>
      </w:r>
    </w:p>
    <w:p w14:paraId="0B215C36"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Logistics Operation Process in a Smart Factory</w:t>
      </w:r>
    </w:p>
    <w:p w14:paraId="19DB48EE"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0C89869D"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P2959</w:t>
      </w:r>
    </w:p>
    <w:p w14:paraId="12FDF8B3"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Technical Requirements of Standard-Oriented Knowledge Graphs</w:t>
      </w:r>
    </w:p>
    <w:p w14:paraId="343A9F54"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47FF2B1D"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Computer Society/Software &amp; Systems Engineering Standards Committee</w:t>
      </w:r>
    </w:p>
    <w:p w14:paraId="2325C9F5"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P24748-6</w:t>
      </w:r>
    </w:p>
    <w:p w14:paraId="7BC18E59"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Systems and Software Engineering — Life Cycle Management — Part 6: Systems and Software Integration</w:t>
      </w:r>
    </w:p>
    <w:p w14:paraId="4B7EDE13"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5D1A4E8D"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Computer Society/Standards Activities Board</w:t>
      </w:r>
    </w:p>
    <w:p w14:paraId="55445448"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P2807.3</w:t>
      </w:r>
    </w:p>
    <w:p w14:paraId="39623EED"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Guide for Electric-Power-Oriented Knowledge Graph</w:t>
      </w:r>
    </w:p>
    <w:p w14:paraId="0914CBBD"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7DD8C9A1"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P2874</w:t>
      </w:r>
    </w:p>
    <w:p w14:paraId="00BC19A2"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Spatial Web Protocol, Architecture and Governance</w:t>
      </w:r>
    </w:p>
    <w:p w14:paraId="4B2FFDF2"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0B2DF932"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P2937</w:t>
      </w:r>
    </w:p>
    <w:p w14:paraId="7DBDAEA7"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Performance Benchmarking for AI Server Systems</w:t>
      </w:r>
    </w:p>
    <w:p w14:paraId="70E24569"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 (9 approve, 0 disapprove, 1 abstain [Lu])</w:t>
      </w:r>
    </w:p>
    <w:p w14:paraId="338DBA04" w14:textId="77777777" w:rsidR="00B971B5" w:rsidRPr="00B971B5" w:rsidRDefault="00B971B5" w:rsidP="00192EEE">
      <w:pPr>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P2946</w:t>
      </w:r>
    </w:p>
    <w:p w14:paraId="5F260271"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Guide for Electronic Sports (Esports) Integrity</w:t>
      </w:r>
    </w:p>
    <w:p w14:paraId="5038A4D5"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28185BEB"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P2947</w:t>
      </w:r>
    </w:p>
    <w:p w14:paraId="498B065C"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Guide for Broadcasting Electronic Sports (Esports) Events</w:t>
      </w:r>
    </w:p>
    <w:p w14:paraId="757FD5E7"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443E00FE"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lastRenderedPageBreak/>
        <w:t>P2948</w:t>
      </w:r>
    </w:p>
    <w:p w14:paraId="19B8F6B4"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Framework and Definitions for Cloud Gaming</w:t>
      </w:r>
    </w:p>
    <w:p w14:paraId="67DD167A"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27B44447"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P2949</w:t>
      </w:r>
    </w:p>
    <w:p w14:paraId="49AC183B"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Recommended Practice for the Evaluation of Cloud Gaming User Experiences</w:t>
      </w:r>
    </w:p>
    <w:p w14:paraId="6A2A715D"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794BE622"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P2957</w:t>
      </w:r>
    </w:p>
    <w:p w14:paraId="6FC88F06"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a Reference Architecture for Big Data Governance and Metadata Management</w:t>
      </w:r>
    </w:p>
    <w:p w14:paraId="7C23CFF0"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04ED26A6"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P2963</w:t>
      </w:r>
    </w:p>
    <w:p w14:paraId="18F0568B"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Data Formats for Smart Legal Contracts</w:t>
      </w:r>
    </w:p>
    <w:p w14:paraId="5734DABA"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21B7EF4F"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P3079.1</w:t>
      </w:r>
    </w:p>
    <w:p w14:paraId="28646618"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Motion to Photon (MTP) Latency in Virtual Environments</w:t>
      </w:r>
    </w:p>
    <w:p w14:paraId="2EAD69A2"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4DBA2732"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P3079.2</w:t>
      </w:r>
    </w:p>
    <w:p w14:paraId="797E7D9B"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Mixed Reality (MR) Standard Framework for Motion Learning</w:t>
      </w:r>
    </w:p>
    <w:p w14:paraId="04A5985A"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5FD25DAE"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Computer Society/Test Technology</w:t>
      </w:r>
    </w:p>
    <w:p w14:paraId="2460C3C4"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P2929</w:t>
      </w:r>
    </w:p>
    <w:p w14:paraId="2F42EABB"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System-level State Extraction for Functional Validation and Debug</w:t>
      </w:r>
    </w:p>
    <w:p w14:paraId="3533C813"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1E8F46F6"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Consumer Electronics Society/Smart Devices Standards Committee</w:t>
      </w:r>
    </w:p>
    <w:p w14:paraId="79A21ED6"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P2951</w:t>
      </w:r>
    </w:p>
    <w:p w14:paraId="5B85DEEB"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Technical Requirements and Evaluation Methods for Intelligent Levels of Smart Home Devices</w:t>
      </w:r>
    </w:p>
    <w:p w14:paraId="39C5BBDB"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71C49C45"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P2953</w:t>
      </w:r>
    </w:p>
    <w:p w14:paraId="1EABE97F"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Technical Requirements for Industrial Smart Terminal Devices</w:t>
      </w:r>
    </w:p>
    <w:p w14:paraId="44296C4D"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 xml:space="preserve">Defer new PAR until the next </w:t>
      </w:r>
      <w:proofErr w:type="spellStart"/>
      <w:r w:rsidRPr="00B971B5">
        <w:rPr>
          <w:rFonts w:ascii="Times New Roman" w:hAnsi="Times New Roman" w:cs="Times New Roman"/>
          <w:color w:val="000000"/>
          <w:szCs w:val="20"/>
        </w:rPr>
        <w:t>NesCom</w:t>
      </w:r>
      <w:proofErr w:type="spellEnd"/>
      <w:r w:rsidRPr="00B971B5">
        <w:rPr>
          <w:rFonts w:ascii="Times New Roman" w:hAnsi="Times New Roman" w:cs="Times New Roman"/>
          <w:color w:val="000000"/>
          <w:szCs w:val="20"/>
        </w:rPr>
        <w:t xml:space="preserve"> meeting to provide time for comments to be</w:t>
      </w:r>
    </w:p>
    <w:p w14:paraId="042CA489"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resolved. (6 approve, 0 disapprove, 4 abstain [Lu, Wang, Wei, Zhong])</w:t>
      </w:r>
    </w:p>
    <w:p w14:paraId="3FB0D816"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Consumer Electronics Society/Standards Committee</w:t>
      </w:r>
    </w:p>
    <w:p w14:paraId="7E5EA64B"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P2861.2</w:t>
      </w:r>
    </w:p>
    <w:p w14:paraId="101E9771"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Mobile Gaming Systems Integration Framework</w:t>
      </w:r>
    </w:p>
    <w:p w14:paraId="00A477D6"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4095FF8B"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P2861.3</w:t>
      </w:r>
    </w:p>
    <w:p w14:paraId="5579572E"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Haptic Interface Enhancement for Mobile Gaming</w:t>
      </w:r>
    </w:p>
    <w:p w14:paraId="2B12634B"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7B77F714"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P2952</w:t>
      </w:r>
    </w:p>
    <w:p w14:paraId="444EBB5E"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Secure Computing Based on Trusted Execution Environment</w:t>
      </w:r>
    </w:p>
    <w:p w14:paraId="1B76DDCB"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3A2763A7"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Consumer Electronics Society/Virtual Reality and Augmented Reality Standards Committee</w:t>
      </w:r>
    </w:p>
    <w:p w14:paraId="1426CC45"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P2048.101</w:t>
      </w:r>
    </w:p>
    <w:p w14:paraId="2F773B4C"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Augmented Reality on Mobile Devices: General Requirements for Software Framework,</w:t>
      </w:r>
    </w:p>
    <w:p w14:paraId="0C2AB059"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Components, and Integration</w:t>
      </w:r>
    </w:p>
    <w:p w14:paraId="5CBC02B9"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 (9 approve, 0 disapprove, 1 abstain [</w:t>
      </w:r>
      <w:proofErr w:type="spellStart"/>
      <w:r w:rsidRPr="00B971B5">
        <w:rPr>
          <w:rFonts w:ascii="Times New Roman" w:hAnsi="Times New Roman" w:cs="Times New Roman"/>
          <w:color w:val="000000"/>
          <w:szCs w:val="20"/>
        </w:rPr>
        <w:t>Hiertz</w:t>
      </w:r>
      <w:proofErr w:type="spellEnd"/>
      <w:r w:rsidRPr="00B971B5">
        <w:rPr>
          <w:rFonts w:ascii="Times New Roman" w:hAnsi="Times New Roman" w:cs="Times New Roman"/>
          <w:color w:val="000000"/>
          <w:szCs w:val="20"/>
        </w:rPr>
        <w:t>])</w:t>
      </w:r>
    </w:p>
    <w:p w14:paraId="33C15C7B"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Engineering in Medicine and Biology Society/IEEE 11073 Standards Committee</w:t>
      </w:r>
    </w:p>
    <w:p w14:paraId="1C05BC65"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P11073-20601a</w:t>
      </w:r>
    </w:p>
    <w:p w14:paraId="23191CC6"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Health Informatics -- Personal Health Device Communication - Part 20601: Application Profile – Optimized Exchange Protocol Amendment</w:t>
      </w:r>
    </w:p>
    <w:p w14:paraId="1571A69B"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 (9 approve, 0 disapprove, 1 recuse [Zhong])</w:t>
      </w:r>
    </w:p>
    <w:p w14:paraId="44115782"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Industry Applications Society/Industrial Power Conversion Systems Department</w:t>
      </w:r>
    </w:p>
    <w:p w14:paraId="6856EFD7"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lastRenderedPageBreak/>
        <w:t>P2943</w:t>
      </w:r>
    </w:p>
    <w:p w14:paraId="6A3BEE3C"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Energy Efficiency Test Methods for Three-Phase Variable Frequency Drive Systems</w:t>
      </w:r>
    </w:p>
    <w:p w14:paraId="182F598D" w14:textId="77777777" w:rsidR="00B971B5" w:rsidRPr="00B971B5" w:rsidRDefault="00B971B5" w:rsidP="00192EEE">
      <w:pPr>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6B8B4352"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P2964</w:t>
      </w:r>
    </w:p>
    <w:p w14:paraId="58A29D78"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for Datasheet Parameters and Tests for Integrated Gate Drivers</w:t>
      </w:r>
    </w:p>
    <w:p w14:paraId="717FE805"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new PAR until December 2024</w:t>
      </w:r>
    </w:p>
    <w:p w14:paraId="52F50971"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Industry Applications Society/Petroleum &amp; Chemical Industry</w:t>
      </w:r>
    </w:p>
    <w:p w14:paraId="1D78172F"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P80005-1a</w:t>
      </w:r>
    </w:p>
    <w:p w14:paraId="231E2577"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Utility Connections in Port -- Part 1: High Voltage Shore Connection (HVSC) Systems -- General Requirements</w:t>
      </w:r>
    </w:p>
    <w:p w14:paraId="56901355"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Amendment 1 to IEC/IEEE 80005-1 ED2</w:t>
      </w:r>
    </w:p>
    <w:p w14:paraId="70427A32"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new PAR until December 2024</w:t>
      </w:r>
    </w:p>
    <w:p w14:paraId="4156B398"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Instrumentation and Measurement Society/TC9 - Sensor Technology</w:t>
      </w:r>
    </w:p>
    <w:p w14:paraId="3634A98F"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P1588a</w:t>
      </w:r>
    </w:p>
    <w:p w14:paraId="1D599689"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for a Precision Clock Synchronization Protocol for Networked Measurement and Control Systems</w:t>
      </w:r>
    </w:p>
    <w:p w14:paraId="10F0D978"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Amendment: Enhancements for Best Master Clock Algorithm (BMCA) Mechanisms</w:t>
      </w:r>
    </w:p>
    <w:p w14:paraId="02D37FF4"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new PAR until December 2024</w:t>
      </w:r>
    </w:p>
    <w:p w14:paraId="06E05F54"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P1588b</w:t>
      </w:r>
    </w:p>
    <w:p w14:paraId="68B5C905"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for a Precision Clock Synchronization Protocol for Networked Measurement and Control Systems</w:t>
      </w:r>
    </w:p>
    <w:p w14:paraId="20EDBBCC"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Amendment: Addition of Precision Time Protocol (PTP) mapping for transport over Optical Transport Network</w:t>
      </w:r>
    </w:p>
    <w:p w14:paraId="5B4A3662"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(OTN)</w:t>
      </w:r>
    </w:p>
    <w:p w14:paraId="49152D0F"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new PAR until December 2024</w:t>
      </w:r>
    </w:p>
    <w:p w14:paraId="4C6E8206"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P1588c</w:t>
      </w:r>
    </w:p>
    <w:p w14:paraId="467EF765"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for a Precision Clock Synchronization Protocol for Networked Measurement and Control Systems</w:t>
      </w:r>
    </w:p>
    <w:p w14:paraId="0FE5C805"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Amendment: Clarification of Terminology</w:t>
      </w:r>
    </w:p>
    <w:p w14:paraId="7D37119F"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new PAR until December 2024</w:t>
      </w:r>
    </w:p>
    <w:p w14:paraId="44AC0E9A"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P1588d</w:t>
      </w:r>
    </w:p>
    <w:p w14:paraId="17B8FDF1"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for a Precision Clock Synchronization Protocol for Networked Measurement and Control Systems</w:t>
      </w:r>
    </w:p>
    <w:p w14:paraId="2EF2D1C8"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Amendment: Guidelines for selecting and operating a Key Management System</w:t>
      </w:r>
    </w:p>
    <w:p w14:paraId="3466A738"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new PAR until December 2024</w:t>
      </w:r>
    </w:p>
    <w:p w14:paraId="6129E6B5"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P1588e</w:t>
      </w:r>
    </w:p>
    <w:p w14:paraId="1F84A604"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for a Precision Clock Synchronization Protocol for Networked Measurement and Control Systems</w:t>
      </w:r>
    </w:p>
    <w:p w14:paraId="3EE1AF62"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Amendment: MIB and YANG Data Models</w:t>
      </w:r>
    </w:p>
    <w:p w14:paraId="73122AD3"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new PAR until December 2024</w:t>
      </w:r>
    </w:p>
    <w:p w14:paraId="1B01D3E5"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P1588f</w:t>
      </w:r>
    </w:p>
    <w:p w14:paraId="302AB9C1"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for a Precision Clock Synchronization Protocol for Networked Measurement and Control Systems</w:t>
      </w:r>
    </w:p>
    <w:p w14:paraId="7224F87A"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Amendment: Enhancements for latency and/or asymmetry calibration</w:t>
      </w:r>
    </w:p>
    <w:p w14:paraId="0F5D5895"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new PAR until December 2024</w:t>
      </w:r>
    </w:p>
    <w:p w14:paraId="0B1C1423"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Power and Energy Society/Analytic Methods for Power Systems</w:t>
      </w:r>
    </w:p>
    <w:p w14:paraId="4F3D4B8B"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P2882</w:t>
      </w:r>
    </w:p>
    <w:p w14:paraId="7D88029C"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Guide for Validation of Software Models of Renewable and Conventional Generators for Power System Studies</w:t>
      </w:r>
    </w:p>
    <w:p w14:paraId="65D9292F"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new PAR until December 2024</w:t>
      </w:r>
    </w:p>
    <w:p w14:paraId="570DDC7F"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Power and Energy Society/Energy Storage &amp; Stationary Battery Committee</w:t>
      </w:r>
    </w:p>
    <w:p w14:paraId="49D0C79B"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P2962</w:t>
      </w:r>
    </w:p>
    <w:p w14:paraId="69866C7C"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Recommended Practice for the Installation, Operation, Maintenance, Testing, and Replacement of Li-ion Batteries in Stationary Applications</w:t>
      </w:r>
    </w:p>
    <w:p w14:paraId="64FCAF74"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lastRenderedPageBreak/>
        <w:t xml:space="preserve">Recommendation: </w:t>
      </w:r>
      <w:r w:rsidRPr="00B971B5">
        <w:rPr>
          <w:rFonts w:ascii="Times New Roman" w:eastAsia="Verdana-Bold" w:hAnsi="Times New Roman" w:cs="Times New Roman"/>
          <w:color w:val="000000"/>
          <w:szCs w:val="20"/>
        </w:rPr>
        <w:t>Approve new PAR until December 2024</w:t>
      </w:r>
    </w:p>
    <w:p w14:paraId="4CE3F03F"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Power and Energy Society/Power System Instrumentation and Measurements</w:t>
      </w:r>
    </w:p>
    <w:p w14:paraId="5F848B6F"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P2960</w:t>
      </w:r>
    </w:p>
    <w:p w14:paraId="7AE60666"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Guide for Testing Equipment for Direct Current Electrical Energy Meters</w:t>
      </w:r>
    </w:p>
    <w:p w14:paraId="65907887"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new PAR until December 2024</w:t>
      </w:r>
    </w:p>
    <w:p w14:paraId="726CCE72"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Power and Energy Society/Surge Protective Devices/Low Voltage</w:t>
      </w:r>
    </w:p>
    <w:p w14:paraId="5338F1D6"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PC62.43.1a</w:t>
      </w:r>
    </w:p>
    <w:p w14:paraId="4AA2737C"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Guide for Surge Protectors and Surge Protective Circuits Used in Information and Communication Technology Circuits (ICT), Including Smart Grid--Part 1 Applications</w:t>
      </w:r>
    </w:p>
    <w:p w14:paraId="55354698"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Amendment: PC62.43.1™ Draft Guide for Surge Protectors and Surge Protective Circuits Used in Information and Communication Technology Circuits (ICT), Including Smart Grid—Part 1 Applications</w:t>
      </w:r>
    </w:p>
    <w:p w14:paraId="77E21A4B"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new PAR until December 2024</w:t>
      </w:r>
    </w:p>
    <w:p w14:paraId="3817B0B9"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Power and Energy Society/Switchgear</w:t>
      </w:r>
    </w:p>
    <w:p w14:paraId="7FE37E3F"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PC37.20.7-2017/Cor 1</w:t>
      </w:r>
    </w:p>
    <w:p w14:paraId="556F3D4F"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Guide for Testing Switchgear Rated Up to 52 kV for Internal Arcing Faults - Corrigendum 1: IEEE Guide for Testing Switchgear Rated Up to 52 kV for Internal Arcing Faults - Corrigendum 1</w:t>
      </w:r>
    </w:p>
    <w:p w14:paraId="278FD472"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new PAR until December 2024</w:t>
      </w:r>
    </w:p>
    <w:p w14:paraId="53D5DD99" w14:textId="77777777" w:rsidR="00B971B5" w:rsidRPr="00B971B5" w:rsidRDefault="00B971B5" w:rsidP="00192EEE">
      <w:pPr>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PC37.30.7</w:t>
      </w:r>
    </w:p>
    <w:p w14:paraId="4EA31BA9"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Requirements for High-Voltage Air Switches Rated Above 1000 Vdc</w:t>
      </w:r>
    </w:p>
    <w:p w14:paraId="6268FD81"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70D23944"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Power and Energy Society/Transmission and Distribution</w:t>
      </w:r>
    </w:p>
    <w:p w14:paraId="4BEBEC20"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P2030.13</w:t>
      </w:r>
    </w:p>
    <w:p w14:paraId="34CE5C5F"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Guide for Electric Transportation Fast Charging Station Management System Functional Specification</w:t>
      </w:r>
    </w:p>
    <w:p w14:paraId="6BBA6CB2"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69E8CDBD"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P2938</w:t>
      </w:r>
    </w:p>
    <w:p w14:paraId="2329CD37"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Guide for Economic Loss Evaluation of Sensitive Industrial Customers Caused by Voltage Sags</w:t>
      </w:r>
    </w:p>
    <w:p w14:paraId="15B26CA2"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78FE386C"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P2939</w:t>
      </w:r>
    </w:p>
    <w:p w14:paraId="4BC78291"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Guide for the Joint Use of Electric Power Transmission &amp; Distribution (T&amp;D) Facilities and Equipment</w:t>
      </w:r>
    </w:p>
    <w:p w14:paraId="3FE8CDEA"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613070A8"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P2954</w:t>
      </w:r>
    </w:p>
    <w:p w14:paraId="1A5ED764"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Recommended Practice for Overhead Transmission Line Design</w:t>
      </w:r>
    </w:p>
    <w:p w14:paraId="4379E28E"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35F54983"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Robotics and Automation Society/Standing Committee for Standards</w:t>
      </w:r>
    </w:p>
    <w:p w14:paraId="1E11FDF5"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P2940</w:t>
      </w:r>
    </w:p>
    <w:p w14:paraId="334871E7"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Measuring Robot Agility</w:t>
      </w:r>
    </w:p>
    <w:p w14:paraId="7D4672D9"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12B0D70F"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SA Board of Governors/Corporate Advisory Group</w:t>
      </w:r>
    </w:p>
    <w:p w14:paraId="25372767"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P2950</w:t>
      </w:r>
    </w:p>
    <w:p w14:paraId="4FEF62CC"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Electric Traction System for High Speed Electric Multiple Units (EMUs)</w:t>
      </w:r>
    </w:p>
    <w:p w14:paraId="2DAE17C8"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0AD32E2C"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P2956</w:t>
      </w:r>
    </w:p>
    <w:p w14:paraId="629F11A5"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Test Method for Surface Transfer Impedance of Shielded Power Cables and Connectors for Rail Vehicles</w:t>
      </w:r>
    </w:p>
    <w:p w14:paraId="0B74C19C"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193428E8"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Sensors Council/Standards Committee</w:t>
      </w:r>
    </w:p>
    <w:p w14:paraId="01121EB5"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P2520.1</w:t>
      </w:r>
    </w:p>
    <w:p w14:paraId="2F30B1BD"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Baseline Performance for Odor Analysis Devices and Systems</w:t>
      </w:r>
    </w:p>
    <w:p w14:paraId="7A1F6B09"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225A39A3"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P2520.2.1</w:t>
      </w:r>
    </w:p>
    <w:p w14:paraId="7A61D9BC"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Machine Olfaction Devices and Systems Used for General Outdoor Odor Monitoring</w:t>
      </w:r>
    </w:p>
    <w:p w14:paraId="16EAF1FE"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lastRenderedPageBreak/>
        <w:t xml:space="preserve">Recommendation: </w:t>
      </w:r>
      <w:r w:rsidRPr="00B971B5">
        <w:rPr>
          <w:rFonts w:ascii="Times New Roman" w:hAnsi="Times New Roman" w:cs="Times New Roman"/>
          <w:color w:val="000000"/>
          <w:szCs w:val="20"/>
        </w:rPr>
        <w:t>Approve new PAR until December 2024</w:t>
      </w:r>
    </w:p>
    <w:p w14:paraId="4E5257F1"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P2520.2.2</w:t>
      </w:r>
    </w:p>
    <w:p w14:paraId="48049B02"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Landfill Odor Monitoring Devices and Systems</w:t>
      </w:r>
    </w:p>
    <w:p w14:paraId="73BB6920"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77BCE2D0"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P2520.3.1</w:t>
      </w:r>
    </w:p>
    <w:p w14:paraId="24563EE0"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Machine Olfaction Devices and Systems Used in General Indoor Air Quality Monitoring</w:t>
      </w:r>
    </w:p>
    <w:p w14:paraId="1BB6CDDA"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4F03D9B2"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P2520.4.1</w:t>
      </w:r>
    </w:p>
    <w:p w14:paraId="61C34FAA"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Performance of Machine Olfaction Devices and Systems for Chemical Manufacture</w:t>
      </w:r>
    </w:p>
    <w:p w14:paraId="1CD409F9"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0D8F4770"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Vehicular Technology Society/Automated Vehicles Standards Committee</w:t>
      </w:r>
    </w:p>
    <w:p w14:paraId="4CB44D15"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P2936</w:t>
      </w:r>
    </w:p>
    <w:p w14:paraId="3BFDFDB7"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Test Methods of Automotive Lidar Performance</w:t>
      </w:r>
    </w:p>
    <w:p w14:paraId="19FB1C37"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51762F70"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IEEE-SASB Coordinating Committees/SCC39 - International Committee on Electromagnetic</w:t>
      </w:r>
    </w:p>
    <w:p w14:paraId="3E06C423"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Safety</w:t>
      </w:r>
    </w:p>
    <w:p w14:paraId="249F5480"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P62704-2a</w:t>
      </w:r>
    </w:p>
    <w:p w14:paraId="0F79678D"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Determining the Peak Spatial-Average Specific Absorption Rate (SAR) in the Human Body from Wireless Communications Devices, 30 MHz to 6 GHz -- Part 2: Specific Requirements for Finite Difference Time Domain (FDTD) Modelling of Exposure from Vehicle Mounted Antennas</w:t>
      </w:r>
    </w:p>
    <w:p w14:paraId="3F8656C7"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Amendment 1</w:t>
      </w:r>
    </w:p>
    <w:p w14:paraId="1FBBDFDE"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new PAR until December 2024</w:t>
      </w:r>
    </w:p>
    <w:p w14:paraId="05881DBF" w14:textId="77777777" w:rsidR="00B971B5" w:rsidRPr="00B971B5" w:rsidRDefault="00B971B5" w:rsidP="00192EEE">
      <w:pPr>
        <w:adjustRightInd w:val="0"/>
        <w:spacing w:after="0" w:line="240" w:lineRule="auto"/>
        <w:rPr>
          <w:rFonts w:ascii="Times New Roman" w:eastAsia="Verdana-Bold" w:hAnsi="Times New Roman" w:cs="Times New Roman"/>
          <w:b/>
          <w:bCs/>
          <w:color w:val="000000"/>
          <w:sz w:val="24"/>
          <w:szCs w:val="24"/>
        </w:rPr>
      </w:pPr>
      <w:r w:rsidRPr="00B971B5">
        <w:rPr>
          <w:rFonts w:ascii="Times New Roman" w:eastAsia="Verdana-Bold" w:hAnsi="Times New Roman" w:cs="Times New Roman"/>
          <w:b/>
          <w:bCs/>
          <w:color w:val="000000"/>
          <w:sz w:val="24"/>
          <w:szCs w:val="24"/>
        </w:rPr>
        <w:t>PARs for the Revision of Standards</w:t>
      </w:r>
    </w:p>
    <w:p w14:paraId="51E9D08C"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Communications Society/Standards Development Board</w:t>
      </w:r>
    </w:p>
    <w:p w14:paraId="11F2727D"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P269</w:t>
      </w:r>
    </w:p>
    <w:p w14:paraId="1D1EE0E8" w14:textId="77777777" w:rsidR="00B971B5" w:rsidRPr="00B971B5" w:rsidRDefault="00B971B5" w:rsidP="00192EEE">
      <w:pPr>
        <w:adjustRightInd w:val="0"/>
        <w:spacing w:after="0" w:line="240" w:lineRule="auto"/>
        <w:rPr>
          <w:rFonts w:ascii="Times New Roman" w:hAnsi="Times New Roman" w:cs="Times New Roman"/>
          <w:color w:val="000000"/>
          <w:szCs w:val="20"/>
        </w:rPr>
      </w:pPr>
      <w:r w:rsidRPr="00B971B5">
        <w:rPr>
          <w:rFonts w:ascii="Times New Roman" w:hAnsi="Times New Roman" w:cs="Times New Roman"/>
          <w:color w:val="000000"/>
          <w:szCs w:val="20"/>
        </w:rPr>
        <w:t>Standard for Evaluating Electroacoustic Performance of Communication Devices</w:t>
      </w:r>
    </w:p>
    <w:p w14:paraId="44A6E04D" w14:textId="77777777" w:rsidR="00B971B5" w:rsidRPr="00B971B5" w:rsidRDefault="00B971B5" w:rsidP="00192EEE">
      <w:pPr>
        <w:rPr>
          <w:rFonts w:ascii="Times New Roman"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hAnsi="Times New Roman" w:cs="Times New Roman"/>
          <w:color w:val="000000"/>
          <w:szCs w:val="20"/>
        </w:rPr>
        <w:t>Approve PAR for the revision of a standard until December 2024</w:t>
      </w:r>
    </w:p>
    <w:p w14:paraId="50F7B068"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Computer Society/LAN/MAN Standards Committee</w:t>
      </w:r>
    </w:p>
    <w:p w14:paraId="493755BB"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P802.3</w:t>
      </w:r>
    </w:p>
    <w:p w14:paraId="6AE0B981"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for Ethernet</w:t>
      </w:r>
    </w:p>
    <w:p w14:paraId="4A396A25"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PAR for the revision of a standard until December 2024</w:t>
      </w:r>
    </w:p>
    <w:p w14:paraId="17A9F705"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Computer Society/Microprocessor Standards Committee</w:t>
      </w:r>
    </w:p>
    <w:p w14:paraId="6E762BAB"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P1394</w:t>
      </w:r>
    </w:p>
    <w:p w14:paraId="46762972"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for a High-Performance Serial Bus</w:t>
      </w:r>
    </w:p>
    <w:p w14:paraId="3E20CAAA"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PAR for the revision of a standard until December 2024 (8 approve, 0</w:t>
      </w:r>
    </w:p>
    <w:p w14:paraId="0B0BA3D8"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 xml:space="preserve">disapprove, 2 abstain [Fathy, </w:t>
      </w:r>
      <w:proofErr w:type="spellStart"/>
      <w:r w:rsidRPr="00B971B5">
        <w:rPr>
          <w:rFonts w:ascii="Times New Roman" w:eastAsia="Verdana-Bold" w:hAnsi="Times New Roman" w:cs="Times New Roman"/>
          <w:color w:val="000000"/>
          <w:szCs w:val="20"/>
        </w:rPr>
        <w:t>Hiertz</w:t>
      </w:r>
      <w:proofErr w:type="spellEnd"/>
      <w:r w:rsidRPr="00B971B5">
        <w:rPr>
          <w:rFonts w:ascii="Times New Roman" w:eastAsia="Verdana-Bold" w:hAnsi="Times New Roman" w:cs="Times New Roman"/>
          <w:color w:val="000000"/>
          <w:szCs w:val="20"/>
        </w:rPr>
        <w:t>])</w:t>
      </w:r>
    </w:p>
    <w:p w14:paraId="58993EE7"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Computer Society/Software &amp; Systems Engineering Standards Committee</w:t>
      </w:r>
    </w:p>
    <w:p w14:paraId="0A0F0EEB"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P15288</w:t>
      </w:r>
    </w:p>
    <w:p w14:paraId="7EBC0F87"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Systems and Software engineering -- System Life Cycle Processes</w:t>
      </w:r>
    </w:p>
    <w:p w14:paraId="0FACBD29"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PAR for the revision of a standard until December 2024</w:t>
      </w:r>
    </w:p>
    <w:p w14:paraId="70E17EF8"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P23026</w:t>
      </w:r>
    </w:p>
    <w:p w14:paraId="15D0EF53"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 xml:space="preserve">Systems and Software Engineering -- </w:t>
      </w:r>
      <w:proofErr w:type="spellStart"/>
      <w:r w:rsidRPr="00B971B5">
        <w:rPr>
          <w:rFonts w:ascii="Times New Roman" w:eastAsia="Verdana-Bold" w:hAnsi="Times New Roman" w:cs="Times New Roman"/>
          <w:color w:val="000000"/>
          <w:szCs w:val="20"/>
        </w:rPr>
        <w:t>Engineering</w:t>
      </w:r>
      <w:proofErr w:type="spellEnd"/>
      <w:r w:rsidRPr="00B971B5">
        <w:rPr>
          <w:rFonts w:ascii="Times New Roman" w:eastAsia="Verdana-Bold" w:hAnsi="Times New Roman" w:cs="Times New Roman"/>
          <w:color w:val="000000"/>
          <w:szCs w:val="20"/>
        </w:rPr>
        <w:t xml:space="preserve"> and Management of Websites for Systems, Software, and Services Information</w:t>
      </w:r>
    </w:p>
    <w:p w14:paraId="0B7A071E"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PAR for the revision of a standard until December 2024</w:t>
      </w:r>
    </w:p>
    <w:p w14:paraId="636FB3B5"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P26531</w:t>
      </w:r>
    </w:p>
    <w:p w14:paraId="4F4E0E3B"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Systems and Software Engineering -- Content Management for Product Life Cycle, User, and Service</w:t>
      </w:r>
    </w:p>
    <w:p w14:paraId="0084C15C"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Management Documentation</w:t>
      </w:r>
    </w:p>
    <w:p w14:paraId="7FFA8451"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PAR for the revision of a standard until December 2024</w:t>
      </w:r>
    </w:p>
    <w:p w14:paraId="48B30379"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Computer Society/Test Technology</w:t>
      </w:r>
    </w:p>
    <w:p w14:paraId="16991B7E"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P1149.4</w:t>
      </w:r>
    </w:p>
    <w:p w14:paraId="0AC05EC8"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for a Mixed-Signal Test Bus</w:t>
      </w:r>
    </w:p>
    <w:p w14:paraId="1100E65E"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PAR for the revision of a standard until December 2024</w:t>
      </w:r>
    </w:p>
    <w:p w14:paraId="6A92511A"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P1581</w:t>
      </w:r>
    </w:p>
    <w:p w14:paraId="0A3E520D"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for Static Component Interconnection Test Protocol and Architecture</w:t>
      </w:r>
    </w:p>
    <w:p w14:paraId="13DE7D04"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lastRenderedPageBreak/>
        <w:t xml:space="preserve">Recommendation: </w:t>
      </w:r>
      <w:r w:rsidRPr="00B971B5">
        <w:rPr>
          <w:rFonts w:ascii="Times New Roman" w:eastAsia="Verdana-Bold" w:hAnsi="Times New Roman" w:cs="Times New Roman"/>
          <w:color w:val="000000"/>
          <w:szCs w:val="20"/>
        </w:rPr>
        <w:t>Approve PAR for the revision of a standard until December 2024</w:t>
      </w:r>
    </w:p>
    <w:p w14:paraId="596EB015"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Power and Energy Society/Insulated Conductors</w:t>
      </w:r>
    </w:p>
    <w:p w14:paraId="06660739"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P1300</w:t>
      </w:r>
    </w:p>
    <w:p w14:paraId="132FD746"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Guide for Cable Connections for Gas-Insulated Substations</w:t>
      </w:r>
    </w:p>
    <w:p w14:paraId="2D62496F"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PAR for the revision of a standard until December 2024</w:t>
      </w:r>
    </w:p>
    <w:p w14:paraId="2EA7F939"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P1493</w:t>
      </w:r>
    </w:p>
    <w:p w14:paraId="7D10C7A3"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Guide for the Evaluation of Solvents Used for Cleaning Electrical Cables and Accessories</w:t>
      </w:r>
    </w:p>
    <w:p w14:paraId="07C7A072"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PAR for the revision of a standard until December 2024</w:t>
      </w:r>
    </w:p>
    <w:p w14:paraId="1062DC01"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Power and Energy Society/Power System Relaying and Control</w:t>
      </w:r>
    </w:p>
    <w:p w14:paraId="3B9EDABF"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PC37.90.1</w:t>
      </w:r>
    </w:p>
    <w:p w14:paraId="583A96B2"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for Relays, Relay Systems, and Control Devices used for Protection and Control of Electric Power Apparatus-Surge Withstand Capability (SWC) and Electrical Fast Transient (EFT) Requirements and Tests</w:t>
      </w:r>
    </w:p>
    <w:p w14:paraId="5AB4052D"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PAR for the revision of a standard until December 2024</w:t>
      </w:r>
    </w:p>
    <w:p w14:paraId="4737795F"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PC37.90.3</w:t>
      </w:r>
    </w:p>
    <w:p w14:paraId="36380C2D"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Electrostatic Discharge Tests for Protective Relays</w:t>
      </w:r>
    </w:p>
    <w:p w14:paraId="1F37EBF2"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PAR for the revision of a standard until December 2024</w:t>
      </w:r>
    </w:p>
    <w:p w14:paraId="3F637556"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PC37.95</w:t>
      </w:r>
    </w:p>
    <w:p w14:paraId="65993696"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Guide for Protective Relaying of Utility-Consumer Interconnections</w:t>
      </w:r>
    </w:p>
    <w:p w14:paraId="41D00A3C"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 xml:space="preserve">Defer PAR for the revision of a standard until the next </w:t>
      </w:r>
      <w:proofErr w:type="spellStart"/>
      <w:r w:rsidRPr="00B971B5">
        <w:rPr>
          <w:rFonts w:ascii="Times New Roman" w:eastAsia="Verdana-Bold" w:hAnsi="Times New Roman" w:cs="Times New Roman"/>
          <w:color w:val="000000"/>
          <w:szCs w:val="20"/>
        </w:rPr>
        <w:t>NesCom</w:t>
      </w:r>
      <w:proofErr w:type="spellEnd"/>
      <w:r w:rsidRPr="00B971B5">
        <w:rPr>
          <w:rFonts w:ascii="Times New Roman" w:eastAsia="Verdana-Bold" w:hAnsi="Times New Roman" w:cs="Times New Roman"/>
          <w:color w:val="000000"/>
          <w:szCs w:val="20"/>
        </w:rPr>
        <w:t xml:space="preserve"> meeting based on lack</w:t>
      </w:r>
    </w:p>
    <w:p w14:paraId="65256F4B"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of replies by the Chair.</w:t>
      </w:r>
    </w:p>
    <w:p w14:paraId="682B85BB"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PC37.113</w:t>
      </w:r>
    </w:p>
    <w:p w14:paraId="68B64FF1"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Guide for Protective Relay Applications to Transmission Lines</w:t>
      </w:r>
    </w:p>
    <w:p w14:paraId="3525B7CE"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PAR for the revision of a standard until December 2024</w:t>
      </w:r>
    </w:p>
    <w:p w14:paraId="030918DB"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PC37.114</w:t>
      </w:r>
    </w:p>
    <w:p w14:paraId="0F0B33D2"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Guide for Determining Fault Location on AC Transmission and Distribution Lines</w:t>
      </w:r>
    </w:p>
    <w:p w14:paraId="3BCFC3DA"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PAR for the revision of a standard until December 2024</w:t>
      </w:r>
    </w:p>
    <w:p w14:paraId="2C995465"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Power and Energy Society/Switchgear</w:t>
      </w:r>
    </w:p>
    <w:p w14:paraId="11476423"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PC37.20.7</w:t>
      </w:r>
    </w:p>
    <w:p w14:paraId="7AD94417"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Guide for Testing Switchgear Rated Up to 52 kV for Internal Arcing Faults</w:t>
      </w:r>
    </w:p>
    <w:p w14:paraId="7C161B17"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PAR for the revision of a standard until December 2024</w:t>
      </w:r>
    </w:p>
    <w:p w14:paraId="771A418E"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PC37.23</w:t>
      </w:r>
    </w:p>
    <w:p w14:paraId="4551DCB2" w14:textId="77777777" w:rsidR="00B971B5" w:rsidRPr="00B971B5" w:rsidRDefault="00B971B5" w:rsidP="00192EEE">
      <w:pPr>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for Metal-Enclosed Bus</w:t>
      </w:r>
    </w:p>
    <w:p w14:paraId="708C7918"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 Power and Energy Society/Transmission and Distribution</w:t>
      </w:r>
    </w:p>
    <w:p w14:paraId="580E8527"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P1159.3</w:t>
      </w:r>
    </w:p>
    <w:p w14:paraId="401717B0"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Recommended Practice for Power Quality Data Interchange Format (PQDIF)</w:t>
      </w:r>
    </w:p>
    <w:p w14:paraId="50F491B4"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PAR for the revision of a standard until December 2024</w:t>
      </w:r>
    </w:p>
    <w:p w14:paraId="51868D44"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P1283</w:t>
      </w:r>
    </w:p>
    <w:p w14:paraId="31E6529B"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Guide for Determining the Effects of Elevated Temperature Operation on Conductors, Connectors, and Accessories</w:t>
      </w:r>
    </w:p>
    <w:p w14:paraId="6BFBC32C"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PAR for the revision of a standard until December 2024</w:t>
      </w:r>
    </w:p>
    <w:p w14:paraId="347B5809"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P1409</w:t>
      </w:r>
    </w:p>
    <w:p w14:paraId="7AED1E38"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Guide for Technology Methods for Power Quality Improvement in Electric Power Systems</w:t>
      </w:r>
    </w:p>
    <w:p w14:paraId="75AD3916"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PAR for the revision of a standard until December 2024</w:t>
      </w:r>
    </w:p>
    <w:p w14:paraId="1173ECD1"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IEEE-SASB Coordinating Committees/SCC39 - International Committee on Electromagnetic</w:t>
      </w:r>
    </w:p>
    <w:p w14:paraId="2750D017" w14:textId="77777777" w:rsidR="00B971B5" w:rsidRPr="00B971B5" w:rsidRDefault="00B971B5" w:rsidP="00192EEE">
      <w:pPr>
        <w:adjustRightInd w:val="0"/>
        <w:spacing w:after="0" w:line="240" w:lineRule="auto"/>
        <w:rPr>
          <w:rFonts w:ascii="Times New Roman" w:eastAsia="Verdana-Bold" w:hAnsi="Times New Roman" w:cs="Times New Roman"/>
          <w:b/>
          <w:bCs/>
          <w:color w:val="FF8100"/>
          <w:szCs w:val="20"/>
        </w:rPr>
      </w:pPr>
      <w:r w:rsidRPr="00B971B5">
        <w:rPr>
          <w:rFonts w:ascii="Times New Roman" w:eastAsia="Verdana-Bold" w:hAnsi="Times New Roman" w:cs="Times New Roman"/>
          <w:b/>
          <w:bCs/>
          <w:color w:val="FF8100"/>
          <w:szCs w:val="20"/>
        </w:rPr>
        <w:t>Safety</w:t>
      </w:r>
    </w:p>
    <w:p w14:paraId="624BC4BD" w14:textId="77777777" w:rsidR="00B971B5" w:rsidRPr="00B971B5" w:rsidRDefault="00B971B5" w:rsidP="00192EEE">
      <w:pPr>
        <w:adjustRightInd w:val="0"/>
        <w:spacing w:after="0" w:line="240" w:lineRule="auto"/>
        <w:rPr>
          <w:rFonts w:ascii="Times New Roman" w:eastAsia="Verdana-Bold" w:hAnsi="Times New Roman" w:cs="Times New Roman"/>
          <w:b/>
          <w:bCs/>
          <w:color w:val="0000FF"/>
          <w:szCs w:val="20"/>
        </w:rPr>
      </w:pPr>
      <w:r w:rsidRPr="00B971B5">
        <w:rPr>
          <w:rFonts w:ascii="Times New Roman" w:eastAsia="Verdana-Bold" w:hAnsi="Times New Roman" w:cs="Times New Roman"/>
          <w:b/>
          <w:bCs/>
          <w:color w:val="0000FF"/>
          <w:szCs w:val="20"/>
        </w:rPr>
        <w:t>P62704-1</w:t>
      </w:r>
    </w:p>
    <w:p w14:paraId="0FC78451"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Standard for Determining the Peak Spatial Average Specific Absorption Rate (SAR) in the Human Body from Wireless Communications Devices, 30 MHz to 6 GHz. Part 1: General Requirements for using the Finite</w:t>
      </w:r>
    </w:p>
    <w:p w14:paraId="742BE25A" w14:textId="77777777" w:rsidR="00B971B5" w:rsidRPr="00B971B5" w:rsidRDefault="00B971B5" w:rsidP="00192EEE">
      <w:pPr>
        <w:adjustRightInd w:val="0"/>
        <w:spacing w:after="0" w:line="240" w:lineRule="auto"/>
        <w:rPr>
          <w:rFonts w:ascii="Times New Roman" w:eastAsia="Verdana-Bold" w:hAnsi="Times New Roman" w:cs="Times New Roman"/>
          <w:color w:val="000000"/>
          <w:szCs w:val="20"/>
        </w:rPr>
      </w:pPr>
      <w:r w:rsidRPr="00B971B5">
        <w:rPr>
          <w:rFonts w:ascii="Times New Roman" w:eastAsia="Verdana-Bold" w:hAnsi="Times New Roman" w:cs="Times New Roman"/>
          <w:color w:val="000000"/>
          <w:szCs w:val="20"/>
        </w:rPr>
        <w:t>Difference Time Domain (FDTD) Method for SAR Calculations</w:t>
      </w:r>
    </w:p>
    <w:p w14:paraId="23F8451C" w14:textId="74C63FC4" w:rsidR="00BD30D6" w:rsidRPr="00B971B5" w:rsidRDefault="00B971B5">
      <w:pPr>
        <w:rPr>
          <w:rFonts w:ascii="Times New Roman" w:hAnsi="Times New Roman" w:cs="Times New Roman"/>
        </w:rPr>
      </w:pPr>
      <w:r w:rsidRPr="00B971B5">
        <w:rPr>
          <w:rFonts w:ascii="Times New Roman" w:eastAsia="Verdana-Bold" w:hAnsi="Times New Roman" w:cs="Times New Roman"/>
          <w:b/>
          <w:bCs/>
          <w:color w:val="000000"/>
          <w:szCs w:val="20"/>
        </w:rPr>
        <w:t xml:space="preserve">Recommendation: </w:t>
      </w:r>
      <w:r w:rsidRPr="00B971B5">
        <w:rPr>
          <w:rFonts w:ascii="Times New Roman" w:eastAsia="Verdana-Bold" w:hAnsi="Times New Roman" w:cs="Times New Roman"/>
          <w:color w:val="000000"/>
          <w:szCs w:val="20"/>
        </w:rPr>
        <w:t>Approve PAR for the revision of a standard until December 2024</w:t>
      </w:r>
    </w:p>
    <w:sectPr w:rsidR="00BD30D6" w:rsidRPr="00B971B5" w:rsidSect="00E77609">
      <w:headerReference w:type="defaul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942A0" w14:textId="77777777" w:rsidR="00560525" w:rsidRDefault="00560525" w:rsidP="008859FD">
      <w:pPr>
        <w:spacing w:after="0" w:line="240" w:lineRule="auto"/>
      </w:pPr>
      <w:r>
        <w:separator/>
      </w:r>
    </w:p>
  </w:endnote>
  <w:endnote w:type="continuationSeparator" w:id="0">
    <w:p w14:paraId="48167F24" w14:textId="77777777" w:rsidR="00560525" w:rsidRDefault="00560525"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Bold">
    <w:altName w:val="HancomEQN"/>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123EA" w14:textId="77777777" w:rsidR="00560525" w:rsidRDefault="00560525" w:rsidP="008859FD">
      <w:pPr>
        <w:spacing w:after="0" w:line="240" w:lineRule="auto"/>
      </w:pPr>
      <w:r>
        <w:separator/>
      </w:r>
    </w:p>
  </w:footnote>
  <w:footnote w:type="continuationSeparator" w:id="0">
    <w:p w14:paraId="4900C2D6" w14:textId="77777777" w:rsidR="00560525" w:rsidRDefault="00560525"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A6A0" w14:textId="6ED90F68" w:rsidR="00BC2A71" w:rsidRPr="006C6BB8" w:rsidRDefault="00BC2A71">
    <w:pPr>
      <w:pStyle w:val="a8"/>
      <w:rPr>
        <w:rFonts w:ascii="Times New Roman" w:eastAsia="바탕체" w:hAnsi="Times New Roman" w:cs="Times New Roman"/>
        <w:b/>
        <w:bCs/>
        <w:sz w:val="24"/>
        <w:szCs w:val="24"/>
      </w:rPr>
    </w:pPr>
    <w:r w:rsidRPr="001E6211">
      <w:rPr>
        <w:rFonts w:ascii="Times New Roman" w:eastAsia="바탕체" w:hAnsi="Times New Roman" w:cs="Times New Roman"/>
        <w:b/>
        <w:bCs/>
        <w:sz w:val="24"/>
        <w:szCs w:val="24"/>
      </w:rPr>
      <w:t>3079-</w:t>
    </w:r>
    <w:r w:rsidR="006C6BB8">
      <w:rPr>
        <w:rFonts w:ascii="Times New Roman" w:eastAsia="바탕체" w:hAnsi="Times New Roman" w:cs="Times New Roman"/>
        <w:b/>
        <w:bCs/>
        <w:sz w:val="24"/>
        <w:szCs w:val="24"/>
      </w:rPr>
      <w:t>20</w:t>
    </w:r>
    <w:r w:rsidRPr="001E6211">
      <w:rPr>
        <w:rFonts w:ascii="Times New Roman" w:eastAsia="바탕체" w:hAnsi="Times New Roman" w:cs="Times New Roman"/>
        <w:b/>
        <w:bCs/>
        <w:sz w:val="24"/>
        <w:szCs w:val="24"/>
      </w:rPr>
      <w:t>-00</w:t>
    </w:r>
    <w:r w:rsidR="00B971B5">
      <w:rPr>
        <w:rFonts w:ascii="Times New Roman" w:eastAsia="바탕체" w:hAnsi="Times New Roman" w:cs="Times New Roman" w:hint="eastAsia"/>
        <w:b/>
        <w:bCs/>
        <w:sz w:val="24"/>
        <w:szCs w:val="24"/>
      </w:rPr>
      <w:t>46</w:t>
    </w:r>
    <w:r w:rsidRPr="001E6211">
      <w:rPr>
        <w:rFonts w:ascii="Times New Roman" w:eastAsia="바탕체" w:hAnsi="Times New Roman" w:cs="Times New Roman"/>
        <w:b/>
        <w:bCs/>
        <w:sz w:val="24"/>
        <w:szCs w:val="24"/>
      </w:rPr>
      <w:t>-00-000</w:t>
    </w:r>
    <w:r w:rsidR="00FA4E63">
      <w:rPr>
        <w:rFonts w:ascii="Times New Roman" w:eastAsia="바탕체" w:hAnsi="Times New Roman" w:cs="Times New Roman"/>
        <w:b/>
        <w:bCs/>
        <w:sz w:val="24"/>
        <w:szCs w:val="24"/>
      </w:rPr>
      <w:t>0</w:t>
    </w:r>
    <w:r w:rsidR="00A03AF1" w:rsidRPr="006C6BB8">
      <w:rPr>
        <w:rFonts w:ascii="Times New Roman" w:eastAsia="바탕체" w:hAnsi="Times New Roman" w:cs="Times New Roman"/>
        <w:b/>
        <w:bCs/>
        <w:sz w:val="24"/>
        <w:szCs w:val="24"/>
      </w:rPr>
      <w:t>-</w:t>
    </w:r>
    <w:r w:rsidR="00B971B5" w:rsidRPr="00B971B5">
      <w:rPr>
        <w:rFonts w:ascii="Times New Roman" w:eastAsia="바탕체" w:hAnsi="Times New Roman" w:cs="Times New Roman"/>
        <w:b/>
        <w:bCs/>
        <w:sz w:val="24"/>
        <w:szCs w:val="24"/>
      </w:rPr>
      <w:t>2</w:t>
    </w:r>
    <w:r w:rsidR="00F042C2">
      <w:rPr>
        <w:rFonts w:ascii="Times New Roman" w:eastAsia="바탕체" w:hAnsi="Times New Roman" w:cs="Times New Roman" w:hint="eastAsia"/>
        <w:b/>
        <w:bCs/>
        <w:sz w:val="24"/>
        <w:szCs w:val="24"/>
      </w:rPr>
      <w:t>1</w:t>
    </w:r>
    <w:r w:rsidR="00B971B5" w:rsidRPr="00B971B5">
      <w:rPr>
        <w:rFonts w:ascii="Times New Roman" w:eastAsia="바탕체" w:hAnsi="Times New Roman" w:cs="Times New Roman"/>
        <w:b/>
        <w:bCs/>
        <w:sz w:val="24"/>
        <w:szCs w:val="24"/>
      </w:rPr>
      <w:t xml:space="preserve">-Sep_2020 IEEE-SA </w:t>
    </w:r>
    <w:proofErr w:type="spellStart"/>
    <w:r w:rsidR="00B971B5" w:rsidRPr="00B971B5">
      <w:rPr>
        <w:rFonts w:ascii="Times New Roman" w:eastAsia="바탕체" w:hAnsi="Times New Roman" w:cs="Times New Roman"/>
        <w:b/>
        <w:bCs/>
        <w:sz w:val="24"/>
        <w:szCs w:val="24"/>
      </w:rPr>
      <w:t>NesCom</w:t>
    </w:r>
    <w:proofErr w:type="spellEnd"/>
    <w:r w:rsidR="00B971B5" w:rsidRPr="00B971B5">
      <w:rPr>
        <w:rFonts w:ascii="Times New Roman" w:eastAsia="바탕체" w:hAnsi="Times New Roman" w:cs="Times New Roman"/>
        <w:b/>
        <w:bCs/>
        <w:sz w:val="24"/>
        <w:szCs w:val="24"/>
      </w:rPr>
      <w:t xml:space="preserve"> Recommendations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4F971BF"/>
    <w:multiLevelType w:val="multilevel"/>
    <w:tmpl w:val="1F7C42E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5"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BB1FF3"/>
    <w:multiLevelType w:val="multilevel"/>
    <w:tmpl w:val="B2F6318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6F62BDD"/>
    <w:multiLevelType w:val="multilevel"/>
    <w:tmpl w:val="DBEEDCE8"/>
    <w:lvl w:ilvl="0">
      <w:start w:val="1"/>
      <w:numFmt w:val="ganada"/>
      <w:suff w:val="space"/>
      <w:lvlText w:val="(%1)"/>
      <w:lvlJc w:val="left"/>
      <w:pPr>
        <w:ind w:left="0" w:firstLine="0"/>
      </w:p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0" w15:restartNumberingAfterBreak="0">
    <w:nsid w:val="59E14DCB"/>
    <w:multiLevelType w:val="multilevel"/>
    <w:tmpl w:val="6C1867E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6BF06B6"/>
    <w:multiLevelType w:val="multilevel"/>
    <w:tmpl w:val="6556131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4E833C0"/>
    <w:multiLevelType w:val="multilevel"/>
    <w:tmpl w:val="F290304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12"/>
  </w:num>
  <w:num w:numId="4">
    <w:abstractNumId w:val="10"/>
  </w:num>
  <w:num w:numId="5">
    <w:abstractNumId w:val="23"/>
  </w:num>
  <w:num w:numId="6">
    <w:abstractNumId w:val="0"/>
  </w:num>
  <w:num w:numId="7">
    <w:abstractNumId w:val="26"/>
  </w:num>
  <w:num w:numId="8">
    <w:abstractNumId w:val="13"/>
  </w:num>
  <w:num w:numId="9">
    <w:abstractNumId w:val="25"/>
  </w:num>
  <w:num w:numId="10">
    <w:abstractNumId w:val="15"/>
  </w:num>
  <w:num w:numId="11">
    <w:abstractNumId w:val="17"/>
  </w:num>
  <w:num w:numId="12">
    <w:abstractNumId w:val="19"/>
  </w:num>
  <w:num w:numId="13">
    <w:abstractNumId w:val="24"/>
  </w:num>
  <w:num w:numId="14">
    <w:abstractNumId w:val="8"/>
  </w:num>
  <w:num w:numId="15">
    <w:abstractNumId w:val="11"/>
  </w:num>
  <w:num w:numId="16">
    <w:abstractNumId w:val="4"/>
  </w:num>
  <w:num w:numId="17">
    <w:abstractNumId w:val="1"/>
  </w:num>
  <w:num w:numId="18">
    <w:abstractNumId w:val="9"/>
  </w:num>
  <w:num w:numId="19">
    <w:abstractNumId w:val="14"/>
  </w:num>
  <w:num w:numId="20">
    <w:abstractNumId w:val="6"/>
  </w:num>
  <w:num w:numId="21">
    <w:abstractNumId w:val="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23AC7"/>
    <w:rsid w:val="00036EAB"/>
    <w:rsid w:val="00042F5C"/>
    <w:rsid w:val="00047C89"/>
    <w:rsid w:val="000521A1"/>
    <w:rsid w:val="0005275B"/>
    <w:rsid w:val="00056080"/>
    <w:rsid w:val="00056F71"/>
    <w:rsid w:val="000631F1"/>
    <w:rsid w:val="00067D7D"/>
    <w:rsid w:val="00071F7E"/>
    <w:rsid w:val="000730FB"/>
    <w:rsid w:val="000746FB"/>
    <w:rsid w:val="00076C28"/>
    <w:rsid w:val="00093085"/>
    <w:rsid w:val="000A06DF"/>
    <w:rsid w:val="000A4E71"/>
    <w:rsid w:val="000A512C"/>
    <w:rsid w:val="000B406F"/>
    <w:rsid w:val="000B455E"/>
    <w:rsid w:val="000B7782"/>
    <w:rsid w:val="000C313C"/>
    <w:rsid w:val="000C652B"/>
    <w:rsid w:val="000C793D"/>
    <w:rsid w:val="000C7974"/>
    <w:rsid w:val="000D07AC"/>
    <w:rsid w:val="000D15F4"/>
    <w:rsid w:val="000D5CD6"/>
    <w:rsid w:val="000E5157"/>
    <w:rsid w:val="000F0474"/>
    <w:rsid w:val="00100B3A"/>
    <w:rsid w:val="001028CA"/>
    <w:rsid w:val="00111797"/>
    <w:rsid w:val="001117BD"/>
    <w:rsid w:val="00114D9A"/>
    <w:rsid w:val="00115816"/>
    <w:rsid w:val="00120F8E"/>
    <w:rsid w:val="0012240A"/>
    <w:rsid w:val="001226A5"/>
    <w:rsid w:val="0012416F"/>
    <w:rsid w:val="001365C2"/>
    <w:rsid w:val="001400B8"/>
    <w:rsid w:val="00141723"/>
    <w:rsid w:val="001419A8"/>
    <w:rsid w:val="00146525"/>
    <w:rsid w:val="001553F5"/>
    <w:rsid w:val="001565DA"/>
    <w:rsid w:val="001605C4"/>
    <w:rsid w:val="001629FA"/>
    <w:rsid w:val="00162FC9"/>
    <w:rsid w:val="00163211"/>
    <w:rsid w:val="00163637"/>
    <w:rsid w:val="0017180A"/>
    <w:rsid w:val="00176536"/>
    <w:rsid w:val="001809D8"/>
    <w:rsid w:val="00183638"/>
    <w:rsid w:val="001873F0"/>
    <w:rsid w:val="001963F8"/>
    <w:rsid w:val="001A2F06"/>
    <w:rsid w:val="001A79F0"/>
    <w:rsid w:val="001E6211"/>
    <w:rsid w:val="001F0BE4"/>
    <w:rsid w:val="0020448F"/>
    <w:rsid w:val="002068DE"/>
    <w:rsid w:val="002207C4"/>
    <w:rsid w:val="00226F50"/>
    <w:rsid w:val="0023056E"/>
    <w:rsid w:val="002320F9"/>
    <w:rsid w:val="0023436B"/>
    <w:rsid w:val="00237536"/>
    <w:rsid w:val="0024553B"/>
    <w:rsid w:val="0025346A"/>
    <w:rsid w:val="002678B6"/>
    <w:rsid w:val="002705FD"/>
    <w:rsid w:val="00270EBA"/>
    <w:rsid w:val="00272B15"/>
    <w:rsid w:val="002A12AE"/>
    <w:rsid w:val="002A5ECE"/>
    <w:rsid w:val="002A5F41"/>
    <w:rsid w:val="002A76AA"/>
    <w:rsid w:val="002B0800"/>
    <w:rsid w:val="002B5B5A"/>
    <w:rsid w:val="002D0FBB"/>
    <w:rsid w:val="002D763D"/>
    <w:rsid w:val="002E0420"/>
    <w:rsid w:val="002F0E43"/>
    <w:rsid w:val="002F1CD3"/>
    <w:rsid w:val="002F3BED"/>
    <w:rsid w:val="002F4DF4"/>
    <w:rsid w:val="00303B6C"/>
    <w:rsid w:val="003066F8"/>
    <w:rsid w:val="00317165"/>
    <w:rsid w:val="0032424E"/>
    <w:rsid w:val="00330ACF"/>
    <w:rsid w:val="00341DBD"/>
    <w:rsid w:val="00345D67"/>
    <w:rsid w:val="0034750F"/>
    <w:rsid w:val="00353E93"/>
    <w:rsid w:val="003551E7"/>
    <w:rsid w:val="00357CA7"/>
    <w:rsid w:val="00366D8B"/>
    <w:rsid w:val="00371C2A"/>
    <w:rsid w:val="00375A5D"/>
    <w:rsid w:val="00375EBB"/>
    <w:rsid w:val="003760E3"/>
    <w:rsid w:val="00380ED0"/>
    <w:rsid w:val="003843D8"/>
    <w:rsid w:val="003977B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6CE7"/>
    <w:rsid w:val="0043048C"/>
    <w:rsid w:val="00431726"/>
    <w:rsid w:val="0043186E"/>
    <w:rsid w:val="0043271F"/>
    <w:rsid w:val="004569CF"/>
    <w:rsid w:val="0046008D"/>
    <w:rsid w:val="00480168"/>
    <w:rsid w:val="004819DD"/>
    <w:rsid w:val="00482505"/>
    <w:rsid w:val="00491439"/>
    <w:rsid w:val="00495347"/>
    <w:rsid w:val="00497A78"/>
    <w:rsid w:val="004A48D7"/>
    <w:rsid w:val="004A541F"/>
    <w:rsid w:val="004B09AD"/>
    <w:rsid w:val="004C5E1C"/>
    <w:rsid w:val="004D4570"/>
    <w:rsid w:val="004D6179"/>
    <w:rsid w:val="004D69E9"/>
    <w:rsid w:val="004D7929"/>
    <w:rsid w:val="00502D01"/>
    <w:rsid w:val="00504FEC"/>
    <w:rsid w:val="00506C20"/>
    <w:rsid w:val="00511AB5"/>
    <w:rsid w:val="005126F0"/>
    <w:rsid w:val="005130CF"/>
    <w:rsid w:val="005307C7"/>
    <w:rsid w:val="00552ADE"/>
    <w:rsid w:val="00552DF8"/>
    <w:rsid w:val="005551D0"/>
    <w:rsid w:val="005576B9"/>
    <w:rsid w:val="00560525"/>
    <w:rsid w:val="00560FFB"/>
    <w:rsid w:val="005610DA"/>
    <w:rsid w:val="005650AE"/>
    <w:rsid w:val="00572DFC"/>
    <w:rsid w:val="00572F91"/>
    <w:rsid w:val="00573F7A"/>
    <w:rsid w:val="00574727"/>
    <w:rsid w:val="00577CCB"/>
    <w:rsid w:val="005813B5"/>
    <w:rsid w:val="00584F10"/>
    <w:rsid w:val="00592155"/>
    <w:rsid w:val="005947B1"/>
    <w:rsid w:val="005A0786"/>
    <w:rsid w:val="005B4BAC"/>
    <w:rsid w:val="005D52BB"/>
    <w:rsid w:val="005D6C10"/>
    <w:rsid w:val="005E173C"/>
    <w:rsid w:val="005F0140"/>
    <w:rsid w:val="005F5C63"/>
    <w:rsid w:val="006121B7"/>
    <w:rsid w:val="006133F1"/>
    <w:rsid w:val="00613459"/>
    <w:rsid w:val="006202CB"/>
    <w:rsid w:val="00626EE9"/>
    <w:rsid w:val="006421C2"/>
    <w:rsid w:val="006529AF"/>
    <w:rsid w:val="0065480F"/>
    <w:rsid w:val="00656975"/>
    <w:rsid w:val="0067471F"/>
    <w:rsid w:val="00683201"/>
    <w:rsid w:val="006840AB"/>
    <w:rsid w:val="00687CB3"/>
    <w:rsid w:val="00692F85"/>
    <w:rsid w:val="00696E05"/>
    <w:rsid w:val="006A0309"/>
    <w:rsid w:val="006B5F4B"/>
    <w:rsid w:val="006C1F9B"/>
    <w:rsid w:val="006C3EC4"/>
    <w:rsid w:val="006C6BB8"/>
    <w:rsid w:val="006C72F3"/>
    <w:rsid w:val="006D0E3E"/>
    <w:rsid w:val="006D2F95"/>
    <w:rsid w:val="006D4CAF"/>
    <w:rsid w:val="006D5E1B"/>
    <w:rsid w:val="006D739E"/>
    <w:rsid w:val="006E2452"/>
    <w:rsid w:val="006E358B"/>
    <w:rsid w:val="006E4D37"/>
    <w:rsid w:val="006F4CC3"/>
    <w:rsid w:val="00700621"/>
    <w:rsid w:val="00703174"/>
    <w:rsid w:val="00704B16"/>
    <w:rsid w:val="0071077C"/>
    <w:rsid w:val="007139C0"/>
    <w:rsid w:val="0071558A"/>
    <w:rsid w:val="00715E69"/>
    <w:rsid w:val="00717429"/>
    <w:rsid w:val="00723611"/>
    <w:rsid w:val="007244AE"/>
    <w:rsid w:val="00731C55"/>
    <w:rsid w:val="0073663A"/>
    <w:rsid w:val="007458BE"/>
    <w:rsid w:val="007518AF"/>
    <w:rsid w:val="00752628"/>
    <w:rsid w:val="007552A9"/>
    <w:rsid w:val="00757443"/>
    <w:rsid w:val="00770F9B"/>
    <w:rsid w:val="00775AAC"/>
    <w:rsid w:val="00781C54"/>
    <w:rsid w:val="007951B1"/>
    <w:rsid w:val="007A22F4"/>
    <w:rsid w:val="007A3DB5"/>
    <w:rsid w:val="007B1FA9"/>
    <w:rsid w:val="007B6413"/>
    <w:rsid w:val="007C174C"/>
    <w:rsid w:val="007C40FA"/>
    <w:rsid w:val="007C5469"/>
    <w:rsid w:val="007C645D"/>
    <w:rsid w:val="007D4001"/>
    <w:rsid w:val="007E378E"/>
    <w:rsid w:val="007E4EB4"/>
    <w:rsid w:val="007F18D4"/>
    <w:rsid w:val="00800C25"/>
    <w:rsid w:val="00805968"/>
    <w:rsid w:val="0081128F"/>
    <w:rsid w:val="00826B84"/>
    <w:rsid w:val="008325EF"/>
    <w:rsid w:val="0083283A"/>
    <w:rsid w:val="00864852"/>
    <w:rsid w:val="00871D31"/>
    <w:rsid w:val="00882B53"/>
    <w:rsid w:val="008859FD"/>
    <w:rsid w:val="00886687"/>
    <w:rsid w:val="0089034D"/>
    <w:rsid w:val="00890DD0"/>
    <w:rsid w:val="008B258A"/>
    <w:rsid w:val="008B26FA"/>
    <w:rsid w:val="008B56E9"/>
    <w:rsid w:val="008D1706"/>
    <w:rsid w:val="008D5ECE"/>
    <w:rsid w:val="008E3D82"/>
    <w:rsid w:val="008E43E8"/>
    <w:rsid w:val="008E76B5"/>
    <w:rsid w:val="008F39C5"/>
    <w:rsid w:val="009031CD"/>
    <w:rsid w:val="009050C3"/>
    <w:rsid w:val="00907E80"/>
    <w:rsid w:val="009123F4"/>
    <w:rsid w:val="009126C3"/>
    <w:rsid w:val="009247FD"/>
    <w:rsid w:val="00926C87"/>
    <w:rsid w:val="00932C2A"/>
    <w:rsid w:val="0095056E"/>
    <w:rsid w:val="00964C4A"/>
    <w:rsid w:val="009657DF"/>
    <w:rsid w:val="00965EE3"/>
    <w:rsid w:val="009663DD"/>
    <w:rsid w:val="00970C05"/>
    <w:rsid w:val="00971F21"/>
    <w:rsid w:val="00976EF5"/>
    <w:rsid w:val="009846DA"/>
    <w:rsid w:val="009947F1"/>
    <w:rsid w:val="009A4282"/>
    <w:rsid w:val="009A73ED"/>
    <w:rsid w:val="009B2DE9"/>
    <w:rsid w:val="009B40D1"/>
    <w:rsid w:val="009B6523"/>
    <w:rsid w:val="009B7714"/>
    <w:rsid w:val="009C5510"/>
    <w:rsid w:val="009D0883"/>
    <w:rsid w:val="009D4793"/>
    <w:rsid w:val="009E4E9B"/>
    <w:rsid w:val="009F40FE"/>
    <w:rsid w:val="00A03AF1"/>
    <w:rsid w:val="00A073BB"/>
    <w:rsid w:val="00A07950"/>
    <w:rsid w:val="00A11615"/>
    <w:rsid w:val="00A172C4"/>
    <w:rsid w:val="00A24E50"/>
    <w:rsid w:val="00A31EE6"/>
    <w:rsid w:val="00A41043"/>
    <w:rsid w:val="00A4526B"/>
    <w:rsid w:val="00A538D4"/>
    <w:rsid w:val="00A53918"/>
    <w:rsid w:val="00A60064"/>
    <w:rsid w:val="00A61AD1"/>
    <w:rsid w:val="00A74980"/>
    <w:rsid w:val="00A777F4"/>
    <w:rsid w:val="00A830B1"/>
    <w:rsid w:val="00A834A5"/>
    <w:rsid w:val="00A9682E"/>
    <w:rsid w:val="00A96B65"/>
    <w:rsid w:val="00A96F1B"/>
    <w:rsid w:val="00AA300D"/>
    <w:rsid w:val="00AA58BC"/>
    <w:rsid w:val="00AA5F06"/>
    <w:rsid w:val="00AB45A8"/>
    <w:rsid w:val="00AB465D"/>
    <w:rsid w:val="00AC39F8"/>
    <w:rsid w:val="00AD5C3D"/>
    <w:rsid w:val="00AE06A1"/>
    <w:rsid w:val="00AE0CA4"/>
    <w:rsid w:val="00AE3F78"/>
    <w:rsid w:val="00AE56E4"/>
    <w:rsid w:val="00AE7329"/>
    <w:rsid w:val="00AE7332"/>
    <w:rsid w:val="00AF3BB8"/>
    <w:rsid w:val="00B01890"/>
    <w:rsid w:val="00B07DF1"/>
    <w:rsid w:val="00B1216F"/>
    <w:rsid w:val="00B16F18"/>
    <w:rsid w:val="00B206CF"/>
    <w:rsid w:val="00B23172"/>
    <w:rsid w:val="00B2522F"/>
    <w:rsid w:val="00B264C7"/>
    <w:rsid w:val="00B31676"/>
    <w:rsid w:val="00B32CC9"/>
    <w:rsid w:val="00B3642B"/>
    <w:rsid w:val="00B44000"/>
    <w:rsid w:val="00B44280"/>
    <w:rsid w:val="00B46339"/>
    <w:rsid w:val="00B54FEA"/>
    <w:rsid w:val="00B56743"/>
    <w:rsid w:val="00B57902"/>
    <w:rsid w:val="00B63F6E"/>
    <w:rsid w:val="00B70EF7"/>
    <w:rsid w:val="00B71CE6"/>
    <w:rsid w:val="00B819D7"/>
    <w:rsid w:val="00B82691"/>
    <w:rsid w:val="00B83469"/>
    <w:rsid w:val="00B971B5"/>
    <w:rsid w:val="00BA1108"/>
    <w:rsid w:val="00BB1192"/>
    <w:rsid w:val="00BB1FE7"/>
    <w:rsid w:val="00BB2C41"/>
    <w:rsid w:val="00BB510A"/>
    <w:rsid w:val="00BC2017"/>
    <w:rsid w:val="00BC2A71"/>
    <w:rsid w:val="00BD0E07"/>
    <w:rsid w:val="00BD30D6"/>
    <w:rsid w:val="00BD48D1"/>
    <w:rsid w:val="00BE1B02"/>
    <w:rsid w:val="00BE2877"/>
    <w:rsid w:val="00BF289E"/>
    <w:rsid w:val="00C061EA"/>
    <w:rsid w:val="00C13D24"/>
    <w:rsid w:val="00C16B32"/>
    <w:rsid w:val="00C21AA2"/>
    <w:rsid w:val="00C33B75"/>
    <w:rsid w:val="00C448DF"/>
    <w:rsid w:val="00C627B8"/>
    <w:rsid w:val="00C671D9"/>
    <w:rsid w:val="00C721B7"/>
    <w:rsid w:val="00C75546"/>
    <w:rsid w:val="00C7592F"/>
    <w:rsid w:val="00C83A81"/>
    <w:rsid w:val="00C95C52"/>
    <w:rsid w:val="00C96B02"/>
    <w:rsid w:val="00CB6B54"/>
    <w:rsid w:val="00CC2BF6"/>
    <w:rsid w:val="00CC6D0A"/>
    <w:rsid w:val="00CD07C8"/>
    <w:rsid w:val="00CD3E2B"/>
    <w:rsid w:val="00CD4032"/>
    <w:rsid w:val="00CF0AB2"/>
    <w:rsid w:val="00CF1B88"/>
    <w:rsid w:val="00CF270B"/>
    <w:rsid w:val="00D13CEE"/>
    <w:rsid w:val="00D21778"/>
    <w:rsid w:val="00D21F1F"/>
    <w:rsid w:val="00D26FEF"/>
    <w:rsid w:val="00D36B56"/>
    <w:rsid w:val="00D40A49"/>
    <w:rsid w:val="00D4182D"/>
    <w:rsid w:val="00D426D4"/>
    <w:rsid w:val="00D42B20"/>
    <w:rsid w:val="00D517B5"/>
    <w:rsid w:val="00D54EE6"/>
    <w:rsid w:val="00D60A52"/>
    <w:rsid w:val="00D71C38"/>
    <w:rsid w:val="00D7210A"/>
    <w:rsid w:val="00D738D9"/>
    <w:rsid w:val="00D7579A"/>
    <w:rsid w:val="00D773E7"/>
    <w:rsid w:val="00D82123"/>
    <w:rsid w:val="00D832FB"/>
    <w:rsid w:val="00D90DE9"/>
    <w:rsid w:val="00D94DF9"/>
    <w:rsid w:val="00D965D1"/>
    <w:rsid w:val="00DB23DF"/>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41E2"/>
    <w:rsid w:val="00E62ACC"/>
    <w:rsid w:val="00E7014F"/>
    <w:rsid w:val="00E77609"/>
    <w:rsid w:val="00E82BBE"/>
    <w:rsid w:val="00E87742"/>
    <w:rsid w:val="00E96274"/>
    <w:rsid w:val="00EA0186"/>
    <w:rsid w:val="00EA48A9"/>
    <w:rsid w:val="00EA60BC"/>
    <w:rsid w:val="00EB1C73"/>
    <w:rsid w:val="00ED09FA"/>
    <w:rsid w:val="00ED2393"/>
    <w:rsid w:val="00ED55C1"/>
    <w:rsid w:val="00EE10CA"/>
    <w:rsid w:val="00EE1FF2"/>
    <w:rsid w:val="00EF07EA"/>
    <w:rsid w:val="00EF0BF0"/>
    <w:rsid w:val="00EF4A63"/>
    <w:rsid w:val="00EF6828"/>
    <w:rsid w:val="00F005A4"/>
    <w:rsid w:val="00F01366"/>
    <w:rsid w:val="00F042C2"/>
    <w:rsid w:val="00F1362C"/>
    <w:rsid w:val="00F26353"/>
    <w:rsid w:val="00F3032F"/>
    <w:rsid w:val="00F30438"/>
    <w:rsid w:val="00F314AD"/>
    <w:rsid w:val="00F71310"/>
    <w:rsid w:val="00F71571"/>
    <w:rsid w:val="00F931F9"/>
    <w:rsid w:val="00FA2F2D"/>
    <w:rsid w:val="00FA4E63"/>
    <w:rsid w:val="00FB2651"/>
    <w:rsid w:val="00FB304D"/>
    <w:rsid w:val="00FB6AAD"/>
    <w:rsid w:val="00FC4F09"/>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styleId="aa">
    <w:name w:val="Unresolved Mention"/>
    <w:basedOn w:val="a0"/>
    <w:uiPriority w:val="99"/>
    <w:semiHidden/>
    <w:unhideWhenUsed/>
    <w:rsid w:val="00DD499D"/>
    <w:rPr>
      <w:color w:val="605E5C"/>
      <w:shd w:val="clear" w:color="auto" w:fill="E1DFDD"/>
    </w:rPr>
  </w:style>
  <w:style w:type="paragraph" w:styleId="ab">
    <w:name w:val="endnote text"/>
    <w:basedOn w:val="a"/>
    <w:link w:val="Char2"/>
    <w:uiPriority w:val="99"/>
    <w:semiHidden/>
    <w:unhideWhenUsed/>
    <w:rsid w:val="00EA0186"/>
    <w:pPr>
      <w:snapToGrid w:val="0"/>
    </w:pPr>
  </w:style>
  <w:style w:type="character" w:customStyle="1" w:styleId="Char2">
    <w:name w:val="미주 텍스트 Char"/>
    <w:basedOn w:val="a0"/>
    <w:link w:val="ab"/>
    <w:uiPriority w:val="99"/>
    <w:semiHidden/>
    <w:rsid w:val="00EA0186"/>
  </w:style>
  <w:style w:type="character" w:styleId="ac">
    <w:name w:val="endnote reference"/>
    <w:basedOn w:val="a0"/>
    <w:uiPriority w:val="99"/>
    <w:semiHidden/>
    <w:unhideWhenUsed/>
    <w:rsid w:val="00EA0186"/>
    <w:rPr>
      <w:vertAlign w:val="superscript"/>
    </w:rPr>
  </w:style>
  <w:style w:type="paragraph" w:styleId="ad">
    <w:name w:val="footnote text"/>
    <w:basedOn w:val="a"/>
    <w:link w:val="Char3"/>
    <w:uiPriority w:val="99"/>
    <w:semiHidden/>
    <w:unhideWhenUsed/>
    <w:rsid w:val="004C5E1C"/>
    <w:pPr>
      <w:snapToGrid w:val="0"/>
    </w:pPr>
  </w:style>
  <w:style w:type="character" w:customStyle="1" w:styleId="Char3">
    <w:name w:val="각주 텍스트 Char"/>
    <w:basedOn w:val="a0"/>
    <w:link w:val="ad"/>
    <w:uiPriority w:val="99"/>
    <w:semiHidden/>
    <w:rsid w:val="004C5E1C"/>
  </w:style>
  <w:style w:type="character" w:styleId="ae">
    <w:name w:val="footnote reference"/>
    <w:basedOn w:val="a0"/>
    <w:uiPriority w:val="99"/>
    <w:semiHidden/>
    <w:unhideWhenUsed/>
    <w:rsid w:val="004C5E1C"/>
    <w:rPr>
      <w:vertAlign w:val="superscript"/>
    </w:rPr>
  </w:style>
  <w:style w:type="paragraph" w:styleId="af">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0">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1">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
    <w:name w:val="개요 1"/>
    <w:basedOn w:val="a"/>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2">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character" w:styleId="af3">
    <w:name w:val="annotation reference"/>
    <w:basedOn w:val="a0"/>
    <w:uiPriority w:val="99"/>
    <w:semiHidden/>
    <w:unhideWhenUsed/>
    <w:rsid w:val="001605C4"/>
    <w:rPr>
      <w:sz w:val="18"/>
      <w:szCs w:val="18"/>
    </w:rPr>
  </w:style>
  <w:style w:type="paragraph" w:styleId="af4">
    <w:name w:val="annotation text"/>
    <w:basedOn w:val="a"/>
    <w:link w:val="Char4"/>
    <w:uiPriority w:val="99"/>
    <w:semiHidden/>
    <w:unhideWhenUsed/>
    <w:rsid w:val="001605C4"/>
  </w:style>
  <w:style w:type="character" w:customStyle="1" w:styleId="Char4">
    <w:name w:val="메모 텍스트 Char"/>
    <w:basedOn w:val="a0"/>
    <w:link w:val="af4"/>
    <w:uiPriority w:val="99"/>
    <w:semiHidden/>
    <w:rsid w:val="001605C4"/>
  </w:style>
  <w:style w:type="paragraph" w:styleId="af5">
    <w:name w:val="annotation subject"/>
    <w:basedOn w:val="af4"/>
    <w:next w:val="af4"/>
    <w:link w:val="Char5"/>
    <w:uiPriority w:val="99"/>
    <w:semiHidden/>
    <w:unhideWhenUsed/>
    <w:rsid w:val="001605C4"/>
    <w:rPr>
      <w:b/>
      <w:bCs/>
    </w:rPr>
  </w:style>
  <w:style w:type="character" w:customStyle="1" w:styleId="Char5">
    <w:name w:val="메모 주제 Char"/>
    <w:basedOn w:val="Char4"/>
    <w:link w:val="af5"/>
    <w:uiPriority w:val="99"/>
    <w:semiHidden/>
    <w:rsid w:val="001605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llon.seo@dtcp.capital"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736CB-93B8-4D84-8129-1A274EFF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5020</Words>
  <Characters>28615</Characters>
  <Application>Microsoft Office Word</Application>
  <DocSecurity>0</DocSecurity>
  <Lines>238</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vuthea chheang</dc:creator>
  <cp:lastModifiedBy>동일 서</cp:lastModifiedBy>
  <cp:revision>6</cp:revision>
  <cp:lastPrinted>2018-07-09T07:10:00Z</cp:lastPrinted>
  <dcterms:created xsi:type="dcterms:W3CDTF">2020-10-11T09:57:00Z</dcterms:created>
  <dcterms:modified xsi:type="dcterms:W3CDTF">2020-10-13T08:18:00Z</dcterms:modified>
</cp:coreProperties>
</file>