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77777777" w:rsidR="008859FD" w:rsidRPr="001747DF" w:rsidRDefault="008859FD" w:rsidP="00BC2A71">
            <w:pPr>
              <w:pStyle w:val="covertext"/>
              <w:rPr>
                <w:b/>
              </w:rPr>
            </w:pPr>
            <w:r w:rsidRPr="00F56EC3">
              <w:rPr>
                <w:b/>
              </w:rPr>
              <w:t>HMD based 3D Content Motion Sickness Reducing Technology</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7E1DEA5C" w:rsidR="008859FD" w:rsidRPr="00E62ACC" w:rsidRDefault="00983F5E" w:rsidP="008859FD">
            <w:pPr>
              <w:pStyle w:val="covertext"/>
              <w:spacing w:line="276" w:lineRule="auto"/>
              <w:rPr>
                <w:rFonts w:eastAsia="바탕체"/>
                <w:b/>
                <w:bCs/>
              </w:rPr>
            </w:pPr>
            <w:r>
              <w:rPr>
                <w:rFonts w:eastAsia="바탕체" w:hint="eastAsia"/>
                <w:b/>
                <w:bCs/>
              </w:rPr>
              <w:t>Propose</w:t>
            </w:r>
            <w:r>
              <w:rPr>
                <w:rFonts w:eastAsia="바탕체"/>
                <w:b/>
                <w:bCs/>
              </w:rPr>
              <w:t xml:space="preserve"> </w:t>
            </w:r>
            <w:r>
              <w:rPr>
                <w:rFonts w:eastAsia="바탕체" w:hint="eastAsia"/>
                <w:b/>
                <w:bCs/>
              </w:rPr>
              <w:t>to</w:t>
            </w:r>
            <w:r>
              <w:rPr>
                <w:rFonts w:eastAsia="바탕체"/>
                <w:b/>
                <w:bCs/>
              </w:rPr>
              <w:t xml:space="preserve"> </w:t>
            </w:r>
            <w:r>
              <w:rPr>
                <w:rFonts w:eastAsia="바탕체" w:hint="eastAsia"/>
                <w:b/>
                <w:bCs/>
              </w:rPr>
              <w:t>new</w:t>
            </w:r>
            <w:r>
              <w:rPr>
                <w:rFonts w:eastAsia="바탕체"/>
                <w:b/>
                <w:bCs/>
              </w:rPr>
              <w:t xml:space="preserve"> </w:t>
            </w:r>
            <w:r>
              <w:rPr>
                <w:rFonts w:eastAsia="바탕체" w:hint="eastAsia"/>
                <w:b/>
                <w:bCs/>
              </w:rPr>
              <w:t>PAR</w:t>
            </w:r>
            <w:r>
              <w:rPr>
                <w:rFonts w:eastAsia="바탕체"/>
                <w:b/>
                <w:bCs/>
              </w:rPr>
              <w:t xml:space="preserve"> </w:t>
            </w:r>
            <w:r>
              <w:rPr>
                <w:rFonts w:eastAsia="바탕체" w:hint="eastAsia"/>
                <w:b/>
                <w:bCs/>
              </w:rPr>
              <w:t>of</w:t>
            </w:r>
            <w:r>
              <w:rPr>
                <w:rFonts w:eastAsia="바탕체"/>
                <w:b/>
                <w:bCs/>
              </w:rPr>
              <w:t xml:space="preserve"> </w:t>
            </w:r>
            <w:r>
              <w:rPr>
                <w:rFonts w:eastAsia="바탕체" w:hint="eastAsia"/>
                <w:b/>
                <w:bCs/>
              </w:rPr>
              <w:t>the</w:t>
            </w:r>
            <w:r>
              <w:rPr>
                <w:rFonts w:eastAsia="바탕체"/>
                <w:b/>
                <w:bCs/>
              </w:rPr>
              <w:t xml:space="preserve"> ‘</w:t>
            </w:r>
            <w:r w:rsidR="00561840" w:rsidRPr="00561840">
              <w:rPr>
                <w:rFonts w:eastAsia="바탕체"/>
                <w:b/>
                <w:bCs/>
              </w:rPr>
              <w:t>Mixed Reality Standard Framework for Motion Learning</w:t>
            </w:r>
            <w:r>
              <w:rPr>
                <w:rFonts w:eastAsia="바탕체"/>
                <w:b/>
                <w:bCs/>
              </w:rPr>
              <w:t>’</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19E38E9F" w:rsidR="008859FD" w:rsidRPr="00AD4D1B" w:rsidRDefault="008859FD" w:rsidP="001E6211">
            <w:pPr>
              <w:pStyle w:val="covertext"/>
              <w:spacing w:line="276" w:lineRule="auto"/>
              <w:rPr>
                <w:b/>
              </w:rPr>
            </w:pPr>
            <w:r>
              <w:rPr>
                <w:b/>
              </w:rPr>
              <w:t>3079-</w:t>
            </w:r>
            <w:r w:rsidR="00983F5E">
              <w:rPr>
                <w:rFonts w:hint="eastAsia"/>
                <w:b/>
              </w:rPr>
              <w:t>20</w:t>
            </w:r>
            <w:r>
              <w:rPr>
                <w:b/>
              </w:rPr>
              <w:t>-00</w:t>
            </w:r>
            <w:r w:rsidR="00983F5E">
              <w:rPr>
                <w:rFonts w:hint="eastAsia"/>
                <w:b/>
              </w:rPr>
              <w:t>0</w:t>
            </w:r>
            <w:r w:rsidR="00561840">
              <w:rPr>
                <w:rFonts w:hint="eastAsia"/>
                <w:b/>
              </w:rPr>
              <w:t>4</w:t>
            </w:r>
            <w:r>
              <w:rPr>
                <w:b/>
              </w:rPr>
              <w:t>-00-000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55DBE17D" w:rsidR="008859FD" w:rsidRPr="00AD4D1B" w:rsidRDefault="00983F5E" w:rsidP="001E6211">
            <w:pPr>
              <w:pStyle w:val="covertext"/>
              <w:spacing w:line="276" w:lineRule="auto"/>
              <w:rPr>
                <w:b/>
              </w:rPr>
            </w:pPr>
            <w:r>
              <w:rPr>
                <w:rFonts w:hint="eastAsia"/>
                <w:b/>
              </w:rPr>
              <w:t>February</w:t>
            </w:r>
            <w:r w:rsidR="008859FD" w:rsidRPr="00AD4D1B">
              <w:rPr>
                <w:b/>
                <w:lang w:eastAsia="ja-JP"/>
              </w:rPr>
              <w:t xml:space="preserve"> </w:t>
            </w:r>
            <w:r>
              <w:rPr>
                <w:rFonts w:hint="eastAsia"/>
                <w:b/>
              </w:rPr>
              <w:t>2</w:t>
            </w:r>
            <w:r w:rsidR="008859FD">
              <w:rPr>
                <w:b/>
                <w:lang w:eastAsia="ja-JP"/>
              </w:rPr>
              <w:t>, 20</w:t>
            </w:r>
            <w:r>
              <w:rPr>
                <w:rFonts w:hint="eastAsia"/>
                <w:b/>
              </w:rPr>
              <w:t>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159BFBC5" w14:textId="1877C245" w:rsidR="008859FD" w:rsidRPr="00AD4D1B" w:rsidRDefault="00E44A7D" w:rsidP="00BC2A71">
            <w:pPr>
              <w:pStyle w:val="covertext"/>
              <w:spacing w:line="276" w:lineRule="auto"/>
              <w:rPr>
                <w:b/>
                <w:bCs/>
                <w:lang w:val="es-MX" w:eastAsia="ja-JP"/>
              </w:rPr>
            </w:pPr>
            <w:r>
              <w:rPr>
                <w:rFonts w:hint="eastAsia"/>
                <w:b/>
                <w:bCs/>
                <w:lang w:val="es-MX"/>
              </w:rPr>
              <w:t>Jeong</w:t>
            </w:r>
            <w:r w:rsidR="00983F5E">
              <w:rPr>
                <w:rFonts w:hint="eastAsia"/>
                <w:b/>
                <w:bCs/>
                <w:lang w:val="es-MX"/>
              </w:rPr>
              <w:t>,</w:t>
            </w:r>
            <w:r w:rsidR="00983F5E">
              <w:rPr>
                <w:b/>
                <w:bCs/>
                <w:lang w:val="es-MX"/>
              </w:rPr>
              <w:t xml:space="preserve"> </w:t>
            </w:r>
            <w:r>
              <w:rPr>
                <w:rFonts w:hint="eastAsia"/>
                <w:b/>
                <w:bCs/>
                <w:lang w:val="es-MX"/>
              </w:rPr>
              <w:t>Sangkwon</w:t>
            </w:r>
            <w:r>
              <w:rPr>
                <w:b/>
                <w:bCs/>
                <w:lang w:val="es-MX"/>
              </w:rPr>
              <w:t xml:space="preserve"> </w:t>
            </w:r>
            <w:r>
              <w:rPr>
                <w:rFonts w:hint="eastAsia"/>
                <w:b/>
                <w:bCs/>
                <w:lang w:val="es-MX"/>
              </w:rPr>
              <w:t>Peter</w:t>
            </w:r>
            <w:r w:rsidR="008859FD" w:rsidRPr="00983F5E">
              <w:rPr>
                <w:lang w:val="de-DE"/>
              </w:rPr>
              <w:t xml:space="preserve"> </w:t>
            </w:r>
            <w:r w:rsidR="00983F5E" w:rsidRPr="00983F5E">
              <w:rPr>
                <w:rFonts w:ascii="Helvetica" w:hAnsi="Helvetica" w:cs="Helvetica"/>
                <w:color w:val="222222"/>
                <w:sz w:val="21"/>
                <w:szCs w:val="21"/>
                <w:shd w:val="clear" w:color="auto" w:fill="FFFFFF"/>
                <w:lang w:val="de-DE"/>
              </w:rPr>
              <w:t xml:space="preserve"> </w:t>
            </w:r>
            <w:hyperlink r:id="rId9" w:history="1">
              <w:r w:rsidRPr="007E02F2">
                <w:rPr>
                  <w:rStyle w:val="a7"/>
                  <w:rFonts w:ascii="Helvetica" w:hAnsi="Helvetica" w:cs="Helvetica"/>
                  <w:sz w:val="21"/>
                  <w:szCs w:val="21"/>
                  <w:shd w:val="clear" w:color="auto" w:fill="FFFFFF"/>
                  <w:lang w:val="de-DE"/>
                </w:rPr>
                <w:t>ceo@joyfun.kr</w:t>
              </w:r>
            </w:hyperlink>
            <w:r w:rsidR="00983F5E" w:rsidRPr="00983F5E">
              <w:rPr>
                <w:rFonts w:ascii="Helvetica" w:hAnsi="Helvetica" w:cs="Helvetica"/>
                <w:color w:val="222222"/>
                <w:sz w:val="21"/>
                <w:szCs w:val="21"/>
                <w:shd w:val="clear" w:color="auto" w:fill="FFFFFF"/>
                <w:lang w:val="de-DE"/>
              </w:rPr>
              <w:t xml:space="preserve"> </w:t>
            </w:r>
            <w:r w:rsidR="008859FD">
              <w:rPr>
                <w:b/>
                <w:bCs/>
                <w:lang w:val="es-MX" w:eastAsia="ja-JP"/>
              </w:rPr>
              <w:t>(</w:t>
            </w:r>
            <w:r>
              <w:rPr>
                <w:rFonts w:hint="eastAsia"/>
                <w:b/>
                <w:bCs/>
                <w:lang w:val="es-MX"/>
              </w:rPr>
              <w:t>JoyFun</w:t>
            </w:r>
            <w:r w:rsidR="008859FD">
              <w:rPr>
                <w:b/>
                <w:bCs/>
                <w:lang w:val="es-MX" w:eastAsia="ja-JP"/>
              </w:rPr>
              <w:t>)</w:t>
            </w:r>
          </w:p>
          <w:p w14:paraId="1C167442" w14:textId="1086EF2F" w:rsidR="008859FD" w:rsidRPr="00983F5E" w:rsidRDefault="00E44A7D" w:rsidP="00BC2A71">
            <w:pPr>
              <w:pStyle w:val="covertext"/>
              <w:spacing w:line="276" w:lineRule="auto"/>
              <w:rPr>
                <w:color w:val="000000" w:themeColor="text1"/>
              </w:rPr>
            </w:pPr>
            <w:r>
              <w:rPr>
                <w:rFonts w:hint="eastAsia"/>
                <w:b/>
                <w:bCs/>
                <w:lang w:val="es-MX"/>
              </w:rPr>
              <w:t>Lee</w:t>
            </w:r>
            <w:r w:rsidR="00983F5E">
              <w:rPr>
                <w:rFonts w:hint="eastAsia"/>
                <w:b/>
                <w:bCs/>
                <w:lang w:val="es-MX"/>
              </w:rPr>
              <w:t>,</w:t>
            </w:r>
            <w:r w:rsidR="00983F5E">
              <w:rPr>
                <w:b/>
                <w:bCs/>
                <w:lang w:val="es-MX"/>
              </w:rPr>
              <w:t xml:space="preserve"> </w:t>
            </w:r>
            <w:r>
              <w:rPr>
                <w:rFonts w:hint="eastAsia"/>
                <w:b/>
                <w:bCs/>
                <w:lang w:val="es-MX"/>
              </w:rPr>
              <w:t>Gookhwan</w:t>
            </w:r>
            <w:r w:rsidR="00983F5E" w:rsidRPr="00AD4D1B">
              <w:t xml:space="preserve"> </w:t>
            </w:r>
            <w:hyperlink r:id="rId10" w:history="1">
              <w:r w:rsidRPr="007E02F2">
                <w:rPr>
                  <w:rStyle w:val="a7"/>
                  <w:rFonts w:ascii="Helvetica" w:hAnsi="Helvetica"/>
                  <w:sz w:val="21"/>
                  <w:szCs w:val="21"/>
                  <w:shd w:val="clear" w:color="auto" w:fill="FFFFFF"/>
                </w:rPr>
                <w:t>ghlee@joyfun.kr</w:t>
              </w:r>
            </w:hyperlink>
            <w:r w:rsidR="00983F5E" w:rsidRPr="00AD4D1B">
              <w:t xml:space="preserve"> </w:t>
            </w:r>
            <w:r w:rsidR="00983F5E">
              <w:rPr>
                <w:b/>
                <w:bCs/>
                <w:lang w:val="es-MX" w:eastAsia="ja-JP"/>
              </w:rPr>
              <w:t>(</w:t>
            </w:r>
            <w:r>
              <w:rPr>
                <w:rFonts w:hint="eastAsia"/>
                <w:b/>
                <w:bCs/>
                <w:lang w:val="es-MX"/>
              </w:rPr>
              <w:t>JoyFun</w:t>
            </w:r>
            <w:r w:rsidR="00983F5E">
              <w:rPr>
                <w:b/>
                <w:bCs/>
                <w:lang w:val="es-MX" w:eastAsia="ja-JP"/>
              </w:rPr>
              <w:t>)</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7A1BA16A" w:rsidR="008859FD" w:rsidRPr="008859FD" w:rsidRDefault="00E44A7D" w:rsidP="008859FD">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2CFD9DB6" w:rsidR="008859FD" w:rsidRPr="00AD4D1B" w:rsidRDefault="00E44A7D" w:rsidP="00BC2A71">
            <w:pPr>
              <w:pStyle w:val="covertext"/>
              <w:spacing w:line="276" w:lineRule="auto"/>
              <w:jc w:val="both"/>
            </w:pPr>
            <w:r w:rsidRPr="00E44A7D">
              <w:t>This document was submitted to propose a new PAR.</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4D7965AE" w14:textId="77777777" w:rsidR="00561840" w:rsidRPr="0094012E" w:rsidRDefault="00DD499D" w:rsidP="00561840">
      <w:pPr>
        <w:outlineLvl w:val="0"/>
        <w:rPr>
          <w:rFonts w:ascii="Verdana" w:hAnsi="Verdana"/>
          <w:b/>
          <w:sz w:val="36"/>
        </w:rPr>
      </w:pPr>
      <w:r>
        <w:rPr>
          <w:rFonts w:ascii="Times New Roman" w:hAnsi="Times New Roman" w:cs="Times New Roman"/>
          <w:b/>
          <w:bCs/>
          <w:sz w:val="29"/>
          <w:szCs w:val="29"/>
          <w:lang w:bidi="ar-SA"/>
        </w:rPr>
        <w:br w:type="page"/>
      </w:r>
      <w:r w:rsidR="00561840" w:rsidRPr="0094012E">
        <w:rPr>
          <w:rFonts w:ascii="Verdana" w:hAnsi="Verdana"/>
          <w:b/>
          <w:sz w:val="36"/>
        </w:rPr>
        <w:lastRenderedPageBreak/>
        <w:t>PAR for a New IEEE Standard</w:t>
      </w:r>
    </w:p>
    <w:p w14:paraId="453E9A9A" w14:textId="77777777" w:rsidR="00561840" w:rsidRPr="00720667" w:rsidRDefault="00561840" w:rsidP="00561840">
      <w:pPr>
        <w:pStyle w:val="1"/>
      </w:pPr>
      <w:r w:rsidRPr="00720667">
        <w:t>Section 1</w:t>
      </w:r>
    </w:p>
    <w:p w14:paraId="0DBDF059" w14:textId="77777777" w:rsidR="00561840" w:rsidRPr="00720667" w:rsidRDefault="00561840" w:rsidP="00561840">
      <w:pPr>
        <w:numPr>
          <w:ilvl w:val="1"/>
          <w:numId w:val="22"/>
        </w:numPr>
        <w:spacing w:after="200" w:line="276" w:lineRule="auto"/>
        <w:rPr>
          <w:rFonts w:ascii="Verdana" w:hAnsi="Verdana"/>
        </w:rPr>
      </w:pPr>
      <w:r w:rsidRPr="00720667">
        <w:rPr>
          <w:rFonts w:ascii="Verdana" w:hAnsi="Verdana"/>
          <w:b/>
        </w:rPr>
        <w:t>Assigned Project Number</w:t>
      </w:r>
      <w:r w:rsidRPr="00720667">
        <w:rPr>
          <w:rFonts w:ascii="Verdana" w:hAnsi="Verdana"/>
        </w:rPr>
        <w:t>:</w:t>
      </w:r>
    </w:p>
    <w:p w14:paraId="4ABA371C" w14:textId="77777777" w:rsidR="00561840" w:rsidRPr="00720667" w:rsidRDefault="00561840" w:rsidP="00561840">
      <w:pPr>
        <w:ind w:left="720"/>
        <w:rPr>
          <w:rFonts w:ascii="Verdana" w:hAnsi="Verdana"/>
        </w:rPr>
      </w:pPr>
      <w:r>
        <w:rPr>
          <w:rFonts w:ascii="Verdana" w:hAnsi="Verdana"/>
        </w:rPr>
        <w:t>P</w:t>
      </w:r>
      <w:r>
        <w:rPr>
          <w:rFonts w:ascii="Verdana" w:hAnsi="Verdana" w:hint="eastAsia"/>
        </w:rPr>
        <w:t>3079</w:t>
      </w:r>
      <w:r>
        <w:rPr>
          <w:rFonts w:ascii="Verdana" w:hAnsi="Verdana"/>
        </w:rPr>
        <w:t>.</w:t>
      </w:r>
      <w:r>
        <w:rPr>
          <w:rFonts w:ascii="Verdana" w:hAnsi="Verdana" w:hint="eastAsia"/>
        </w:rPr>
        <w:t>2</w:t>
      </w:r>
    </w:p>
    <w:p w14:paraId="64E11086"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Type of Document:</w:t>
      </w:r>
      <w:r>
        <w:rPr>
          <w:rFonts w:ascii="Verdana" w:hAnsi="Verdana"/>
          <w:b/>
        </w:rPr>
        <w:t xml:space="preserve"> </w:t>
      </w:r>
      <w:r w:rsidRPr="007D5C03">
        <w:rPr>
          <w:rFonts w:ascii="Verdana" w:hAnsi="Verdana"/>
          <w:b/>
          <w:i/>
        </w:rPr>
        <w:t>Standard, Recommended Practice, or Guide</w:t>
      </w:r>
    </w:p>
    <w:p w14:paraId="2943DF57" w14:textId="77777777" w:rsidR="00561840" w:rsidRPr="00720667" w:rsidRDefault="00561840" w:rsidP="00561840">
      <w:pPr>
        <w:ind w:left="720"/>
        <w:rPr>
          <w:rFonts w:ascii="Verdana" w:hAnsi="Verdana"/>
        </w:rPr>
      </w:pPr>
      <w:r>
        <w:rPr>
          <w:rFonts w:ascii="Verdana" w:hAnsi="Verdana"/>
        </w:rPr>
        <w:t>Standard</w:t>
      </w:r>
    </w:p>
    <w:p w14:paraId="2BDBCD58"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Life Cycle:</w:t>
      </w:r>
      <w:r>
        <w:rPr>
          <w:rFonts w:ascii="Verdana" w:hAnsi="Verdana"/>
          <w:b/>
        </w:rPr>
        <w:t xml:space="preserve"> </w:t>
      </w:r>
      <w:r w:rsidRPr="007D5C03">
        <w:rPr>
          <w:rFonts w:ascii="Verdana" w:hAnsi="Verdana"/>
          <w:b/>
          <w:i/>
        </w:rPr>
        <w:t>Full Use or Trial Use</w:t>
      </w:r>
    </w:p>
    <w:p w14:paraId="2A618069" w14:textId="77777777" w:rsidR="00561840" w:rsidRPr="00720667" w:rsidRDefault="00561840" w:rsidP="00561840">
      <w:pPr>
        <w:ind w:left="720"/>
        <w:rPr>
          <w:rFonts w:ascii="Verdana" w:hAnsi="Verdana"/>
        </w:rPr>
      </w:pPr>
      <w:r>
        <w:rPr>
          <w:rFonts w:ascii="Verdana" w:hAnsi="Verdana"/>
        </w:rPr>
        <w:t>Full Use</w:t>
      </w:r>
      <w:r w:rsidRPr="00720667">
        <w:rPr>
          <w:rFonts w:ascii="Verdana" w:hAnsi="Verdana"/>
        </w:rPr>
        <w:t>.</w:t>
      </w:r>
    </w:p>
    <w:p w14:paraId="79881502" w14:textId="77777777" w:rsidR="00561840" w:rsidRPr="00720667" w:rsidRDefault="00561840" w:rsidP="00561840">
      <w:pPr>
        <w:pStyle w:val="1"/>
      </w:pPr>
      <w:r w:rsidRPr="00720667">
        <w:t>Section 2</w:t>
      </w:r>
      <w:r w:rsidRPr="00720667">
        <w:tab/>
      </w:r>
      <w:bookmarkStart w:id="1" w:name="_GoBack"/>
      <w:bookmarkEnd w:id="1"/>
    </w:p>
    <w:p w14:paraId="749AD7E6" w14:textId="77777777" w:rsidR="00561840" w:rsidRPr="00720667" w:rsidRDefault="00561840" w:rsidP="00561840">
      <w:pPr>
        <w:rPr>
          <w:rFonts w:ascii="Verdana" w:hAnsi="Verdana"/>
          <w:b/>
        </w:rPr>
      </w:pPr>
      <w:r w:rsidRPr="00720667">
        <w:rPr>
          <w:rFonts w:ascii="Verdana" w:hAnsi="Verdana"/>
          <w:b/>
        </w:rPr>
        <w:t>2.1</w:t>
      </w:r>
      <w:r w:rsidRPr="00720667">
        <w:rPr>
          <w:rFonts w:ascii="Verdana" w:hAnsi="Verdana"/>
          <w:b/>
        </w:rPr>
        <w:tab/>
        <w:t>Project Title:</w:t>
      </w:r>
    </w:p>
    <w:p w14:paraId="73597B3A" w14:textId="77777777" w:rsidR="00561840" w:rsidRPr="00720667" w:rsidRDefault="00561840" w:rsidP="00561840">
      <w:pPr>
        <w:ind w:left="720"/>
        <w:rPr>
          <w:rFonts w:ascii="Verdana" w:hAnsi="Verdana"/>
        </w:rPr>
      </w:pPr>
      <w:r w:rsidRPr="008C21D1">
        <w:rPr>
          <w:rFonts w:ascii="Verdana" w:hAnsi="Verdana"/>
        </w:rPr>
        <w:t>Mixed Reality Standard Framework for Motion Learning</w:t>
      </w:r>
    </w:p>
    <w:p w14:paraId="4AD956D5" w14:textId="77777777" w:rsidR="00561840" w:rsidRPr="00720667" w:rsidRDefault="00561840" w:rsidP="00561840">
      <w:pPr>
        <w:pStyle w:val="1"/>
      </w:pPr>
      <w:r w:rsidRPr="00720667">
        <w:t>Section 3</w:t>
      </w:r>
    </w:p>
    <w:p w14:paraId="0EE4FF7A" w14:textId="77777777" w:rsidR="00561840" w:rsidRPr="00720667" w:rsidRDefault="00561840" w:rsidP="00561840">
      <w:pPr>
        <w:outlineLvl w:val="0"/>
        <w:rPr>
          <w:rFonts w:ascii="Verdana" w:hAnsi="Verdana"/>
        </w:rPr>
      </w:pPr>
      <w:r w:rsidRPr="00720667">
        <w:rPr>
          <w:rFonts w:ascii="Verdana" w:hAnsi="Verdana"/>
          <w:b/>
        </w:rPr>
        <w:t>3.1</w:t>
      </w:r>
      <w:r w:rsidRPr="00720667">
        <w:rPr>
          <w:rFonts w:ascii="Verdana" w:hAnsi="Verdana"/>
          <w:b/>
        </w:rPr>
        <w:tab/>
        <w:t xml:space="preserve">Working Group: </w:t>
      </w:r>
      <w:r>
        <w:rPr>
          <w:rFonts w:ascii="Verdana" w:hAnsi="Verdana" w:hint="eastAsia"/>
          <w:b/>
        </w:rPr>
        <w:t>Human</w:t>
      </w:r>
      <w:r>
        <w:rPr>
          <w:rFonts w:ascii="Verdana" w:hAnsi="Verdana"/>
          <w:b/>
        </w:rPr>
        <w:t xml:space="preserve"> </w:t>
      </w:r>
      <w:r>
        <w:rPr>
          <w:rFonts w:ascii="Verdana" w:hAnsi="Verdana" w:hint="eastAsia"/>
          <w:b/>
        </w:rPr>
        <w:t>Factor</w:t>
      </w:r>
      <w:r>
        <w:rPr>
          <w:rFonts w:ascii="Verdana" w:hAnsi="Verdana"/>
          <w:b/>
        </w:rPr>
        <w:t xml:space="preserve"> </w:t>
      </w:r>
      <w:r>
        <w:rPr>
          <w:rFonts w:ascii="Verdana" w:hAnsi="Verdana" w:hint="eastAsia"/>
          <w:b/>
        </w:rPr>
        <w:t>for</w:t>
      </w:r>
      <w:r>
        <w:rPr>
          <w:rFonts w:ascii="Verdana" w:hAnsi="Verdana"/>
          <w:b/>
        </w:rPr>
        <w:t xml:space="preserve"> </w:t>
      </w:r>
      <w:r>
        <w:rPr>
          <w:rFonts w:ascii="Verdana" w:hAnsi="Verdana" w:hint="eastAsia"/>
          <w:b/>
        </w:rPr>
        <w:t>Immersive</w:t>
      </w:r>
      <w:r>
        <w:rPr>
          <w:rFonts w:ascii="Verdana" w:hAnsi="Verdana"/>
          <w:b/>
        </w:rPr>
        <w:t xml:space="preserve"> </w:t>
      </w:r>
      <w:r>
        <w:rPr>
          <w:rFonts w:ascii="Verdana" w:hAnsi="Verdana" w:hint="eastAsia"/>
          <w:b/>
        </w:rPr>
        <w:t>Content</w:t>
      </w:r>
    </w:p>
    <w:p w14:paraId="0229937C" w14:textId="77777777" w:rsidR="00561840" w:rsidRDefault="00561840" w:rsidP="00561840">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Pr>
          <w:rFonts w:ascii="Verdana" w:hAnsi="Verdana"/>
        </w:rPr>
        <w:t>C/SAB</w:t>
      </w:r>
    </w:p>
    <w:p w14:paraId="100BBD50" w14:textId="77777777" w:rsidR="00561840" w:rsidRPr="00720667" w:rsidRDefault="00561840" w:rsidP="00561840">
      <w:pPr>
        <w:rPr>
          <w:rFonts w:ascii="Verdana" w:hAnsi="Verdana"/>
        </w:rPr>
      </w:pPr>
      <w:r>
        <w:rPr>
          <w:rFonts w:ascii="Verdana" w:hAnsi="Verdana"/>
        </w:rPr>
        <w:t xml:space="preserve">[A listing of Sponsor P&amp;Ps and Sponsor Scopes is available at </w:t>
      </w:r>
      <w:hyperlink r:id="rId14" w:history="1">
        <w:r w:rsidRPr="00A10BC8">
          <w:rPr>
            <w:rStyle w:val="a7"/>
            <w:rFonts w:ascii="Verdana" w:hAnsi="Verdana"/>
            <w:szCs w:val="22"/>
          </w:rPr>
          <w:t>https://development.standards.ieee.org/pub/view-sponsor-pnps</w:t>
        </w:r>
      </w:hyperlink>
      <w:r>
        <w:rPr>
          <w:rFonts w:ascii="Verdana" w:hAnsi="Verdana"/>
        </w:rPr>
        <w:t>]</w:t>
      </w:r>
    </w:p>
    <w:p w14:paraId="2D6A618F" w14:textId="77777777" w:rsidR="00561840" w:rsidRPr="00720667" w:rsidRDefault="00561840" w:rsidP="00561840">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652D7DF8" w14:textId="77777777" w:rsidR="00561840" w:rsidRPr="00720667" w:rsidRDefault="00561840" w:rsidP="00561840">
      <w:pPr>
        <w:ind w:left="720"/>
        <w:rPr>
          <w:rFonts w:ascii="Verdana" w:hAnsi="Verdana"/>
        </w:rPr>
      </w:pPr>
      <w:r w:rsidRPr="00720667">
        <w:rPr>
          <w:rFonts w:ascii="Verdana" w:hAnsi="Verdana"/>
        </w:rPr>
        <w:t>If you are not adding a joint sponsor to this project, you may leave this field blank.</w:t>
      </w:r>
    </w:p>
    <w:p w14:paraId="1D4676D3" w14:textId="77777777" w:rsidR="00561840" w:rsidRPr="00720667" w:rsidRDefault="00561840" w:rsidP="00561840">
      <w:pPr>
        <w:pStyle w:val="1"/>
      </w:pPr>
      <w:r w:rsidRPr="00720667">
        <w:t>Section 4</w:t>
      </w:r>
    </w:p>
    <w:p w14:paraId="33494D6D" w14:textId="77777777" w:rsidR="00561840" w:rsidRPr="007D5C03" w:rsidRDefault="00561840" w:rsidP="00561840">
      <w:pPr>
        <w:outlineLvl w:val="0"/>
        <w:rPr>
          <w:rFonts w:ascii="Verdana" w:hAnsi="Verdana"/>
          <w:b/>
          <w:i/>
        </w:rPr>
      </w:pPr>
      <w:r w:rsidRPr="00720667">
        <w:rPr>
          <w:rFonts w:ascii="Verdana" w:hAnsi="Verdana"/>
          <w:b/>
        </w:rPr>
        <w:t>4.1</w:t>
      </w:r>
      <w:r w:rsidRPr="00720667">
        <w:rPr>
          <w:rFonts w:ascii="Verdana" w:hAnsi="Verdana"/>
          <w:b/>
        </w:rPr>
        <w:tab/>
        <w:t xml:space="preserve">Sponsor Balloting Information: </w:t>
      </w:r>
      <w:r w:rsidRPr="007D5C03">
        <w:rPr>
          <w:rFonts w:ascii="Verdana" w:hAnsi="Verdana"/>
          <w:b/>
          <w:i/>
        </w:rPr>
        <w:t>Individual or Entity</w:t>
      </w:r>
    </w:p>
    <w:p w14:paraId="1E2C2119" w14:textId="77777777" w:rsidR="00561840" w:rsidRPr="00720667" w:rsidRDefault="00561840" w:rsidP="00561840">
      <w:pPr>
        <w:ind w:left="720"/>
        <w:rPr>
          <w:rFonts w:ascii="Verdana" w:hAnsi="Verdana"/>
        </w:rPr>
      </w:pPr>
      <w:r>
        <w:rPr>
          <w:rFonts w:ascii="Verdana" w:hAnsi="Verdana"/>
        </w:rPr>
        <w:t>Individual</w:t>
      </w:r>
    </w:p>
    <w:p w14:paraId="1DFE6F09" w14:textId="77777777" w:rsidR="00561840" w:rsidRDefault="00561840" w:rsidP="00561840">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44F67387" w14:textId="77777777" w:rsidR="00561840" w:rsidRPr="00720667" w:rsidRDefault="00561840" w:rsidP="00561840">
      <w:pPr>
        <w:ind w:firstLine="720"/>
        <w:outlineLvl w:val="0"/>
        <w:rPr>
          <w:rFonts w:ascii="Verdana" w:hAnsi="Verdana"/>
        </w:rPr>
      </w:pPr>
      <w:r w:rsidRPr="00720667">
        <w:rPr>
          <w:rFonts w:ascii="Verdana" w:hAnsi="Verdana"/>
          <w:b/>
        </w:rPr>
        <w:t>Month:</w:t>
      </w:r>
      <w:r w:rsidRPr="00720667">
        <w:rPr>
          <w:rFonts w:ascii="Verdana" w:hAnsi="Verdana"/>
          <w:b/>
        </w:rPr>
        <w:tab/>
      </w:r>
      <w:r>
        <w:rPr>
          <w:rFonts w:ascii="Verdana" w:hAnsi="Verdana"/>
          <w:b/>
        </w:rPr>
        <w:t>Dec.</w:t>
      </w:r>
      <w:r w:rsidRPr="00720667">
        <w:rPr>
          <w:rFonts w:ascii="Verdana" w:hAnsi="Verdana"/>
          <w:b/>
        </w:rPr>
        <w:tab/>
        <w:t>Year:</w:t>
      </w:r>
      <w:r>
        <w:rPr>
          <w:rFonts w:ascii="Verdana" w:hAnsi="Verdana"/>
          <w:b/>
        </w:rPr>
        <w:t xml:space="preserve"> 202</w:t>
      </w:r>
      <w:r>
        <w:rPr>
          <w:rFonts w:ascii="Verdana" w:hAnsi="Verdana" w:hint="eastAsia"/>
          <w:b/>
        </w:rPr>
        <w:t>1</w:t>
      </w:r>
    </w:p>
    <w:p w14:paraId="3DBAD1EB" w14:textId="77777777" w:rsidR="00561840" w:rsidRPr="00720667" w:rsidRDefault="00561840" w:rsidP="00561840">
      <w:pPr>
        <w:outlineLvl w:val="0"/>
        <w:rPr>
          <w:rFonts w:ascii="Verdana" w:hAnsi="Verdana"/>
          <w:b/>
        </w:rPr>
      </w:pPr>
      <w:r w:rsidRPr="00720667">
        <w:rPr>
          <w:rFonts w:ascii="Verdana" w:hAnsi="Verdana"/>
          <w:b/>
        </w:rPr>
        <w:t>4.3</w:t>
      </w:r>
      <w:r w:rsidRPr="00720667">
        <w:rPr>
          <w:rFonts w:ascii="Verdana" w:hAnsi="Verdana"/>
          <w:b/>
        </w:rPr>
        <w:tab/>
        <w:t>Projected Completi</w:t>
      </w:r>
      <w:r>
        <w:rPr>
          <w:rFonts w:ascii="Verdana" w:hAnsi="Verdana"/>
          <w:b/>
        </w:rPr>
        <w:t xml:space="preserve">on Date for Submittal to </w:t>
      </w:r>
      <w:proofErr w:type="spellStart"/>
      <w:r>
        <w:rPr>
          <w:rFonts w:ascii="Verdana" w:hAnsi="Verdana"/>
          <w:b/>
        </w:rPr>
        <w:t>RevCom</w:t>
      </w:r>
      <w:proofErr w:type="spellEnd"/>
    </w:p>
    <w:p w14:paraId="4313EFF9" w14:textId="77777777" w:rsidR="00561840" w:rsidRPr="00720667" w:rsidRDefault="00561840" w:rsidP="00561840">
      <w:pPr>
        <w:ind w:firstLine="720"/>
        <w:outlineLvl w:val="0"/>
        <w:rPr>
          <w:rFonts w:ascii="Verdana" w:hAnsi="Verdana"/>
          <w:b/>
        </w:rPr>
      </w:pPr>
      <w:r w:rsidRPr="00720667">
        <w:rPr>
          <w:rFonts w:ascii="Verdana" w:hAnsi="Verdana"/>
          <w:b/>
        </w:rPr>
        <w:t xml:space="preserve">Month:    </w:t>
      </w:r>
      <w:r w:rsidRPr="00720667">
        <w:rPr>
          <w:rFonts w:ascii="Verdana" w:hAnsi="Verdana"/>
          <w:b/>
        </w:rPr>
        <w:tab/>
      </w:r>
      <w:r>
        <w:rPr>
          <w:rFonts w:ascii="Verdana" w:hAnsi="Verdana"/>
          <w:b/>
        </w:rPr>
        <w:t>Oct.</w:t>
      </w:r>
      <w:r w:rsidRPr="00720667">
        <w:rPr>
          <w:rFonts w:ascii="Verdana" w:hAnsi="Verdana"/>
          <w:b/>
        </w:rPr>
        <w:tab/>
        <w:t>Year:</w:t>
      </w:r>
      <w:r>
        <w:rPr>
          <w:rFonts w:ascii="Verdana" w:hAnsi="Verdana"/>
          <w:b/>
        </w:rPr>
        <w:t xml:space="preserve"> 2022</w:t>
      </w:r>
    </w:p>
    <w:p w14:paraId="6EEA07DC" w14:textId="77777777" w:rsidR="00561840" w:rsidRPr="00720667" w:rsidRDefault="00561840" w:rsidP="00561840">
      <w:pPr>
        <w:pStyle w:val="1"/>
      </w:pPr>
      <w:r w:rsidRPr="00720667">
        <w:lastRenderedPageBreak/>
        <w:t>Section 5</w:t>
      </w:r>
    </w:p>
    <w:p w14:paraId="233C6C0C" w14:textId="77777777" w:rsidR="00561840" w:rsidRPr="00720667" w:rsidRDefault="00561840" w:rsidP="00561840">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6009DC34" w14:textId="77777777" w:rsidR="00561840" w:rsidRPr="00720667" w:rsidRDefault="00561840" w:rsidP="00561840">
      <w:pPr>
        <w:ind w:left="720"/>
        <w:rPr>
          <w:rFonts w:ascii="Verdana" w:hAnsi="Verdana"/>
          <w:color w:val="000000"/>
        </w:rPr>
      </w:pPr>
      <w:r>
        <w:rPr>
          <w:rFonts w:ascii="Verdana" w:hAnsi="Verdana"/>
          <w:color w:val="000000"/>
        </w:rPr>
        <w:t>30</w:t>
      </w:r>
    </w:p>
    <w:p w14:paraId="75519A8B" w14:textId="77777777" w:rsidR="00561840" w:rsidRPr="00720667" w:rsidRDefault="00561840" w:rsidP="00561840">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56A2B6AA" w14:textId="77777777" w:rsidR="00561840" w:rsidRDefault="00561840" w:rsidP="00561840">
      <w:pPr>
        <w:ind w:left="720"/>
        <w:rPr>
          <w:rFonts w:ascii="Verdana" w:hAnsi="Verdana"/>
          <w:color w:val="000000"/>
        </w:rPr>
      </w:pPr>
      <w:r w:rsidRPr="00AE264C">
        <w:rPr>
          <w:rFonts w:ascii="Verdana" w:hAnsi="Verdana"/>
          <w:color w:val="000000"/>
        </w:rPr>
        <w:t>This standard is intended to provide a standard framework for mixed reality content aimed at effectively learning behavior. The scope of this standard includes the synchronization of the coordinate system that motion recognition sensors use to track a person's movement with the coordinate system that is represented to guide the movement. In addition, as well as input and output processes and application programming interfaces used for smooth implementation of the content may include vocabulary, requirements, and data formats.</w:t>
      </w:r>
    </w:p>
    <w:p w14:paraId="180811B0" w14:textId="77777777" w:rsidR="00561840" w:rsidRPr="00720667" w:rsidRDefault="00561840" w:rsidP="00561840">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No  </w:t>
      </w:r>
    </w:p>
    <w:p w14:paraId="089B5399" w14:textId="77777777" w:rsidR="00561840" w:rsidRPr="00720667" w:rsidRDefault="00561840" w:rsidP="00561840">
      <w:pPr>
        <w:outlineLvl w:val="0"/>
        <w:rPr>
          <w:rFonts w:ascii="Verdana" w:hAnsi="Verdana"/>
          <w:b/>
        </w:rPr>
      </w:pPr>
      <w:r w:rsidRPr="00720667">
        <w:rPr>
          <w:rFonts w:ascii="Verdana" w:hAnsi="Verdana"/>
          <w:b/>
        </w:rPr>
        <w:t>5.4</w:t>
      </w:r>
      <w:r w:rsidRPr="00720667">
        <w:rPr>
          <w:rFonts w:ascii="Verdana" w:hAnsi="Verdana"/>
          <w:b/>
        </w:rPr>
        <w:tab/>
        <w:t>Will this document contain a Purpose clause? No</w:t>
      </w:r>
    </w:p>
    <w:p w14:paraId="49E2D312" w14:textId="77777777" w:rsidR="00561840" w:rsidRPr="00720667" w:rsidRDefault="00561840" w:rsidP="00561840">
      <w:pPr>
        <w:outlineLvl w:val="0"/>
        <w:rPr>
          <w:rFonts w:ascii="Verdana" w:hAnsi="Verdana"/>
          <w:b/>
        </w:rPr>
      </w:pPr>
      <w:r w:rsidRPr="00720667">
        <w:rPr>
          <w:rFonts w:ascii="Verdana" w:hAnsi="Verdana"/>
          <w:b/>
        </w:rPr>
        <w:t>5.5</w:t>
      </w:r>
      <w:r w:rsidRPr="00720667">
        <w:rPr>
          <w:rFonts w:ascii="Verdana" w:hAnsi="Verdana"/>
          <w:b/>
        </w:rPr>
        <w:tab/>
        <w:t>Need for the project:</w:t>
      </w:r>
    </w:p>
    <w:p w14:paraId="1DC8461D" w14:textId="77777777" w:rsidR="00561840" w:rsidRDefault="00561840" w:rsidP="00561840">
      <w:pPr>
        <w:ind w:left="720"/>
        <w:rPr>
          <w:rFonts w:ascii="Verdana" w:hAnsi="Verdana"/>
          <w:color w:val="000000"/>
        </w:rPr>
      </w:pPr>
      <w:r w:rsidRPr="00B56C87">
        <w:rPr>
          <w:rFonts w:ascii="Verdana" w:hAnsi="Verdana"/>
          <w:color w:val="000000"/>
        </w:rPr>
        <w:t>Recently, virtual reality and mixed reality have led to the development of many technologies. In addition, many content services using these technologies are being developed. In particular, mixed reality technology based on motion recognition is widely used as a tool for learning motion. For this purpose, it is necessary to synchronize the contents with the mixed reality device, and it is a very basic condition to be developed so that the data provided by the sensor can be well reflected in the contents. Thus, a standard framework standard for such mixed reality content is necessary. By using this standard framework, interoperability of mixed reality content for learning postures such as rhythms, sports, and games will be ensured to promote the realistic mixed reality industry and accelerate the development of technologies and services.</w:t>
      </w:r>
    </w:p>
    <w:p w14:paraId="70B3572F" w14:textId="77777777" w:rsidR="00561840" w:rsidRPr="00720667" w:rsidRDefault="00561840" w:rsidP="00561840">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2B249A4A" w14:textId="77777777" w:rsidR="00561840" w:rsidRDefault="00561840" w:rsidP="00561840">
      <w:pPr>
        <w:ind w:left="720"/>
        <w:rPr>
          <w:rFonts w:ascii="Verdana" w:hAnsi="Verdana"/>
          <w:color w:val="000000"/>
        </w:rPr>
      </w:pPr>
      <w:r>
        <w:rPr>
          <w:rFonts w:ascii="Verdana" w:hAnsi="Verdana"/>
          <w:color w:val="000000"/>
        </w:rPr>
        <w:t xml:space="preserve">Content Providers, </w:t>
      </w:r>
      <w:r>
        <w:rPr>
          <w:rFonts w:ascii="Verdana" w:hAnsi="Verdana" w:hint="eastAsia"/>
          <w:color w:val="000000"/>
        </w:rPr>
        <w:t>M</w:t>
      </w:r>
      <w:r>
        <w:rPr>
          <w:rFonts w:ascii="Verdana" w:hAnsi="Verdana"/>
          <w:color w:val="000000"/>
        </w:rPr>
        <w:t>anufacturers, Local Governments, Constructors, Real-Estate Developers, etc.</w:t>
      </w:r>
    </w:p>
    <w:p w14:paraId="363FD83C" w14:textId="77777777" w:rsidR="00561840" w:rsidRPr="00720667" w:rsidRDefault="00561840" w:rsidP="00561840">
      <w:pPr>
        <w:ind w:left="720"/>
        <w:rPr>
          <w:rFonts w:ascii="Verdana" w:hAnsi="Verdana"/>
          <w:color w:val="000000"/>
        </w:rPr>
      </w:pPr>
    </w:p>
    <w:p w14:paraId="4A5736FC" w14:textId="77777777" w:rsidR="00561840" w:rsidRPr="00720667" w:rsidRDefault="00561840" w:rsidP="00561840">
      <w:pPr>
        <w:pStyle w:val="1"/>
      </w:pPr>
      <w:r w:rsidRPr="00720667">
        <w:t>Section 6</w:t>
      </w:r>
    </w:p>
    <w:p w14:paraId="0EE53C70" w14:textId="77777777" w:rsidR="00561840" w:rsidRPr="00720667" w:rsidRDefault="00561840" w:rsidP="00561840">
      <w:pPr>
        <w:rPr>
          <w:rFonts w:ascii="Verdana" w:hAnsi="Verdana"/>
          <w:b/>
        </w:rPr>
      </w:pPr>
      <w:r w:rsidRPr="00720667">
        <w:rPr>
          <w:rFonts w:ascii="Verdana" w:hAnsi="Verdana"/>
          <w:b/>
        </w:rPr>
        <w:t>6.1</w:t>
      </w:r>
      <w:r w:rsidRPr="00720667">
        <w:rPr>
          <w:rFonts w:ascii="Verdana" w:hAnsi="Verdana"/>
          <w:b/>
        </w:rPr>
        <w:tab/>
        <w:t>Intellectual Property:</w:t>
      </w:r>
    </w:p>
    <w:p w14:paraId="0B4C54D4" w14:textId="77777777" w:rsidR="00561840" w:rsidRPr="00720667" w:rsidRDefault="00561840" w:rsidP="00561840">
      <w:pPr>
        <w:ind w:left="1170" w:hanging="45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No</w:t>
      </w:r>
    </w:p>
    <w:p w14:paraId="0A5F0F14" w14:textId="77777777" w:rsidR="00561840" w:rsidRPr="00720667" w:rsidRDefault="00561840" w:rsidP="00561840">
      <w:pPr>
        <w:ind w:left="1170" w:hanging="450"/>
        <w:rPr>
          <w:rFonts w:ascii="Verdana" w:hAnsi="Verdana"/>
          <w:b/>
        </w:rPr>
      </w:pPr>
      <w:r w:rsidRPr="00720667">
        <w:rPr>
          <w:rFonts w:ascii="Verdana" w:hAnsi="Verdana"/>
          <w:b/>
        </w:rPr>
        <w:t>B.  Is the Sponsor aware of possible registration activity relate</w:t>
      </w:r>
      <w:r>
        <w:rPr>
          <w:rFonts w:ascii="Verdana" w:hAnsi="Verdana"/>
          <w:b/>
        </w:rPr>
        <w:t xml:space="preserve">d to this project?    </w:t>
      </w:r>
      <w:r w:rsidRPr="00496DFA">
        <w:rPr>
          <w:rFonts w:ascii="Verdana" w:hAnsi="Verdana"/>
          <w:b/>
          <w:i/>
        </w:rPr>
        <w:t>No</w:t>
      </w:r>
    </w:p>
    <w:p w14:paraId="7BD21F5E" w14:textId="77777777" w:rsidR="00561840" w:rsidRPr="00166CF3" w:rsidRDefault="00561840" w:rsidP="00561840">
      <w:pPr>
        <w:pStyle w:val="1"/>
        <w:spacing w:before="0" w:line="240" w:lineRule="auto"/>
        <w:rPr>
          <w:rFonts w:ascii="Verdana" w:hAnsi="Verdana"/>
          <w:sz w:val="22"/>
          <w:szCs w:val="22"/>
        </w:rPr>
      </w:pPr>
      <w:r w:rsidRPr="00166CF3">
        <w:rPr>
          <w:rFonts w:ascii="Verdana" w:hAnsi="Verdana"/>
          <w:sz w:val="22"/>
          <w:szCs w:val="22"/>
        </w:rPr>
        <w:lastRenderedPageBreak/>
        <w:t>Section 7</w:t>
      </w:r>
    </w:p>
    <w:p w14:paraId="470A66B0" w14:textId="77777777" w:rsidR="00561840" w:rsidRPr="00720667" w:rsidRDefault="00561840" w:rsidP="00561840">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No</w:t>
      </w:r>
    </w:p>
    <w:p w14:paraId="75124C6B" w14:textId="77777777" w:rsidR="00561840" w:rsidRPr="00720667" w:rsidRDefault="00561840" w:rsidP="00561840">
      <w:pPr>
        <w:spacing w:after="0"/>
        <w:rPr>
          <w:rFonts w:ascii="Verdana" w:eastAsia="Times New Roman" w:hAnsi="Verdana"/>
          <w:bCs/>
          <w:color w:val="C00000"/>
        </w:rPr>
      </w:pPr>
    </w:p>
    <w:p w14:paraId="5A0AA6F2" w14:textId="77777777" w:rsidR="00561840" w:rsidRDefault="00561840" w:rsidP="00561840">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No</w:t>
      </w:r>
    </w:p>
    <w:p w14:paraId="65B37857" w14:textId="77777777" w:rsidR="00561840" w:rsidRPr="00A76559" w:rsidRDefault="00561840" w:rsidP="00561840">
      <w:pPr>
        <w:spacing w:after="0"/>
        <w:ind w:left="720" w:hanging="720"/>
        <w:rPr>
          <w:rFonts w:ascii="Verdana" w:hAnsi="Verdana"/>
          <w:b/>
          <w:color w:val="000000"/>
        </w:rPr>
      </w:pPr>
    </w:p>
    <w:p w14:paraId="311C870F" w14:textId="77777777" w:rsidR="00561840" w:rsidRPr="00720667" w:rsidRDefault="00561840" w:rsidP="00561840">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Pr>
          <w:rFonts w:ascii="Verdana" w:hAnsi="Verdana"/>
          <w:b/>
        </w:rPr>
        <w:t>s</w:t>
      </w:r>
    </w:p>
    <w:p w14:paraId="2E76220B" w14:textId="77777777" w:rsidR="00561840" w:rsidRPr="00720667" w:rsidRDefault="00561840" w:rsidP="00561840">
      <w:pPr>
        <w:ind w:left="1260" w:hanging="54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Adoptions - Is there potential for this standard to be adopted by another </w:t>
      </w:r>
      <w:proofErr w:type="gramStart"/>
      <w:r w:rsidRPr="00720667">
        <w:rPr>
          <w:rFonts w:ascii="Verdana" w:hAnsi="Verdana"/>
          <w:b/>
        </w:rPr>
        <w:t>organization?:</w:t>
      </w:r>
      <w:proofErr w:type="gramEnd"/>
      <w:r w:rsidRPr="00720667">
        <w:rPr>
          <w:rFonts w:ascii="Verdana" w:hAnsi="Verdana"/>
          <w:b/>
        </w:rPr>
        <w:tab/>
        <w:t xml:space="preserve"> </w:t>
      </w:r>
      <w:r w:rsidRPr="00496DFA">
        <w:rPr>
          <w:rFonts w:ascii="Verdana" w:hAnsi="Verdana"/>
          <w:b/>
          <w:i/>
        </w:rPr>
        <w:t>No</w:t>
      </w:r>
    </w:p>
    <w:p w14:paraId="0504C070" w14:textId="77777777" w:rsidR="00561840" w:rsidRDefault="00561840" w:rsidP="00561840">
      <w:pPr>
        <w:ind w:left="1260" w:hanging="540"/>
        <w:rPr>
          <w:rFonts w:ascii="Verdana" w:hAnsi="Verdana"/>
          <w:b/>
          <w:color w:val="000000"/>
        </w:rPr>
      </w:pPr>
      <w:r w:rsidRPr="00720667">
        <w:rPr>
          <w:rFonts w:ascii="Verdana" w:hAnsi="Verdana"/>
          <w:b/>
        </w:rPr>
        <w:t xml:space="preserve">B. </w:t>
      </w:r>
      <w:r>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No</w:t>
      </w:r>
    </w:p>
    <w:p w14:paraId="22574442" w14:textId="77777777" w:rsidR="00561840" w:rsidRPr="00720667" w:rsidRDefault="00561840" w:rsidP="00561840">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Pr>
          <w:rFonts w:ascii="Verdana" w:hAnsi="Verdana"/>
          <w:b/>
        </w:rPr>
        <w:t xml:space="preserve">ure conformity to the standard? </w:t>
      </w:r>
      <w:r>
        <w:rPr>
          <w:rFonts w:ascii="Verdana" w:hAnsi="Verdana"/>
          <w:b/>
          <w:i/>
        </w:rPr>
        <w:t>Yes</w:t>
      </w:r>
    </w:p>
    <w:p w14:paraId="08E25AF7" w14:textId="77777777" w:rsidR="00561840" w:rsidRDefault="00561840" w:rsidP="00561840">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Pr>
          <w:rFonts w:ascii="Verdana" w:hAnsi="Verdana"/>
          <w:b/>
        </w:rPr>
        <w:t xml:space="preserve"> standard? </w:t>
      </w:r>
      <w:r>
        <w:rPr>
          <w:rFonts w:ascii="Verdana" w:hAnsi="Verdana"/>
          <w:b/>
          <w:i/>
        </w:rPr>
        <w:t>No</w:t>
      </w:r>
    </w:p>
    <w:p w14:paraId="6EC8780A" w14:textId="77777777" w:rsidR="00561840" w:rsidRDefault="00561840" w:rsidP="00561840">
      <w:pPr>
        <w:pStyle w:val="1"/>
      </w:pPr>
      <w:r>
        <w:t>Section 8</w:t>
      </w:r>
    </w:p>
    <w:p w14:paraId="1BB20E52" w14:textId="77777777" w:rsidR="00561840" w:rsidRDefault="00561840" w:rsidP="00561840">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18DC2ED7" w14:textId="77777777" w:rsidR="00561840" w:rsidRDefault="00561840" w:rsidP="00561840">
      <w:pPr>
        <w:outlineLvl w:val="0"/>
        <w:rPr>
          <w:rFonts w:ascii="Verdana" w:hAnsi="Verdana"/>
          <w:b/>
        </w:rPr>
      </w:pPr>
    </w:p>
    <w:p w14:paraId="51FDB9C8" w14:textId="77777777" w:rsidR="00561840" w:rsidRPr="00600A4F" w:rsidRDefault="00561840" w:rsidP="00561840">
      <w:pPr>
        <w:outlineLvl w:val="0"/>
        <w:rPr>
          <w:rFonts w:ascii="Verdana" w:hAnsi="Verdana"/>
          <w:b/>
        </w:rPr>
      </w:pPr>
      <w:r>
        <w:rPr>
          <w:rFonts w:ascii="Verdana" w:hAnsi="Verdana"/>
          <w:b/>
        </w:rPr>
        <w:t xml:space="preserve">8.2 </w:t>
      </w:r>
      <w:r>
        <w:rPr>
          <w:rFonts w:ascii="Verdana" w:hAnsi="Verdana"/>
          <w:b/>
        </w:rPr>
        <w:tab/>
        <w:t>IEEE Code of Ethics</w:t>
      </w:r>
    </w:p>
    <w:p w14:paraId="0DCD1908" w14:textId="77777777" w:rsidR="00561840" w:rsidRPr="00600A4F" w:rsidRDefault="00561840" w:rsidP="00561840">
      <w:pPr>
        <w:ind w:left="720"/>
        <w:rPr>
          <w:rFonts w:ascii="Verdana" w:hAnsi="Verdana"/>
        </w:rPr>
      </w:pPr>
    </w:p>
    <w:p w14:paraId="1046068D" w14:textId="77777777" w:rsidR="00561840" w:rsidRPr="007D5C03" w:rsidRDefault="00561840" w:rsidP="00561840">
      <w:pPr>
        <w:ind w:left="720"/>
        <w:rPr>
          <w:rFonts w:ascii="Verdana" w:hAnsi="Verdana"/>
          <w:b/>
        </w:rPr>
      </w:pPr>
      <w:r w:rsidRPr="007D5C03">
        <w:rPr>
          <w:rFonts w:ascii="Verdana" w:hAnsi="Verdana"/>
          <w:b/>
        </w:rPr>
        <w:t xml:space="preserve">I acknowledge that I have read and I understand the </w:t>
      </w:r>
      <w:hyperlink r:id="rId15" w:tgtFrame="_blank" w:history="1">
        <w:r w:rsidRPr="007D5C03">
          <w:rPr>
            <w:rStyle w:val="a7"/>
            <w:rFonts w:ascii="Verdana" w:hAnsi="Verdana"/>
            <w:b/>
          </w:rPr>
          <w:t>IEEE Code of Ethics</w:t>
        </w:r>
      </w:hyperlink>
    </w:p>
    <w:p w14:paraId="6975FD00" w14:textId="77777777" w:rsidR="00561840" w:rsidRPr="00720667" w:rsidRDefault="00561840" w:rsidP="00561840">
      <w:pPr>
        <w:ind w:left="720"/>
        <w:rPr>
          <w:rFonts w:ascii="Verdana" w:hAnsi="Verdana"/>
          <w:b/>
        </w:rPr>
      </w:pPr>
      <w:r w:rsidRPr="007D5C03">
        <w:rPr>
          <w:rFonts w:ascii="Verdana" w:hAnsi="Verdana"/>
          <w:b/>
        </w:rPr>
        <w:t>I agree to conduct myself in a manner that adheres to the IEEE Code of Ethics when engaged in official IEEE business.</w:t>
      </w:r>
    </w:p>
    <w:p w14:paraId="648661D3" w14:textId="6E77E887" w:rsidR="00DD499D" w:rsidRPr="00983F5E" w:rsidRDefault="00DD499D" w:rsidP="00561840">
      <w:pPr>
        <w:outlineLvl w:val="0"/>
        <w:rPr>
          <w:rFonts w:ascii="Times New Roman" w:hAnsi="Times New Roman" w:cs="Times New Roman"/>
          <w:b/>
          <w:bCs/>
          <w:sz w:val="29"/>
          <w:szCs w:val="29"/>
          <w:lang w:bidi="ar-SA"/>
        </w:rPr>
      </w:pPr>
    </w:p>
    <w:sectPr w:rsidR="00DD499D" w:rsidRPr="00983F5E" w:rsidSect="00E77609">
      <w:head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93B4B" w14:textId="77777777" w:rsidR="009E5C95" w:rsidRDefault="009E5C95" w:rsidP="008859FD">
      <w:pPr>
        <w:spacing w:after="0" w:line="240" w:lineRule="auto"/>
      </w:pPr>
      <w:r>
        <w:separator/>
      </w:r>
    </w:p>
  </w:endnote>
  <w:endnote w:type="continuationSeparator" w:id="0">
    <w:p w14:paraId="4B9A06A3" w14:textId="77777777" w:rsidR="009E5C95" w:rsidRDefault="009E5C95"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1C4E" w14:textId="77777777" w:rsidR="009E5C95" w:rsidRDefault="009E5C95" w:rsidP="008859FD">
      <w:pPr>
        <w:spacing w:after="0" w:line="240" w:lineRule="auto"/>
      </w:pPr>
      <w:r>
        <w:separator/>
      </w:r>
    </w:p>
  </w:footnote>
  <w:footnote w:type="continuationSeparator" w:id="0">
    <w:p w14:paraId="386AA5A1" w14:textId="77777777" w:rsidR="009E5C95" w:rsidRDefault="009E5C95"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7B271563" w:rsidR="00BC2A71" w:rsidRPr="00561840" w:rsidRDefault="00BC2A71">
    <w:pPr>
      <w:pStyle w:val="a8"/>
      <w:rPr>
        <w:rFonts w:ascii="Times New Roman" w:hAnsi="Times New Roman" w:cs="Times New Roman"/>
        <w:b/>
        <w:bCs/>
      </w:rPr>
    </w:pPr>
    <w:r w:rsidRPr="001E6211">
      <w:rPr>
        <w:rFonts w:ascii="Times New Roman" w:eastAsia="바탕체" w:hAnsi="Times New Roman" w:cs="Times New Roman"/>
        <w:b/>
        <w:bCs/>
        <w:sz w:val="24"/>
        <w:szCs w:val="24"/>
      </w:rPr>
      <w:t>3079-</w:t>
    </w:r>
    <w:r w:rsidR="00983F5E">
      <w:rPr>
        <w:rFonts w:ascii="Times New Roman" w:eastAsia="바탕체" w:hAnsi="Times New Roman" w:cs="Times New Roman" w:hint="eastAsia"/>
        <w:b/>
        <w:bCs/>
        <w:sz w:val="24"/>
        <w:szCs w:val="24"/>
      </w:rPr>
      <w:t>20</w:t>
    </w:r>
    <w:r w:rsidRPr="001E6211">
      <w:rPr>
        <w:rFonts w:ascii="Times New Roman" w:eastAsia="바탕체" w:hAnsi="Times New Roman" w:cs="Times New Roman"/>
        <w:b/>
        <w:bCs/>
        <w:sz w:val="24"/>
        <w:szCs w:val="24"/>
      </w:rPr>
      <w:t>-00</w:t>
    </w:r>
    <w:r w:rsidR="00983F5E">
      <w:rPr>
        <w:rFonts w:ascii="Times New Roman" w:eastAsia="바탕체" w:hAnsi="Times New Roman" w:cs="Times New Roman" w:hint="eastAsia"/>
        <w:b/>
        <w:bCs/>
        <w:sz w:val="24"/>
        <w:szCs w:val="24"/>
      </w:rPr>
      <w:t>0</w:t>
    </w:r>
    <w:r w:rsidR="00561840">
      <w:rPr>
        <w:rFonts w:ascii="Times New Roman" w:eastAsia="바탕체" w:hAnsi="Times New Roman" w:cs="Times New Roman" w:hint="eastAsia"/>
        <w:b/>
        <w:bCs/>
        <w:sz w:val="24"/>
        <w:szCs w:val="24"/>
      </w:rPr>
      <w:t>4</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Pr>
        <w:rFonts w:ascii="Times New Roman" w:eastAsia="바탕체" w:hAnsi="Times New Roman" w:cs="Times New Roman"/>
        <w:sz w:val="24"/>
        <w:szCs w:val="24"/>
      </w:rPr>
      <w:t>-</w:t>
    </w:r>
    <w:r w:rsidR="00561840" w:rsidRPr="00561840">
      <w:rPr>
        <w:rFonts w:ascii="Times New Roman" w:eastAsia="바탕체" w:hAnsi="Times New Roman" w:cs="Times New Roman"/>
        <w:b/>
        <w:bCs/>
        <w:sz w:val="24"/>
        <w:szCs w:val="24"/>
      </w:rPr>
      <w:t>Propose to new PAR of the ‘Mixed Reality Standard Framework for Motion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A79F0"/>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7471F"/>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4793"/>
    <w:rsid w:val="009E4E9B"/>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541E2"/>
    <w:rsid w:val="00E62ACC"/>
    <w:rsid w:val="00E7014F"/>
    <w:rsid w:val="00E77609"/>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ghlee@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development.standards.ieee.org/pub/view-sponsor-pn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4A85-BEC7-41C9-AFD4-71AC9744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938</Words>
  <Characters>5353</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3</cp:revision>
  <cp:lastPrinted>2018-07-09T07:10:00Z</cp:lastPrinted>
  <dcterms:created xsi:type="dcterms:W3CDTF">2020-02-02T12:14:00Z</dcterms:created>
  <dcterms:modified xsi:type="dcterms:W3CDTF">2020-02-02T12:21:00Z</dcterms:modified>
</cp:coreProperties>
</file>