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99" w:rsidRPr="00AE21B6" w:rsidRDefault="00F44899" w:rsidP="006B4F6A">
      <w:pPr>
        <w:pStyle w:val="Header"/>
        <w:rPr>
          <w:rFonts w:ascii="Arial" w:hAnsi="Arial" w:cs="Verdana"/>
          <w:color w:val="000000"/>
          <w:sz w:val="20"/>
          <w:szCs w:val="21"/>
        </w:rPr>
      </w:pPr>
      <w:r>
        <w:rPr>
          <w:rFonts w:ascii="Arial" w:hAnsi="Arial"/>
          <w:b/>
          <w:bCs/>
          <w:sz w:val="20"/>
        </w:rPr>
        <w:t>Tinkering with Tops</w:t>
      </w:r>
      <w:r w:rsidRPr="00C74C1F">
        <w:rPr>
          <w:rFonts w:ascii="Arial" w:hAnsi="Arial"/>
        </w:rPr>
        <w:br/>
      </w:r>
      <w:r w:rsidRPr="00A14D21">
        <w:rPr>
          <w:rFonts w:ascii="Arial" w:hAnsi="Arial" w:cs="Verdana"/>
          <w:color w:val="000000"/>
          <w:sz w:val="18"/>
          <w:szCs w:val="18"/>
        </w:rPr>
        <w:t>In this lesson, students build spinning tops out of everyday materials. Their challenge is to design a spinning top that can spin for at least 10 seconds within a circle 30 cm in diameter. Student teams design their spinning tops out of everyday materials and then test their designs. Students then evaluate the effectiveness of their spinning tops and those of other teams, and present their findings to the class.</w:t>
      </w:r>
    </w:p>
    <w:p w:rsidR="00F44899" w:rsidRPr="00A74A6E" w:rsidRDefault="00F44899"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F44899" w:rsidRPr="00EA725E" w:rsidTr="00EA725E">
        <w:trPr>
          <w:tblHeader/>
        </w:trPr>
        <w:tc>
          <w:tcPr>
            <w:tcW w:w="1818"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F44899" w:rsidRPr="00EA725E" w:rsidRDefault="00F44899" w:rsidP="00EA725E">
            <w:pPr>
              <w:jc w:val="center"/>
              <w:rPr>
                <w:rFonts w:ascii="Arial Bold" w:hAnsi="Arial Bold"/>
                <w:sz w:val="20"/>
              </w:rPr>
            </w:pPr>
            <w:r w:rsidRPr="00EA725E">
              <w:rPr>
                <w:rFonts w:ascii="Arial Bold" w:hAnsi="Arial Bold"/>
                <w:sz w:val="20"/>
              </w:rPr>
              <w:t>Physics</w:t>
            </w:r>
          </w:p>
        </w:tc>
      </w:tr>
      <w:tr w:rsidR="00F44899" w:rsidRPr="00EA725E" w:rsidTr="00EA725E">
        <w:trPr>
          <w:trHeight w:val="314"/>
        </w:trPr>
        <w:tc>
          <w:tcPr>
            <w:tcW w:w="14508" w:type="dxa"/>
            <w:gridSpan w:val="8"/>
            <w:vAlign w:val="center"/>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44899" w:rsidRPr="00EA725E" w:rsidRDefault="00F44899" w:rsidP="00282CCA"/>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44899" w:rsidRPr="00EA725E" w:rsidRDefault="00F44899" w:rsidP="00282CCA"/>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44899" w:rsidRPr="00EA725E" w:rsidRDefault="00F44899" w:rsidP="0022663F"/>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F44899"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F44899" w:rsidRPr="00EA725E" w:rsidRDefault="00F44899"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F44899" w:rsidRPr="00EA725E" w:rsidRDefault="00F44899"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F44899" w:rsidRPr="00EA725E" w:rsidRDefault="00F44899"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F44899" w:rsidRPr="00EA725E" w:rsidRDefault="00F44899"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F44899" w:rsidRPr="00EA725E" w:rsidRDefault="00F44899"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F44899" w:rsidRPr="00EA725E" w:rsidRDefault="00F44899"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F44899" w:rsidRPr="00EA725E" w:rsidRDefault="00F44899"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616E15">
            <w:pPr>
              <w:rPr>
                <w:rFonts w:ascii="Arial" w:hAnsi="Arial" w:cs="Arial"/>
                <w:color w:val="000000"/>
                <w:sz w:val="17"/>
                <w:szCs w:val="17"/>
              </w:rPr>
            </w:pPr>
          </w:p>
        </w:tc>
        <w:tc>
          <w:tcPr>
            <w:tcW w:w="1890" w:type="dxa"/>
          </w:tcPr>
          <w:p w:rsidR="00F44899" w:rsidRPr="00EA725E" w:rsidRDefault="00F44899" w:rsidP="00282CCA">
            <w:pPr>
              <w:rPr>
                <w:rFonts w:ascii="Arial" w:hAnsi="Arial" w:cs="Arial"/>
                <w:color w:val="000000"/>
                <w:sz w:val="17"/>
                <w:szCs w:val="17"/>
              </w:rPr>
            </w:pPr>
          </w:p>
        </w:tc>
        <w:tc>
          <w:tcPr>
            <w:tcW w:w="1890" w:type="dxa"/>
          </w:tcPr>
          <w:p w:rsidR="00F44899" w:rsidRPr="00EA725E" w:rsidRDefault="00F44899">
            <w:pPr>
              <w:rPr>
                <w:rFonts w:ascii="Arial" w:hAnsi="Arial" w:cs="Arial"/>
                <w:color w:val="000000"/>
                <w:sz w:val="17"/>
                <w:szCs w:val="17"/>
              </w:rPr>
            </w:pPr>
          </w:p>
        </w:tc>
        <w:tc>
          <w:tcPr>
            <w:tcW w:w="1890" w:type="dxa"/>
          </w:tcPr>
          <w:p w:rsidR="00F44899" w:rsidRPr="00EA725E" w:rsidRDefault="00F44899">
            <w:pPr>
              <w:rPr>
                <w:rFonts w:ascii="Arial" w:hAnsi="Arial" w:cs="Arial"/>
                <w:color w:val="000000"/>
                <w:sz w:val="17"/>
                <w:szCs w:val="17"/>
              </w:rPr>
            </w:pPr>
          </w:p>
        </w:tc>
        <w:tc>
          <w:tcPr>
            <w:tcW w:w="1800" w:type="dxa"/>
          </w:tcPr>
          <w:p w:rsidR="00F44899" w:rsidRPr="00EA725E" w:rsidRDefault="00F44899"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F44899" w:rsidRPr="009A25F5" w:rsidRDefault="00F44899"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F44899" w:rsidRPr="00EA725E" w:rsidTr="00A91C01">
        <w:trPr>
          <w:trHeight w:val="287"/>
        </w:trPr>
        <w:tc>
          <w:tcPr>
            <w:tcW w:w="14508" w:type="dxa"/>
            <w:gridSpan w:val="8"/>
            <w:vAlign w:val="center"/>
          </w:tcPr>
          <w:p w:rsidR="00F44899" w:rsidRPr="00012156" w:rsidRDefault="00F44899"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F44899" w:rsidRPr="00EA725E" w:rsidTr="00EA725E">
        <w:tc>
          <w:tcPr>
            <w:tcW w:w="1818" w:type="dxa"/>
          </w:tcPr>
          <w:p w:rsidR="00F44899" w:rsidRPr="00012156" w:rsidRDefault="00F44899"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F44899" w:rsidRPr="00012156" w:rsidRDefault="00F44899"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F44899" w:rsidRPr="00012156" w:rsidRDefault="00F44899"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F44899" w:rsidRPr="00012156" w:rsidRDefault="00F44899" w:rsidP="009A25F5">
            <w:pPr>
              <w:rPr>
                <w:rFonts w:ascii="Arial" w:hAnsi="Arial" w:cs="Arial"/>
                <w:color w:val="000000"/>
                <w:sz w:val="17"/>
                <w:szCs w:val="17"/>
              </w:rPr>
            </w:pPr>
          </w:p>
        </w:tc>
        <w:tc>
          <w:tcPr>
            <w:tcW w:w="1890" w:type="dxa"/>
          </w:tcPr>
          <w:p w:rsidR="00F44899" w:rsidRPr="00012156" w:rsidRDefault="00F44899" w:rsidP="00303811">
            <w:pPr>
              <w:rPr>
                <w:rFonts w:ascii="Arial" w:hAnsi="Arial" w:cs="Arial"/>
                <w:color w:val="000000"/>
                <w:sz w:val="17"/>
                <w:szCs w:val="17"/>
              </w:rPr>
            </w:pPr>
          </w:p>
        </w:tc>
        <w:tc>
          <w:tcPr>
            <w:tcW w:w="1890" w:type="dxa"/>
          </w:tcPr>
          <w:p w:rsidR="00F44899" w:rsidRPr="00012156" w:rsidRDefault="00F44899" w:rsidP="00303811">
            <w:pPr>
              <w:rPr>
                <w:rFonts w:ascii="Arial" w:hAnsi="Arial" w:cs="Arial"/>
                <w:color w:val="000000"/>
                <w:sz w:val="17"/>
                <w:szCs w:val="17"/>
              </w:rPr>
            </w:pPr>
          </w:p>
        </w:tc>
        <w:tc>
          <w:tcPr>
            <w:tcW w:w="1800" w:type="dxa"/>
          </w:tcPr>
          <w:p w:rsidR="00F44899" w:rsidRPr="006B4F6A" w:rsidRDefault="00F44899" w:rsidP="00303811">
            <w:pPr>
              <w:rPr>
                <w:rFonts w:ascii="Arial" w:hAnsi="Arial" w:cs="Arial"/>
                <w:color w:val="000000"/>
                <w:sz w:val="17"/>
                <w:szCs w:val="17"/>
              </w:rPr>
            </w:pPr>
            <w:r w:rsidRPr="006B4F6A">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F44899" w:rsidRPr="00012156" w:rsidRDefault="00F44899" w:rsidP="00303811">
            <w:pPr>
              <w:pStyle w:val="subparagrapha"/>
              <w:spacing w:before="2" w:after="2"/>
              <w:rPr>
                <w:rFonts w:ascii="Arial" w:hAnsi="Arial" w:cs="Arial"/>
                <w:color w:val="000000"/>
                <w:sz w:val="17"/>
                <w:szCs w:val="17"/>
              </w:rPr>
            </w:pPr>
          </w:p>
        </w:tc>
      </w:tr>
      <w:tr w:rsidR="00F44899" w:rsidRPr="00EA725E" w:rsidTr="00EA725E">
        <w:trPr>
          <w:trHeight w:val="305"/>
        </w:trPr>
        <w:tc>
          <w:tcPr>
            <w:tcW w:w="14508" w:type="dxa"/>
            <w:gridSpan w:val="8"/>
            <w:vAlign w:val="center"/>
          </w:tcPr>
          <w:p w:rsidR="00F44899" w:rsidRPr="00EA725E" w:rsidRDefault="00F44899" w:rsidP="00EA725E">
            <w:pPr>
              <w:jc w:val="center"/>
            </w:pPr>
            <w:r w:rsidRPr="00EA725E">
              <w:rPr>
                <w:rFonts w:ascii="Arial Bold" w:hAnsi="Arial Bold"/>
                <w:i/>
                <w:sz w:val="20"/>
              </w:rPr>
              <w:t>Strand:  Force, Motion and Energy</w:t>
            </w:r>
          </w:p>
        </w:tc>
      </w:tr>
      <w:tr w:rsidR="00F44899" w:rsidRPr="00EA725E" w:rsidTr="00EA725E">
        <w:tc>
          <w:tcPr>
            <w:tcW w:w="1818" w:type="dxa"/>
          </w:tcPr>
          <w:p w:rsidR="00F44899"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different forms of energy including mechanical, light, sound, and heat/thermal in everyday life.</w:t>
            </w:r>
          </w:p>
        </w:tc>
        <w:tc>
          <w:tcPr>
            <w:tcW w:w="1710" w:type="dxa"/>
          </w:tcPr>
          <w:p w:rsidR="00F44899"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Differentiate among forms of energy including mechanical, sound, electrical, light, and heat/thermal.</w:t>
            </w:r>
          </w:p>
          <w:p w:rsidR="00F44899" w:rsidRPr="006B4F6A" w:rsidRDefault="00F44899" w:rsidP="006B4F6A">
            <w:pPr>
              <w:jc w:val="center"/>
              <w:rPr>
                <w:rFonts w:ascii="Arial" w:hAnsi="Arial" w:cs="Arial"/>
                <w:sz w:val="17"/>
                <w:szCs w:val="17"/>
              </w:rPr>
            </w:pPr>
          </w:p>
        </w:tc>
        <w:tc>
          <w:tcPr>
            <w:tcW w:w="1710" w:type="dxa"/>
          </w:tcPr>
          <w:p w:rsidR="00F44899" w:rsidRPr="00462CE6" w:rsidRDefault="00F44899" w:rsidP="006B4F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the uses of energy including mechanical, light, thermal, electrical, and sound energy.</w:t>
            </w:r>
          </w:p>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462CE6" w:rsidRDefault="00F44899" w:rsidP="006B4F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p w:rsidR="00F44899" w:rsidRPr="00EA725E" w:rsidRDefault="00F44899" w:rsidP="00282CCA">
            <w:pPr>
              <w:rPr>
                <w:rFonts w:ascii="Arial" w:hAnsi="Arial" w:cs="Arial"/>
                <w:color w:val="000000"/>
                <w:sz w:val="17"/>
                <w:szCs w:val="17"/>
              </w:rPr>
            </w:pPr>
          </w:p>
        </w:tc>
        <w:tc>
          <w:tcPr>
            <w:tcW w:w="1890" w:type="dxa"/>
          </w:tcPr>
          <w:p w:rsidR="00F44899" w:rsidRPr="00EA725E" w:rsidRDefault="00F44899" w:rsidP="00CF6203">
            <w:pPr>
              <w:rPr>
                <w:rFonts w:ascii="Arial" w:hAnsi="Arial" w:cs="Arial"/>
                <w:color w:val="000000"/>
                <w:sz w:val="17"/>
                <w:szCs w:val="17"/>
              </w:rPr>
            </w:pPr>
          </w:p>
        </w:tc>
        <w:tc>
          <w:tcPr>
            <w:tcW w:w="1890" w:type="dxa"/>
          </w:tcPr>
          <w:p w:rsidR="00F44899" w:rsidRPr="00EA725E" w:rsidRDefault="00F44899" w:rsidP="00CF6203">
            <w:pPr>
              <w:rPr>
                <w:rFonts w:ascii="Arial" w:hAnsi="Arial" w:cs="Arial"/>
                <w:color w:val="000000"/>
                <w:sz w:val="17"/>
                <w:szCs w:val="17"/>
              </w:rPr>
            </w:pPr>
            <w:r w:rsidRPr="00EA725E">
              <w:rPr>
                <w:rFonts w:ascii="Arial" w:hAnsi="Arial" w:cs="Arial"/>
                <w:color w:val="000000"/>
                <w:sz w:val="17"/>
                <w:szCs w:val="17"/>
              </w:rPr>
              <w:t>6.A  Demonstrate and calculate how unbalanced forces change the speed or direction of an object's motion.</w:t>
            </w:r>
          </w:p>
        </w:tc>
        <w:tc>
          <w:tcPr>
            <w:tcW w:w="1800" w:type="dxa"/>
          </w:tcPr>
          <w:p w:rsidR="00F44899" w:rsidRPr="009A25F5" w:rsidRDefault="00F44899" w:rsidP="002D2597">
            <w:pPr>
              <w:rPr>
                <w:rFonts w:ascii="Arial" w:hAnsi="Arial" w:cs="Arial"/>
                <w:sz w:val="17"/>
                <w:szCs w:val="17"/>
              </w:rPr>
            </w:pPr>
            <w:r w:rsidRPr="009A25F5">
              <w:rPr>
                <w:rFonts w:ascii="Arial" w:hAnsi="Arial" w:cs="Arial"/>
                <w:sz w:val="17"/>
                <w:szCs w:val="17"/>
              </w:rPr>
              <w:t>4.A  Describe and calculate an object’s motion in terms of position, displacement, speed and acceleration.</w:t>
            </w:r>
          </w:p>
        </w:tc>
        <w:tc>
          <w:tcPr>
            <w:tcW w:w="1800" w:type="dxa"/>
          </w:tcPr>
          <w:p w:rsidR="00F44899" w:rsidRPr="00EA725E" w:rsidRDefault="00F44899">
            <w:pPr>
              <w:rPr>
                <w:rFonts w:ascii="Arial" w:hAnsi="Arial" w:cs="Arial"/>
                <w:color w:val="000000"/>
                <w:sz w:val="17"/>
                <w:szCs w:val="17"/>
              </w:rPr>
            </w:pPr>
            <w:r>
              <w:rPr>
                <w:rFonts w:ascii="Arial" w:hAnsi="Arial" w:cs="Arial"/>
                <w:color w:val="000000"/>
                <w:sz w:val="17"/>
                <w:szCs w:val="17"/>
              </w:rPr>
              <w:t xml:space="preserve">4.B  </w:t>
            </w:r>
            <w:r w:rsidRPr="00A14D21">
              <w:rPr>
                <w:rFonts w:ascii="Arial" w:hAnsi="Arial" w:cs="Arial"/>
                <w:color w:val="000000"/>
                <w:sz w:val="17"/>
                <w:szCs w:val="17"/>
              </w:rPr>
              <w:t>Describe and analyze motion in one dimension using equations with the concepts of distance, displacement, speed, average velocity, instantaneous velocity, and acceleration.</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F44899" w:rsidRPr="00EA725E" w:rsidRDefault="00F44899"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F44899" w:rsidRPr="00EA725E" w:rsidRDefault="00F44899" w:rsidP="00CF6203">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F44899" w:rsidRPr="006B4F6A" w:rsidRDefault="00F44899" w:rsidP="00CF6203">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F44899" w:rsidRPr="009A25F5" w:rsidRDefault="00F44899" w:rsidP="002D2597">
            <w:pPr>
              <w:rPr>
                <w:rFonts w:ascii="Arial" w:hAnsi="Arial" w:cs="Arial"/>
                <w:sz w:val="17"/>
                <w:szCs w:val="17"/>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F44899" w:rsidRPr="00A14D21" w:rsidRDefault="00F44899">
            <w:pPr>
              <w:rPr>
                <w:rFonts w:ascii="Arial" w:hAnsi="Arial" w:cs="Arial"/>
                <w:sz w:val="17"/>
                <w:szCs w:val="17"/>
              </w:rPr>
            </w:pPr>
            <w:r w:rsidRPr="00A14D21">
              <w:rPr>
                <w:rFonts w:ascii="Arial" w:hAnsi="Arial" w:cs="Arial"/>
                <w:sz w:val="17"/>
                <w:szCs w:val="17"/>
              </w:rPr>
              <w:t>4.C  Analyze and describe accelerated motion in two dimensions using equations including projectile and circular examples.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1890" w:type="dxa"/>
          </w:tcPr>
          <w:p w:rsidR="00F44899" w:rsidRPr="00EA725E" w:rsidRDefault="00F44899" w:rsidP="00CE0E82"/>
        </w:tc>
        <w:tc>
          <w:tcPr>
            <w:tcW w:w="1890" w:type="dxa"/>
          </w:tcPr>
          <w:p w:rsidR="00F44899" w:rsidRPr="00EA725E" w:rsidRDefault="00F44899"/>
        </w:tc>
        <w:tc>
          <w:tcPr>
            <w:tcW w:w="1800" w:type="dxa"/>
          </w:tcPr>
          <w:p w:rsidR="00F44899" w:rsidRPr="006B4F6A" w:rsidRDefault="00F44899" w:rsidP="002D2597">
            <w:pPr>
              <w:rPr>
                <w:rFonts w:ascii="Arial" w:hAnsi="Arial" w:cs="Arial"/>
                <w:sz w:val="17"/>
                <w:szCs w:val="17"/>
              </w:rPr>
            </w:pPr>
            <w:r w:rsidRPr="006B4F6A">
              <w:rPr>
                <w:rFonts w:ascii="Arial" w:hAnsi="Arial" w:cs="Arial"/>
                <w:sz w:val="17"/>
                <w:szCs w:val="17"/>
              </w:rPr>
              <w:t>4.D  Assess the relationship between force, mass and acceleration, noting the relationship is independent of the nature of the force, using equipment such as dynamic carts, moving toys, vehicles and falling objects.</w:t>
            </w:r>
          </w:p>
        </w:tc>
        <w:tc>
          <w:tcPr>
            <w:tcW w:w="1800" w:type="dxa"/>
          </w:tcPr>
          <w:p w:rsidR="00F44899" w:rsidRPr="00EA725E" w:rsidRDefault="00F44899">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CF6203">
            <w:pPr>
              <w:rPr>
                <w:rFonts w:ascii="Arial" w:hAnsi="Arial" w:cs="Arial"/>
                <w:color w:val="000000"/>
                <w:sz w:val="17"/>
                <w:szCs w:val="17"/>
              </w:rPr>
            </w:pPr>
          </w:p>
        </w:tc>
        <w:tc>
          <w:tcPr>
            <w:tcW w:w="1890" w:type="dxa"/>
          </w:tcPr>
          <w:p w:rsidR="00F44899" w:rsidRPr="00EA725E" w:rsidRDefault="00F44899" w:rsidP="00CE0E82"/>
        </w:tc>
        <w:tc>
          <w:tcPr>
            <w:tcW w:w="1890" w:type="dxa"/>
          </w:tcPr>
          <w:p w:rsidR="00F44899" w:rsidRPr="00EA725E" w:rsidRDefault="00F44899"/>
        </w:tc>
        <w:tc>
          <w:tcPr>
            <w:tcW w:w="1800" w:type="dxa"/>
          </w:tcPr>
          <w:p w:rsidR="00F44899" w:rsidRDefault="00F44899" w:rsidP="002D2597">
            <w:pPr>
              <w:rPr>
                <w:rFonts w:ascii="Arial" w:hAnsi="Arial" w:cs="Arial"/>
                <w:color w:val="000000"/>
                <w:sz w:val="17"/>
                <w:szCs w:val="17"/>
              </w:rPr>
            </w:pPr>
            <w:r>
              <w:rPr>
                <w:rFonts w:ascii="Arial" w:hAnsi="Arial" w:cs="Arial"/>
                <w:color w:val="000000"/>
                <w:sz w:val="17"/>
                <w:szCs w:val="17"/>
              </w:rPr>
              <w:t xml:space="preserve">4.E  </w:t>
            </w:r>
            <w:r w:rsidRPr="006B4F6A">
              <w:rPr>
                <w:rFonts w:ascii="Arial" w:hAnsi="Arial" w:cs="Arial"/>
                <w:color w:val="000000"/>
                <w:sz w:val="17"/>
                <w:szCs w:val="17"/>
              </w:rPr>
              <w:t>Apply the concept of conservation of momentum using action and reaction forces such as is illustrated by students on skateboards.</w:t>
            </w:r>
          </w:p>
        </w:tc>
        <w:tc>
          <w:tcPr>
            <w:tcW w:w="1800" w:type="dxa"/>
          </w:tcPr>
          <w:p w:rsidR="00F44899" w:rsidRPr="00EA725E" w:rsidRDefault="00F44899">
            <w:pPr>
              <w:rPr>
                <w:rFonts w:ascii="Arial" w:hAnsi="Arial" w:cs="Arial"/>
                <w:color w:val="000000"/>
                <w:sz w:val="17"/>
                <w:szCs w:val="17"/>
              </w:rPr>
            </w:pPr>
            <w:r>
              <w:rPr>
                <w:rFonts w:ascii="Arial" w:hAnsi="Arial" w:cs="Arial"/>
                <w:color w:val="000000"/>
                <w:sz w:val="17"/>
                <w:szCs w:val="17"/>
              </w:rPr>
              <w:t xml:space="preserve">4.F  </w:t>
            </w:r>
            <w:r w:rsidRPr="00A14D21">
              <w:rPr>
                <w:rFonts w:ascii="Arial" w:hAnsi="Arial" w:cs="Arial"/>
                <w:color w:val="000000"/>
                <w:sz w:val="17"/>
                <w:szCs w:val="17"/>
              </w:rPr>
              <w:t>Identify and describe motion relative to different frames of reference.</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CF6203">
            <w:pPr>
              <w:rPr>
                <w:rFonts w:ascii="Arial" w:hAnsi="Arial" w:cs="Arial"/>
                <w:color w:val="000000"/>
                <w:sz w:val="17"/>
                <w:szCs w:val="17"/>
              </w:rPr>
            </w:pPr>
          </w:p>
        </w:tc>
        <w:tc>
          <w:tcPr>
            <w:tcW w:w="1890" w:type="dxa"/>
          </w:tcPr>
          <w:p w:rsidR="00F44899" w:rsidRPr="00EA725E" w:rsidRDefault="00F44899" w:rsidP="00CE0E82"/>
        </w:tc>
        <w:tc>
          <w:tcPr>
            <w:tcW w:w="1890" w:type="dxa"/>
          </w:tcPr>
          <w:p w:rsidR="00F44899" w:rsidRPr="00EA725E" w:rsidRDefault="00F44899"/>
        </w:tc>
        <w:tc>
          <w:tcPr>
            <w:tcW w:w="1800" w:type="dxa"/>
          </w:tcPr>
          <w:p w:rsidR="00F44899" w:rsidRPr="00EA725E" w:rsidRDefault="00F44899" w:rsidP="002D2597">
            <w:pPr>
              <w:rPr>
                <w:rFonts w:ascii="Arial" w:hAnsi="Arial" w:cs="Arial"/>
                <w:color w:val="000000"/>
                <w:sz w:val="17"/>
                <w:szCs w:val="17"/>
              </w:rPr>
            </w:pPr>
            <w:r>
              <w:rPr>
                <w:rFonts w:ascii="Arial" w:hAnsi="Arial" w:cs="Arial"/>
                <w:color w:val="000000"/>
                <w:sz w:val="17"/>
                <w:szCs w:val="17"/>
              </w:rPr>
              <w:t xml:space="preserve">5.A  </w:t>
            </w:r>
            <w:r w:rsidRPr="009A25F5">
              <w:rPr>
                <w:rFonts w:ascii="Arial" w:hAnsi="Arial" w:cs="Arial"/>
                <w:color w:val="000000"/>
                <w:sz w:val="17"/>
                <w:szCs w:val="17"/>
              </w:rPr>
              <w:t>Recognize and demonstrate that objects and substances in motion have kinetic energy such as vibration of atoms, water flowing down a stream moving pebbles, and bowling balls knocking down pins.</w:t>
            </w:r>
          </w:p>
        </w:tc>
        <w:tc>
          <w:tcPr>
            <w:tcW w:w="1800" w:type="dxa"/>
          </w:tcPr>
          <w:p w:rsidR="00F44899" w:rsidRPr="00EA725E" w:rsidRDefault="00F44899">
            <w:pPr>
              <w:rPr>
                <w:rFonts w:ascii="Arial" w:hAnsi="Arial" w:cs="Arial"/>
                <w:color w:val="000000"/>
                <w:sz w:val="17"/>
                <w:szCs w:val="17"/>
              </w:rPr>
            </w:pPr>
            <w:r>
              <w:rPr>
                <w:rFonts w:ascii="Arial" w:hAnsi="Arial" w:cs="Arial"/>
                <w:color w:val="000000"/>
                <w:sz w:val="17"/>
                <w:szCs w:val="17"/>
              </w:rPr>
              <w:t xml:space="preserve">6.B  </w:t>
            </w:r>
            <w:r w:rsidRPr="00A14D21">
              <w:rPr>
                <w:rFonts w:ascii="Arial" w:hAnsi="Arial" w:cs="Arial"/>
                <w:color w:val="000000"/>
                <w:sz w:val="17"/>
                <w:szCs w:val="17"/>
              </w:rPr>
              <w:t>Investigate examples of kinetic and potential energy and their transformations.</w:t>
            </w:r>
          </w:p>
        </w:tc>
      </w:tr>
      <w:tr w:rsidR="00F44899" w:rsidRPr="00EA725E" w:rsidTr="00EA725E">
        <w:tc>
          <w:tcPr>
            <w:tcW w:w="1818"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44899" w:rsidRPr="00EA725E" w:rsidRDefault="00F4489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44899" w:rsidRPr="00EA725E" w:rsidRDefault="00F44899" w:rsidP="00CF6203">
            <w:pPr>
              <w:rPr>
                <w:rFonts w:ascii="Arial" w:hAnsi="Arial" w:cs="Arial"/>
                <w:color w:val="000000"/>
                <w:sz w:val="17"/>
                <w:szCs w:val="17"/>
              </w:rPr>
            </w:pPr>
          </w:p>
        </w:tc>
        <w:tc>
          <w:tcPr>
            <w:tcW w:w="1890" w:type="dxa"/>
          </w:tcPr>
          <w:p w:rsidR="00F44899" w:rsidRPr="00EA725E" w:rsidRDefault="00F44899" w:rsidP="00CE0E82"/>
        </w:tc>
        <w:tc>
          <w:tcPr>
            <w:tcW w:w="1890" w:type="dxa"/>
          </w:tcPr>
          <w:p w:rsidR="00F44899" w:rsidRPr="00EA725E" w:rsidRDefault="00F44899"/>
        </w:tc>
        <w:tc>
          <w:tcPr>
            <w:tcW w:w="1800" w:type="dxa"/>
          </w:tcPr>
          <w:p w:rsidR="00F44899" w:rsidRDefault="00F44899" w:rsidP="002D2597">
            <w:pPr>
              <w:rPr>
                <w:rFonts w:ascii="Arial" w:hAnsi="Arial" w:cs="Arial"/>
                <w:color w:val="000000"/>
                <w:sz w:val="17"/>
                <w:szCs w:val="17"/>
              </w:rPr>
            </w:pPr>
            <w:r>
              <w:rPr>
                <w:rFonts w:ascii="Arial" w:hAnsi="Arial" w:cs="Arial"/>
                <w:color w:val="000000"/>
                <w:sz w:val="17"/>
                <w:szCs w:val="17"/>
              </w:rPr>
              <w:t xml:space="preserve">5.B  </w:t>
            </w:r>
            <w:r w:rsidRPr="009A25F5">
              <w:rPr>
                <w:rFonts w:ascii="Arial" w:hAnsi="Arial" w:cs="Arial"/>
                <w:color w:val="000000"/>
                <w:sz w:val="17"/>
                <w:szCs w:val="17"/>
              </w:rPr>
              <w:t>Demonstrate common forms of potential energy including gravitational, elastic, and chemical, such as a ball on an inclined plane, springs and batteries.</w:t>
            </w:r>
          </w:p>
        </w:tc>
        <w:tc>
          <w:tcPr>
            <w:tcW w:w="1800" w:type="dxa"/>
          </w:tcPr>
          <w:p w:rsidR="00F44899" w:rsidRPr="00EA725E" w:rsidRDefault="00F44899">
            <w:pPr>
              <w:rPr>
                <w:rFonts w:ascii="Arial" w:hAnsi="Arial" w:cs="Arial"/>
                <w:color w:val="000000"/>
                <w:sz w:val="17"/>
                <w:szCs w:val="17"/>
              </w:rPr>
            </w:pPr>
            <w:r>
              <w:rPr>
                <w:rFonts w:ascii="Arial" w:hAnsi="Arial" w:cs="Arial"/>
                <w:color w:val="000000"/>
                <w:sz w:val="17"/>
                <w:szCs w:val="17"/>
              </w:rPr>
              <w:t xml:space="preserve">6.D  </w:t>
            </w:r>
            <w:r w:rsidRPr="00A14D21">
              <w:rPr>
                <w:rFonts w:ascii="Arial" w:hAnsi="Arial" w:cs="Arial"/>
                <w:color w:val="000000"/>
                <w:sz w:val="17"/>
                <w:szCs w:val="17"/>
              </w:rPr>
              <w:t>Demonstrate and apply the laws of conservation of energy and conservation of momentum in one dimension.</w:t>
            </w:r>
          </w:p>
        </w:tc>
      </w:tr>
    </w:tbl>
    <w:p w:rsidR="00F44899" w:rsidRDefault="00F44899"/>
    <w:sectPr w:rsidR="00F44899"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99" w:rsidRDefault="00F44899" w:rsidP="00BC0026">
      <w:r>
        <w:separator/>
      </w:r>
    </w:p>
  </w:endnote>
  <w:endnote w:type="continuationSeparator" w:id="0">
    <w:p w:rsidR="00F44899" w:rsidRDefault="00F44899"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99" w:rsidRDefault="00F44899"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899" w:rsidRDefault="00F44899"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99" w:rsidRPr="00784AEF" w:rsidRDefault="00F44899"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F44899" w:rsidRPr="00971F47" w:rsidRDefault="00F44899"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99" w:rsidRDefault="00F44899" w:rsidP="00BC0026">
      <w:r>
        <w:separator/>
      </w:r>
    </w:p>
  </w:footnote>
  <w:footnote w:type="continuationSeparator" w:id="0">
    <w:p w:rsidR="00F44899" w:rsidRDefault="00F44899"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99" w:rsidRPr="00F17693" w:rsidRDefault="00F44899">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070C2"/>
    <w:rsid w:val="00011784"/>
    <w:rsid w:val="00012156"/>
    <w:rsid w:val="00046199"/>
    <w:rsid w:val="00047DEA"/>
    <w:rsid w:val="00055349"/>
    <w:rsid w:val="00064002"/>
    <w:rsid w:val="000A588A"/>
    <w:rsid w:val="000C5321"/>
    <w:rsid w:val="000C7DA8"/>
    <w:rsid w:val="001966BE"/>
    <w:rsid w:val="001F1281"/>
    <w:rsid w:val="0022663F"/>
    <w:rsid w:val="00250B28"/>
    <w:rsid w:val="00261820"/>
    <w:rsid w:val="00282CCA"/>
    <w:rsid w:val="002B3E8B"/>
    <w:rsid w:val="002D2597"/>
    <w:rsid w:val="002F1BD2"/>
    <w:rsid w:val="00303811"/>
    <w:rsid w:val="0033553A"/>
    <w:rsid w:val="003450EA"/>
    <w:rsid w:val="003916B9"/>
    <w:rsid w:val="003A5DF3"/>
    <w:rsid w:val="0044481F"/>
    <w:rsid w:val="0044789B"/>
    <w:rsid w:val="00462CE6"/>
    <w:rsid w:val="005134D0"/>
    <w:rsid w:val="00553499"/>
    <w:rsid w:val="00597032"/>
    <w:rsid w:val="00616E15"/>
    <w:rsid w:val="006837CA"/>
    <w:rsid w:val="006B4F6A"/>
    <w:rsid w:val="00741489"/>
    <w:rsid w:val="0077424B"/>
    <w:rsid w:val="00784AEF"/>
    <w:rsid w:val="00842320"/>
    <w:rsid w:val="008426F4"/>
    <w:rsid w:val="00865D4B"/>
    <w:rsid w:val="008717FD"/>
    <w:rsid w:val="008E3621"/>
    <w:rsid w:val="008F40F7"/>
    <w:rsid w:val="00915808"/>
    <w:rsid w:val="00920382"/>
    <w:rsid w:val="009558F3"/>
    <w:rsid w:val="00971F47"/>
    <w:rsid w:val="00974F8A"/>
    <w:rsid w:val="00992FFB"/>
    <w:rsid w:val="009A25F5"/>
    <w:rsid w:val="00A14D21"/>
    <w:rsid w:val="00A22E89"/>
    <w:rsid w:val="00A35B89"/>
    <w:rsid w:val="00A705FE"/>
    <w:rsid w:val="00A7223E"/>
    <w:rsid w:val="00A74A6E"/>
    <w:rsid w:val="00A91C01"/>
    <w:rsid w:val="00AD2E48"/>
    <w:rsid w:val="00AE21B6"/>
    <w:rsid w:val="00B40112"/>
    <w:rsid w:val="00BC0026"/>
    <w:rsid w:val="00BE35F4"/>
    <w:rsid w:val="00BF79C1"/>
    <w:rsid w:val="00C537B9"/>
    <w:rsid w:val="00C74C1F"/>
    <w:rsid w:val="00CA3A34"/>
    <w:rsid w:val="00CE0E82"/>
    <w:rsid w:val="00CE160C"/>
    <w:rsid w:val="00CF6203"/>
    <w:rsid w:val="00D21E68"/>
    <w:rsid w:val="00D844DD"/>
    <w:rsid w:val="00E166A3"/>
    <w:rsid w:val="00E34032"/>
    <w:rsid w:val="00E6752E"/>
    <w:rsid w:val="00EA725E"/>
    <w:rsid w:val="00EC0956"/>
    <w:rsid w:val="00ED5688"/>
    <w:rsid w:val="00F17693"/>
    <w:rsid w:val="00F249E4"/>
    <w:rsid w:val="00F44899"/>
    <w:rsid w:val="00F45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1919</Words>
  <Characters>11516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5</cp:revision>
  <cp:lastPrinted>2010-07-26T16:31:00Z</cp:lastPrinted>
  <dcterms:created xsi:type="dcterms:W3CDTF">2010-08-25T15:30:00Z</dcterms:created>
  <dcterms:modified xsi:type="dcterms:W3CDTF">2010-08-26T19:28:00Z</dcterms:modified>
</cp:coreProperties>
</file>