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1F" w:rsidRDefault="006C1C1F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  <w:r>
        <w:rPr>
          <w:rFonts w:ascii="Arial" w:hAnsi="Arial"/>
          <w:b/>
          <w:bCs/>
          <w:sz w:val="20"/>
        </w:rPr>
        <w:t>Smooth Operator</w:t>
      </w:r>
      <w:r w:rsidRPr="00C74C1F">
        <w:rPr>
          <w:rFonts w:ascii="Arial" w:hAnsi="Arial"/>
        </w:rPr>
        <w:br/>
      </w:r>
      <w:r w:rsidRPr="003922BF">
        <w:rPr>
          <w:rFonts w:ascii="Arial" w:hAnsi="Arial" w:cs="Verdana"/>
          <w:color w:val="000000"/>
          <w:sz w:val="20"/>
          <w:szCs w:val="21"/>
        </w:rPr>
        <w:t>This lesson focuses on surgical instrument design. Teams of students construct surgical instruments from everyday materials. They then test their surgical instruments to determine how well they can perform a simulated “surgical procedure”.</w:t>
      </w:r>
    </w:p>
    <w:p w:rsidR="006C1C1F" w:rsidRPr="00A74A6E" w:rsidRDefault="006C1C1F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6C1C1F" w:rsidRPr="00EA725E" w:rsidTr="00EA725E">
        <w:trPr>
          <w:tblHeader/>
        </w:trPr>
        <w:tc>
          <w:tcPr>
            <w:tcW w:w="1818" w:type="dxa"/>
            <w:shd w:val="clear" w:color="auto" w:fill="E6E6E6"/>
          </w:tcPr>
          <w:p w:rsidR="006C1C1F" w:rsidRPr="00EA725E" w:rsidRDefault="006C1C1F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6C1C1F" w:rsidRPr="00EA725E" w:rsidRDefault="006C1C1F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6C1C1F" w:rsidRPr="00EA725E" w:rsidRDefault="006C1C1F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6C1C1F" w:rsidRPr="00EA725E" w:rsidRDefault="006C1C1F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6C1C1F" w:rsidRPr="00EA725E" w:rsidRDefault="006C1C1F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6C1C1F" w:rsidRPr="00EA725E" w:rsidRDefault="006C1C1F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6C1C1F" w:rsidRPr="00EA725E" w:rsidRDefault="006C1C1F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1800" w:type="dxa"/>
            <w:shd w:val="clear" w:color="auto" w:fill="E6E6E6"/>
          </w:tcPr>
          <w:p w:rsidR="006C1C1F" w:rsidRPr="00EA725E" w:rsidRDefault="006C1C1F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6C1C1F" w:rsidRPr="00EA725E" w:rsidTr="00EA725E">
        <w:trPr>
          <w:trHeight w:val="314"/>
        </w:trPr>
        <w:tc>
          <w:tcPr>
            <w:tcW w:w="14508" w:type="dxa"/>
            <w:gridSpan w:val="8"/>
            <w:vAlign w:val="center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6C1C1F" w:rsidRPr="00EA725E" w:rsidRDefault="006C1C1F" w:rsidP="00282CCA"/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6C1C1F" w:rsidRPr="00EA725E" w:rsidRDefault="006C1C1F" w:rsidP="00282CCA"/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6C1C1F" w:rsidRPr="00EA725E" w:rsidRDefault="006C1C1F" w:rsidP="0022663F"/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6C1C1F" w:rsidRPr="00EA725E" w:rsidRDefault="006C1C1F" w:rsidP="003922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6C1C1F" w:rsidRPr="00EA725E" w:rsidRDefault="006C1C1F" w:rsidP="003922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6C1C1F" w:rsidRPr="00EA725E" w:rsidRDefault="006C1C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6C1C1F" w:rsidRPr="00EA725E" w:rsidRDefault="006C1C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Perform repeated investigations to increase the reliability of results.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Demonstrate that repeated investigations may increase the reliability of results.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3.C  Draw or develop a model that represents how something works or looks that cannot be seen such as how a soda dispensing machine works.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 model of Earth’s layers.</w:t>
            </w:r>
          </w:p>
          <w:p w:rsidR="006C1C1F" w:rsidRPr="00EA725E" w:rsidRDefault="006C1C1F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human body systems, and plant and animal cells.</w:t>
            </w:r>
          </w:p>
        </w:tc>
        <w:tc>
          <w:tcPr>
            <w:tcW w:w="189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an atom, a molecule, space or a geologic feature.</w:t>
            </w:r>
          </w:p>
          <w:p w:rsidR="006C1C1F" w:rsidRPr="00EA725E" w:rsidRDefault="006C1C1F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EA725E" w:rsidRDefault="006C1C1F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EA725E" w:rsidRDefault="006C1C1F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6C1C1F" w:rsidRPr="00EA725E" w:rsidRDefault="006C1C1F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6C1C1F" w:rsidRPr="00EA725E" w:rsidRDefault="006C1C1F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6C1C1F" w:rsidRPr="00EA725E" w:rsidRDefault="006C1C1F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6C1C1F" w:rsidRPr="00EA725E" w:rsidRDefault="006C1C1F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6C1C1F" w:rsidRPr="00EA725E" w:rsidRDefault="006C1C1F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6C1C1F" w:rsidRPr="00EA725E" w:rsidRDefault="006C1C1F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EA725E" w:rsidRDefault="006C1C1F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1800" w:type="dxa"/>
          </w:tcPr>
          <w:p w:rsidR="006C1C1F" w:rsidRPr="00EA725E" w:rsidRDefault="006C1C1F" w:rsidP="00EA725E">
            <w:pPr>
              <w:pStyle w:val="subparagrapha"/>
              <w:spacing w:before="2" w:after="2"/>
              <w:rPr>
                <w:rFonts w:ascii="Arial" w:hAnsi="Arial"/>
                <w:sz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6C1C1F" w:rsidRPr="00EA725E" w:rsidTr="00684E63">
        <w:trPr>
          <w:trHeight w:val="302"/>
        </w:trPr>
        <w:tc>
          <w:tcPr>
            <w:tcW w:w="14508" w:type="dxa"/>
            <w:gridSpan w:val="8"/>
            <w:vAlign w:val="center"/>
          </w:tcPr>
          <w:p w:rsidR="006C1C1F" w:rsidRPr="00EA725E" w:rsidRDefault="006C1C1F" w:rsidP="00684E63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 Bold" w:hAnsi="Arial Bold"/>
                <w:i/>
              </w:rPr>
              <w:t xml:space="preserve">Strand:  </w:t>
            </w:r>
            <w:r>
              <w:rPr>
                <w:rFonts w:ascii="Arial Bold" w:hAnsi="Arial Bold"/>
                <w:i/>
              </w:rPr>
              <w:t>Matter</w:t>
            </w:r>
            <w:r w:rsidRPr="00191CCF">
              <w:rPr>
                <w:rFonts w:ascii="Arial Bold" w:hAnsi="Arial Bold"/>
                <w:i/>
              </w:rPr>
              <w:t xml:space="preserve"> and Energy</w:t>
            </w:r>
          </w:p>
        </w:tc>
      </w:tr>
      <w:tr w:rsidR="006C1C1F" w:rsidRPr="00EA725E" w:rsidTr="00EA725E">
        <w:tc>
          <w:tcPr>
            <w:tcW w:w="1818" w:type="dxa"/>
          </w:tcPr>
          <w:p w:rsidR="006C1C1F" w:rsidRPr="00191CCF" w:rsidRDefault="006C1C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test, and record physical properties of matter including temperature, mass, magnetism, and the ability to sink or float.</w:t>
            </w:r>
          </w:p>
        </w:tc>
        <w:tc>
          <w:tcPr>
            <w:tcW w:w="1710" w:type="dxa"/>
          </w:tcPr>
          <w:p w:rsidR="006C1C1F" w:rsidRPr="00191CCF" w:rsidRDefault="006C1C1F" w:rsidP="00FD2A2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compare, and contrast physical properties of matter including size, mass, volume, states (solid, liquid, gas), temperature, magnetism, and the ability to sink or float.</w:t>
            </w:r>
          </w:p>
        </w:tc>
        <w:tc>
          <w:tcPr>
            <w:tcW w:w="1710" w:type="dxa"/>
          </w:tcPr>
          <w:p w:rsidR="006C1C1F" w:rsidRPr="00191CCF" w:rsidRDefault="006C1C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Classify matter based on physical properties including: mass, magnetism, physical state, relative density (sinking and floating), and solubility in water, and the ability to conduct or insulate thermal energy or electric energy.</w:t>
            </w:r>
          </w:p>
        </w:tc>
        <w:tc>
          <w:tcPr>
            <w:tcW w:w="1890" w:type="dxa"/>
          </w:tcPr>
          <w:p w:rsidR="006C1C1F" w:rsidRPr="00191CCF" w:rsidRDefault="006C1C1F" w:rsidP="00FD2A2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191CCF" w:rsidRDefault="006C1C1F" w:rsidP="00FD2A2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191CCF" w:rsidRDefault="006C1C1F" w:rsidP="00FD2A2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24558A" w:rsidRDefault="006C1C1F" w:rsidP="00FD2A2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558A">
              <w:rPr>
                <w:rFonts w:ascii="Arial" w:hAnsi="Arial" w:cs="Arial"/>
                <w:sz w:val="17"/>
                <w:szCs w:val="17"/>
              </w:rPr>
              <w:t>6.C  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1800" w:type="dxa"/>
          </w:tcPr>
          <w:p w:rsidR="006C1C1F" w:rsidRPr="00191CCF" w:rsidRDefault="006C1C1F" w:rsidP="00FD2A26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C1C1F" w:rsidRPr="00EA725E" w:rsidTr="00EA725E">
        <w:trPr>
          <w:trHeight w:val="305"/>
        </w:trPr>
        <w:tc>
          <w:tcPr>
            <w:tcW w:w="14508" w:type="dxa"/>
            <w:gridSpan w:val="8"/>
            <w:vAlign w:val="center"/>
          </w:tcPr>
          <w:p w:rsidR="006C1C1F" w:rsidRPr="00EA725E" w:rsidRDefault="006C1C1F" w:rsidP="00EA725E">
            <w:pPr>
              <w:jc w:val="center"/>
            </w:pPr>
            <w:r w:rsidRPr="00EA725E">
              <w:rPr>
                <w:rFonts w:ascii="Arial Bold" w:hAnsi="Arial Bold"/>
                <w:i/>
                <w:sz w:val="20"/>
              </w:rPr>
              <w:t>Strand:  Force, Motion and Energy</w:t>
            </w: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6.B  Demonstrate and observe how position and motion can be changed by pushing and pulling objects to show work being done such as swings, balls, pulleys, and wagons.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6C1C1F" w:rsidRPr="00EA725E" w:rsidRDefault="006C1C1F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1890" w:type="dxa"/>
          </w:tcPr>
          <w:p w:rsidR="006C1C1F" w:rsidRPr="00EA725E" w:rsidRDefault="006C1C1F" w:rsidP="00CF6203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1890" w:type="dxa"/>
          </w:tcPr>
          <w:p w:rsidR="006C1C1F" w:rsidRPr="00EA725E" w:rsidRDefault="006C1C1F" w:rsidP="00CF6203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motion.</w:t>
            </w:r>
          </w:p>
        </w:tc>
        <w:tc>
          <w:tcPr>
            <w:tcW w:w="1800" w:type="dxa"/>
          </w:tcPr>
          <w:p w:rsidR="006C1C1F" w:rsidRPr="00EA725E" w:rsidRDefault="006C1C1F" w:rsidP="002D2597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4.C  Investigate how an object’s motion changes only when a net force is applied, including activities and equipment such as toy cars, vehicle restraints, sports activities and classroom objects.</w:t>
            </w:r>
          </w:p>
        </w:tc>
        <w:tc>
          <w:tcPr>
            <w:tcW w:w="1800" w:type="dxa"/>
          </w:tcPr>
          <w:p w:rsidR="006C1C1F" w:rsidRPr="00EA725E" w:rsidRDefault="006C1C1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4.D  Calculate the effect of forces on objects including the law of inertia, the relationship between force and acceleration, and the nature of force pairs between objects.</w:t>
            </w:r>
          </w:p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CE0E82"/>
        </w:tc>
        <w:tc>
          <w:tcPr>
            <w:tcW w:w="1890" w:type="dxa"/>
          </w:tcPr>
          <w:p w:rsidR="006C1C1F" w:rsidRPr="00EA725E" w:rsidRDefault="006C1C1F"/>
        </w:tc>
        <w:tc>
          <w:tcPr>
            <w:tcW w:w="1800" w:type="dxa"/>
          </w:tcPr>
          <w:p w:rsidR="006C1C1F" w:rsidRPr="00EA725E" w:rsidRDefault="006C1C1F" w:rsidP="002D2597"/>
        </w:tc>
        <w:tc>
          <w:tcPr>
            <w:tcW w:w="1800" w:type="dxa"/>
          </w:tcPr>
          <w:p w:rsidR="006C1C1F" w:rsidRPr="00EA725E" w:rsidRDefault="006C1C1F"/>
        </w:tc>
      </w:tr>
      <w:tr w:rsidR="006C1C1F" w:rsidRPr="00EA725E" w:rsidTr="00EA725E">
        <w:tc>
          <w:tcPr>
            <w:tcW w:w="1818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6C1C1F" w:rsidRPr="00EA725E" w:rsidRDefault="006C1C1F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6C1C1F" w:rsidRPr="00EA725E" w:rsidRDefault="006C1C1F" w:rsidP="00CE0E82"/>
        </w:tc>
        <w:tc>
          <w:tcPr>
            <w:tcW w:w="1890" w:type="dxa"/>
          </w:tcPr>
          <w:p w:rsidR="006C1C1F" w:rsidRPr="00EA725E" w:rsidRDefault="006C1C1F"/>
        </w:tc>
        <w:tc>
          <w:tcPr>
            <w:tcW w:w="1800" w:type="dxa"/>
          </w:tcPr>
          <w:p w:rsidR="006C1C1F" w:rsidRPr="00EA725E" w:rsidRDefault="006C1C1F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6C1C1F" w:rsidRPr="00EA725E" w:rsidRDefault="006C1C1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4.F  Identify and describe motion relative to different frames of reference.</w:t>
            </w:r>
          </w:p>
        </w:tc>
      </w:tr>
    </w:tbl>
    <w:p w:rsidR="006C1C1F" w:rsidRDefault="006C1C1F"/>
    <w:sectPr w:rsidR="006C1C1F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1F" w:rsidRDefault="006C1C1F" w:rsidP="00BC0026">
      <w:r>
        <w:separator/>
      </w:r>
    </w:p>
  </w:endnote>
  <w:endnote w:type="continuationSeparator" w:id="0">
    <w:p w:rsidR="006C1C1F" w:rsidRDefault="006C1C1F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1F" w:rsidRDefault="006C1C1F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C1F" w:rsidRDefault="006C1C1F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1F" w:rsidRPr="00784AEF" w:rsidRDefault="006C1C1F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784AEF">
      <w:rPr>
        <w:rStyle w:val="PageNumber"/>
        <w:rFonts w:ascii="Arial" w:hAnsi="Arial"/>
        <w:sz w:val="20"/>
      </w:rPr>
      <w:fldChar w:fldCharType="end"/>
    </w:r>
  </w:p>
  <w:p w:rsidR="006C1C1F" w:rsidRPr="00971F47" w:rsidRDefault="006C1C1F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1F" w:rsidRDefault="006C1C1F" w:rsidP="00BC0026">
      <w:r>
        <w:separator/>
      </w:r>
    </w:p>
  </w:footnote>
  <w:footnote w:type="continuationSeparator" w:id="0">
    <w:p w:rsidR="006C1C1F" w:rsidRDefault="006C1C1F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1F" w:rsidRPr="00F17693" w:rsidRDefault="006C1C1F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place">
      <w:smartTag w:uri="urn:schemas-microsoft-com:office:smarttags" w:element="Stat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46199"/>
    <w:rsid w:val="00047DEA"/>
    <w:rsid w:val="00055349"/>
    <w:rsid w:val="00064002"/>
    <w:rsid w:val="000C5321"/>
    <w:rsid w:val="000C7DA8"/>
    <w:rsid w:val="00191CCF"/>
    <w:rsid w:val="001966BE"/>
    <w:rsid w:val="0022663F"/>
    <w:rsid w:val="0024558A"/>
    <w:rsid w:val="00261820"/>
    <w:rsid w:val="00282CCA"/>
    <w:rsid w:val="002B3E8B"/>
    <w:rsid w:val="002D2597"/>
    <w:rsid w:val="002F1BD2"/>
    <w:rsid w:val="0030059B"/>
    <w:rsid w:val="0033553A"/>
    <w:rsid w:val="003450EA"/>
    <w:rsid w:val="003916B9"/>
    <w:rsid w:val="003922BF"/>
    <w:rsid w:val="0044481F"/>
    <w:rsid w:val="0044789B"/>
    <w:rsid w:val="004678B0"/>
    <w:rsid w:val="00504E4F"/>
    <w:rsid w:val="005134D0"/>
    <w:rsid w:val="00530CC6"/>
    <w:rsid w:val="00597032"/>
    <w:rsid w:val="00616E15"/>
    <w:rsid w:val="006837CA"/>
    <w:rsid w:val="00684E63"/>
    <w:rsid w:val="006C1C1F"/>
    <w:rsid w:val="0077424B"/>
    <w:rsid w:val="00784AEF"/>
    <w:rsid w:val="008426F4"/>
    <w:rsid w:val="00850B2E"/>
    <w:rsid w:val="00855242"/>
    <w:rsid w:val="00865D4B"/>
    <w:rsid w:val="008E3621"/>
    <w:rsid w:val="008F40F7"/>
    <w:rsid w:val="00915808"/>
    <w:rsid w:val="009558F3"/>
    <w:rsid w:val="00971F47"/>
    <w:rsid w:val="009C6745"/>
    <w:rsid w:val="00A35B89"/>
    <w:rsid w:val="00A705FE"/>
    <w:rsid w:val="00A7223E"/>
    <w:rsid w:val="00A74A6E"/>
    <w:rsid w:val="00AC3EE7"/>
    <w:rsid w:val="00AD2E48"/>
    <w:rsid w:val="00B36C45"/>
    <w:rsid w:val="00B40112"/>
    <w:rsid w:val="00BC0026"/>
    <w:rsid w:val="00BF79C1"/>
    <w:rsid w:val="00C429A0"/>
    <w:rsid w:val="00C537B9"/>
    <w:rsid w:val="00C62177"/>
    <w:rsid w:val="00C74C1F"/>
    <w:rsid w:val="00CE0E82"/>
    <w:rsid w:val="00CF6203"/>
    <w:rsid w:val="00D21E68"/>
    <w:rsid w:val="00D844DD"/>
    <w:rsid w:val="00E05E31"/>
    <w:rsid w:val="00E34032"/>
    <w:rsid w:val="00E6752E"/>
    <w:rsid w:val="00EA1B8D"/>
    <w:rsid w:val="00EA725E"/>
    <w:rsid w:val="00EC0956"/>
    <w:rsid w:val="00ED2F08"/>
    <w:rsid w:val="00ED5688"/>
    <w:rsid w:val="00F17693"/>
    <w:rsid w:val="00FA4249"/>
    <w:rsid w:val="00F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9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1618</Words>
  <Characters>9226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6</cp:revision>
  <cp:lastPrinted>2010-07-26T16:31:00Z</cp:lastPrinted>
  <dcterms:created xsi:type="dcterms:W3CDTF">2010-11-08T15:36:00Z</dcterms:created>
  <dcterms:modified xsi:type="dcterms:W3CDTF">2010-11-08T17:14:00Z</dcterms:modified>
</cp:coreProperties>
</file>