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AC" w:rsidRPr="00AE21B6" w:rsidRDefault="008B71AC" w:rsidP="00695D88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Find it with GPS!</w:t>
      </w:r>
      <w:r>
        <w:rPr>
          <w:rFonts w:ascii="Arial" w:hAnsi="Arial"/>
          <w:b/>
          <w:bCs/>
          <w:sz w:val="20"/>
        </w:rPr>
        <w:br/>
      </w:r>
      <w:r w:rsidRPr="00695D88">
        <w:rPr>
          <w:rFonts w:ascii="Arial" w:hAnsi="Arial" w:cs="Verdana"/>
          <w:color w:val="000000"/>
          <w:sz w:val="20"/>
          <w:szCs w:val="21"/>
        </w:rPr>
        <w:t>Lesson focuses on exploring how the development of global positioning systems has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695D88">
        <w:rPr>
          <w:rFonts w:ascii="Arial" w:hAnsi="Arial" w:cs="Verdana"/>
          <w:color w:val="000000"/>
          <w:sz w:val="20"/>
          <w:szCs w:val="21"/>
        </w:rPr>
        <w:t>revolutionized both defense and consumer product engineering. Students work in teams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695D88">
        <w:rPr>
          <w:rFonts w:ascii="Arial" w:hAnsi="Arial" w:cs="Verdana"/>
          <w:color w:val="000000"/>
          <w:sz w:val="20"/>
          <w:szCs w:val="21"/>
        </w:rPr>
        <w:t>to understand the technology behind GPS, explore current applications, and brainstorm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695D88">
        <w:rPr>
          <w:rFonts w:ascii="Arial" w:hAnsi="Arial" w:cs="Verdana"/>
          <w:color w:val="000000"/>
          <w:sz w:val="20"/>
          <w:szCs w:val="21"/>
        </w:rPr>
        <w:t>new applications for global use of GPS. They use both a simple GPS handheld device and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695D88">
        <w:rPr>
          <w:rFonts w:ascii="Arial" w:hAnsi="Arial" w:cs="Verdana"/>
          <w:color w:val="000000"/>
          <w:sz w:val="20"/>
          <w:szCs w:val="21"/>
        </w:rPr>
        <w:t>online resources to understand the functioning and potential of this engineering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695D88">
        <w:rPr>
          <w:rFonts w:ascii="Arial" w:hAnsi="Arial" w:cs="Verdana"/>
          <w:color w:val="000000"/>
          <w:sz w:val="20"/>
          <w:szCs w:val="21"/>
        </w:rPr>
        <w:t>technology.</w:t>
      </w:r>
    </w:p>
    <w:p w:rsidR="008B71AC" w:rsidRPr="00A74A6E" w:rsidRDefault="008B71AC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8B71AC" w:rsidRPr="00EA725E" w:rsidTr="00EA725E">
        <w:trPr>
          <w:tblHeader/>
        </w:trPr>
        <w:tc>
          <w:tcPr>
            <w:tcW w:w="1818" w:type="dxa"/>
            <w:shd w:val="clear" w:color="auto" w:fill="E6E6E6"/>
          </w:tcPr>
          <w:p w:rsidR="008B71AC" w:rsidRPr="00EA725E" w:rsidRDefault="008B71A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8B71AC" w:rsidRPr="00EA725E" w:rsidRDefault="008B71A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8B71AC" w:rsidRPr="00EA725E" w:rsidRDefault="008B71A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8B71AC" w:rsidRPr="00EA725E" w:rsidRDefault="008B71A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8B71AC" w:rsidRPr="00EA725E" w:rsidRDefault="008B71A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8B71AC" w:rsidRPr="00EA725E" w:rsidRDefault="008B71A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8B71AC" w:rsidRPr="00EA725E" w:rsidRDefault="008B71A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1800" w:type="dxa"/>
            <w:shd w:val="clear" w:color="auto" w:fill="E6E6E6"/>
          </w:tcPr>
          <w:p w:rsidR="008B71AC" w:rsidRPr="00EA725E" w:rsidRDefault="008B71A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8B71AC" w:rsidRPr="00EA725E" w:rsidTr="00EA725E">
        <w:trPr>
          <w:trHeight w:val="314"/>
        </w:trPr>
        <w:tc>
          <w:tcPr>
            <w:tcW w:w="14508" w:type="dxa"/>
            <w:gridSpan w:val="8"/>
            <w:vAlign w:val="center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8B71AC" w:rsidRPr="00EA725E" w:rsidRDefault="008B71AC" w:rsidP="00282CCA"/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8B71AC" w:rsidRPr="00EA725E" w:rsidRDefault="008B71AC" w:rsidP="00282CCA"/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8B71AC" w:rsidRPr="00EA725E" w:rsidRDefault="008B71AC" w:rsidP="0022663F"/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2.H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2.J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180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71AC" w:rsidRPr="00EA725E" w:rsidRDefault="008B71A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71AC" w:rsidRPr="00EA725E" w:rsidRDefault="008B71AC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2.L  </w:t>
            </w:r>
            <w:r w:rsidRPr="00276AFC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>Express and manipulate relationships among physical variables quantitatively including the use of graphs, charts, and equations.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8B71AC" w:rsidRPr="00EA725E" w:rsidRDefault="008B71AC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8B71AC" w:rsidRPr="00EA725E" w:rsidRDefault="008B71AC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8B71AC" w:rsidRPr="00EA725E" w:rsidRDefault="008B71AC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8B71AC" w:rsidRPr="00EA725E" w:rsidRDefault="008B71AC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8B71AC" w:rsidRPr="00EA725E" w:rsidRDefault="008B71AC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8B71AC" w:rsidRPr="00EA725E" w:rsidRDefault="008B71A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1800" w:type="dxa"/>
          </w:tcPr>
          <w:p w:rsidR="008B71AC" w:rsidRPr="00EA725E" w:rsidRDefault="008B71A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71AC" w:rsidRPr="00EA725E" w:rsidRDefault="008B71AC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1800" w:type="dxa"/>
          </w:tcPr>
          <w:p w:rsidR="008B71AC" w:rsidRPr="009A25F5" w:rsidRDefault="008B71A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8B71AC" w:rsidRPr="00EA725E" w:rsidTr="00EA725E">
        <w:trPr>
          <w:trHeight w:val="305"/>
        </w:trPr>
        <w:tc>
          <w:tcPr>
            <w:tcW w:w="14508" w:type="dxa"/>
            <w:gridSpan w:val="8"/>
            <w:vAlign w:val="center"/>
          </w:tcPr>
          <w:p w:rsidR="008B71AC" w:rsidRPr="00EA725E" w:rsidRDefault="008B71AC" w:rsidP="00EA725E">
            <w:pPr>
              <w:jc w:val="center"/>
            </w:pPr>
            <w:smartTag w:uri="urn:schemas-microsoft-com:office:smarttags" w:element="place">
              <w:r w:rsidRPr="00EA725E">
                <w:rPr>
                  <w:rFonts w:ascii="Arial Bold" w:hAnsi="Arial Bold"/>
                  <w:i/>
                  <w:sz w:val="20"/>
                </w:rPr>
                <w:t>Strand</w:t>
              </w:r>
            </w:smartTag>
            <w:r w:rsidRPr="00EA725E">
              <w:rPr>
                <w:rFonts w:ascii="Arial Bold" w:hAnsi="Arial Bold"/>
                <w:i/>
                <w:sz w:val="20"/>
              </w:rPr>
              <w:t>:  Force, Motion and Energy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8.D  Measure and graph changes in motion.</w:t>
            </w:r>
          </w:p>
        </w:tc>
        <w:tc>
          <w:tcPr>
            <w:tcW w:w="1890" w:type="dxa"/>
          </w:tcPr>
          <w:p w:rsidR="008B71AC" w:rsidRPr="00EA725E" w:rsidRDefault="008B71AC" w:rsidP="00CF6203"/>
        </w:tc>
        <w:tc>
          <w:tcPr>
            <w:tcW w:w="1890" w:type="dxa"/>
          </w:tcPr>
          <w:p w:rsidR="008B71AC" w:rsidRPr="00EA725E" w:rsidRDefault="008B71AC" w:rsidP="00CF6203"/>
        </w:tc>
        <w:tc>
          <w:tcPr>
            <w:tcW w:w="1800" w:type="dxa"/>
          </w:tcPr>
          <w:p w:rsidR="008B71AC" w:rsidRPr="009A25F5" w:rsidRDefault="008B71AC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9A25F5">
              <w:rPr>
                <w:rFonts w:ascii="Arial" w:hAnsi="Arial" w:cs="Arial"/>
                <w:sz w:val="17"/>
                <w:szCs w:val="17"/>
              </w:rPr>
              <w:t>4.A  Describe and calculate an object’s motion in terms of position, displacement, speed and acceleration.</w:t>
            </w:r>
          </w:p>
        </w:tc>
        <w:tc>
          <w:tcPr>
            <w:tcW w:w="1800" w:type="dxa"/>
          </w:tcPr>
          <w:p w:rsidR="008B71AC" w:rsidRPr="00276AFC" w:rsidRDefault="008B71AC">
            <w:pPr>
              <w:rPr>
                <w:rFonts w:ascii="Arial" w:hAnsi="Arial" w:cs="Arial"/>
                <w:sz w:val="17"/>
                <w:szCs w:val="17"/>
              </w:rPr>
            </w:pPr>
            <w:r w:rsidRPr="00276AFC">
              <w:rPr>
                <w:rFonts w:ascii="Arial" w:hAnsi="Arial" w:cs="Arial"/>
                <w:sz w:val="17"/>
                <w:szCs w:val="17"/>
              </w:rPr>
              <w:t>4.A  Generate and interpret graphs and charts describing different types of motion including the use of real-time technology such as motion detectors or photogates.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CF6203"/>
        </w:tc>
        <w:tc>
          <w:tcPr>
            <w:tcW w:w="1890" w:type="dxa"/>
          </w:tcPr>
          <w:p w:rsidR="008B71AC" w:rsidRPr="00EA725E" w:rsidRDefault="008B71AC" w:rsidP="00CF6203"/>
        </w:tc>
        <w:tc>
          <w:tcPr>
            <w:tcW w:w="1800" w:type="dxa"/>
          </w:tcPr>
          <w:p w:rsidR="008B71AC" w:rsidRPr="009A25F5" w:rsidRDefault="008B71AC" w:rsidP="002D259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4.B  </w:t>
            </w:r>
            <w:r w:rsidRPr="00276AFC">
              <w:rPr>
                <w:rFonts w:ascii="Arial" w:hAnsi="Arial" w:cs="Arial"/>
                <w:sz w:val="17"/>
                <w:szCs w:val="17"/>
              </w:rPr>
              <w:t>Measure and graph distance and speed as a function of time using moving toys.</w:t>
            </w:r>
          </w:p>
        </w:tc>
        <w:tc>
          <w:tcPr>
            <w:tcW w:w="1800" w:type="dxa"/>
          </w:tcPr>
          <w:p w:rsidR="008B71AC" w:rsidRPr="00276AFC" w:rsidRDefault="008B71AC">
            <w:pPr>
              <w:rPr>
                <w:rFonts w:ascii="Arial" w:hAnsi="Arial" w:cs="Arial"/>
                <w:sz w:val="17"/>
                <w:szCs w:val="17"/>
              </w:rPr>
            </w:pPr>
            <w:r w:rsidRPr="00276AFC">
              <w:rPr>
                <w:rFonts w:ascii="Arial" w:hAnsi="Arial" w:cs="Arial"/>
                <w:sz w:val="17"/>
                <w:szCs w:val="17"/>
              </w:rPr>
              <w:t>4.B  Describe and analyze motion in one dimension using equations with the concepts of distance, displacement, speed, average velocity, instantaneous velocity, and acceleration.</w:t>
            </w:r>
          </w:p>
        </w:tc>
      </w:tr>
      <w:tr w:rsidR="008B71AC" w:rsidRPr="00EA725E" w:rsidTr="00EA725E">
        <w:tc>
          <w:tcPr>
            <w:tcW w:w="1818" w:type="dxa"/>
          </w:tcPr>
          <w:p w:rsidR="008B71AC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71AC" w:rsidRPr="00EA725E" w:rsidRDefault="008B71A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71AC" w:rsidRPr="00EA725E" w:rsidRDefault="008B71AC" w:rsidP="00CF6203"/>
        </w:tc>
        <w:tc>
          <w:tcPr>
            <w:tcW w:w="1890" w:type="dxa"/>
          </w:tcPr>
          <w:p w:rsidR="008B71AC" w:rsidRPr="00EA725E" w:rsidRDefault="008B71AC" w:rsidP="00CF6203"/>
        </w:tc>
        <w:tc>
          <w:tcPr>
            <w:tcW w:w="1800" w:type="dxa"/>
          </w:tcPr>
          <w:p w:rsidR="008B71AC" w:rsidRDefault="008B71AC" w:rsidP="002D259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71AC" w:rsidRPr="00276AFC" w:rsidRDefault="008B71A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4.F  </w:t>
            </w:r>
            <w:r w:rsidRPr="00276AFC">
              <w:rPr>
                <w:rFonts w:ascii="Arial" w:hAnsi="Arial" w:cs="Arial"/>
                <w:sz w:val="17"/>
                <w:szCs w:val="17"/>
              </w:rPr>
              <w:t>Identify and describe motion relative to different frames of reference.</w:t>
            </w:r>
          </w:p>
        </w:tc>
      </w:tr>
    </w:tbl>
    <w:p w:rsidR="008B71AC" w:rsidRDefault="008B71AC"/>
    <w:sectPr w:rsidR="008B71AC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AC" w:rsidRDefault="008B71AC" w:rsidP="00BC0026">
      <w:r>
        <w:separator/>
      </w:r>
    </w:p>
  </w:endnote>
  <w:endnote w:type="continuationSeparator" w:id="0">
    <w:p w:rsidR="008B71AC" w:rsidRDefault="008B71AC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AC" w:rsidRDefault="008B71AC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1AC" w:rsidRDefault="008B71AC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AC" w:rsidRPr="00784AEF" w:rsidRDefault="008B71AC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784AEF">
      <w:rPr>
        <w:rStyle w:val="PageNumber"/>
        <w:rFonts w:ascii="Arial" w:hAnsi="Arial"/>
        <w:sz w:val="20"/>
      </w:rPr>
      <w:fldChar w:fldCharType="end"/>
    </w:r>
  </w:p>
  <w:p w:rsidR="008B71AC" w:rsidRPr="00971F47" w:rsidRDefault="008B71AC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AC" w:rsidRDefault="008B71AC" w:rsidP="00BC0026">
      <w:r>
        <w:separator/>
      </w:r>
    </w:p>
  </w:footnote>
  <w:footnote w:type="continuationSeparator" w:id="0">
    <w:p w:rsidR="008B71AC" w:rsidRDefault="008B71AC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AC" w:rsidRPr="00F17693" w:rsidRDefault="008B71AC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12156"/>
    <w:rsid w:val="00046199"/>
    <w:rsid w:val="00047DEA"/>
    <w:rsid w:val="00055349"/>
    <w:rsid w:val="00064002"/>
    <w:rsid w:val="000A588A"/>
    <w:rsid w:val="000C5321"/>
    <w:rsid w:val="000C7DA8"/>
    <w:rsid w:val="001966BE"/>
    <w:rsid w:val="0022663F"/>
    <w:rsid w:val="00250B28"/>
    <w:rsid w:val="00261820"/>
    <w:rsid w:val="00276AFC"/>
    <w:rsid w:val="00282CCA"/>
    <w:rsid w:val="002B3E8B"/>
    <w:rsid w:val="002D2597"/>
    <w:rsid w:val="002F1BD2"/>
    <w:rsid w:val="00303811"/>
    <w:rsid w:val="0033553A"/>
    <w:rsid w:val="003450EA"/>
    <w:rsid w:val="00383201"/>
    <w:rsid w:val="003916B9"/>
    <w:rsid w:val="003A5DF3"/>
    <w:rsid w:val="0044481F"/>
    <w:rsid w:val="0044789B"/>
    <w:rsid w:val="004A1D61"/>
    <w:rsid w:val="005134D0"/>
    <w:rsid w:val="00553499"/>
    <w:rsid w:val="00597032"/>
    <w:rsid w:val="006068E5"/>
    <w:rsid w:val="00616E15"/>
    <w:rsid w:val="006837CA"/>
    <w:rsid w:val="00695D88"/>
    <w:rsid w:val="0077424B"/>
    <w:rsid w:val="00784AEF"/>
    <w:rsid w:val="007B3B24"/>
    <w:rsid w:val="00842320"/>
    <w:rsid w:val="008426F4"/>
    <w:rsid w:val="00865D4B"/>
    <w:rsid w:val="008B71AC"/>
    <w:rsid w:val="008E3621"/>
    <w:rsid w:val="008F40F7"/>
    <w:rsid w:val="00915808"/>
    <w:rsid w:val="009558F3"/>
    <w:rsid w:val="00971F47"/>
    <w:rsid w:val="00974F8A"/>
    <w:rsid w:val="00992FFB"/>
    <w:rsid w:val="009A25F5"/>
    <w:rsid w:val="00A35B89"/>
    <w:rsid w:val="00A705FE"/>
    <w:rsid w:val="00A7223E"/>
    <w:rsid w:val="00A74A6E"/>
    <w:rsid w:val="00A91C01"/>
    <w:rsid w:val="00AD2E48"/>
    <w:rsid w:val="00AE21B6"/>
    <w:rsid w:val="00B40112"/>
    <w:rsid w:val="00BC0026"/>
    <w:rsid w:val="00BF79C1"/>
    <w:rsid w:val="00C537B9"/>
    <w:rsid w:val="00C74C1F"/>
    <w:rsid w:val="00CA6829"/>
    <w:rsid w:val="00CE0E82"/>
    <w:rsid w:val="00CE160C"/>
    <w:rsid w:val="00CF6203"/>
    <w:rsid w:val="00D21E68"/>
    <w:rsid w:val="00D844DD"/>
    <w:rsid w:val="00E166A3"/>
    <w:rsid w:val="00E34032"/>
    <w:rsid w:val="00E6752E"/>
    <w:rsid w:val="00EA725E"/>
    <w:rsid w:val="00EC0956"/>
    <w:rsid w:val="00ED5688"/>
    <w:rsid w:val="00F17693"/>
    <w:rsid w:val="00F249E4"/>
    <w:rsid w:val="00F453C9"/>
    <w:rsid w:val="00F5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1088</Words>
  <Characters>6532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4</cp:revision>
  <cp:lastPrinted>2010-07-26T16:31:00Z</cp:lastPrinted>
  <dcterms:created xsi:type="dcterms:W3CDTF">2010-08-25T14:03:00Z</dcterms:created>
  <dcterms:modified xsi:type="dcterms:W3CDTF">2010-08-26T19:23:00Z</dcterms:modified>
</cp:coreProperties>
</file>