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0C" w:rsidRPr="00BD219B" w:rsidRDefault="00A64975">
      <w:pPr>
        <w:rPr>
          <w:rFonts w:ascii="Times New Roman" w:hAnsi="Times New Roman" w:cs="Times New Roman"/>
          <w:sz w:val="20"/>
          <w:szCs w:val="20"/>
        </w:rPr>
      </w:pPr>
      <w:r w:rsidRPr="00BD219B">
        <w:rPr>
          <w:rFonts w:ascii="Times New Roman" w:hAnsi="Times New Roman" w:cs="Times New Roman"/>
          <w:sz w:val="20"/>
          <w:szCs w:val="20"/>
        </w:rPr>
        <w:t>Supple</w:t>
      </w:r>
      <w:r w:rsidR="00BD219B" w:rsidRPr="00BD219B">
        <w:rPr>
          <w:rFonts w:ascii="Times New Roman" w:hAnsi="Times New Roman" w:cs="Times New Roman"/>
          <w:sz w:val="20"/>
          <w:szCs w:val="20"/>
        </w:rPr>
        <w:t>mentary Table 3</w:t>
      </w:r>
      <w:r w:rsidR="00BD219B">
        <w:rPr>
          <w:rFonts w:ascii="Times New Roman" w:hAnsi="Times New Roman" w:cs="Times New Roman"/>
          <w:sz w:val="20"/>
          <w:szCs w:val="20"/>
        </w:rPr>
        <w:t>: Sensitivity analyses based on disease severity, gender and age in isolated PFOA, and combined PFOA and TFOA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551"/>
        <w:gridCol w:w="3686"/>
      </w:tblGrid>
      <w:tr w:rsidR="00BD219B" w:rsidRPr="00BD219B" w:rsidTr="00BD219B">
        <w:tc>
          <w:tcPr>
            <w:tcW w:w="3227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219B" w:rsidRPr="00BD219B" w:rsidRDefault="002A0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b/>
                <w:sz w:val="20"/>
                <w:szCs w:val="20"/>
              </w:rPr>
              <w:t>Isolated PFOA</w:t>
            </w:r>
          </w:p>
        </w:tc>
        <w:tc>
          <w:tcPr>
            <w:tcW w:w="3686" w:type="dxa"/>
          </w:tcPr>
          <w:p w:rsidR="002A06C6" w:rsidRPr="00BD219B" w:rsidRDefault="00BD2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Combined PFOA and TF</w:t>
            </w:r>
            <w:r w:rsidR="002A06C6" w:rsidRPr="00BD219B">
              <w:rPr>
                <w:rFonts w:ascii="Times New Roman" w:hAnsi="Times New Roman" w:cs="Times New Roman"/>
                <w:b/>
                <w:sz w:val="20"/>
                <w:szCs w:val="20"/>
              </w:rPr>
              <w:t>OA</w:t>
            </w:r>
          </w:p>
        </w:tc>
      </w:tr>
      <w:tr w:rsidR="00BD219B" w:rsidRPr="00BD219B" w:rsidTr="00BD219B">
        <w:tc>
          <w:tcPr>
            <w:tcW w:w="5495" w:type="dxa"/>
            <w:gridSpan w:val="2"/>
          </w:tcPr>
          <w:p w:rsidR="002A06C6" w:rsidRPr="00BD219B" w:rsidRDefault="002A0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b/>
                <w:sz w:val="20"/>
                <w:szCs w:val="20"/>
              </w:rPr>
              <w:t>Community-based population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Disease severity</w:t>
            </w:r>
          </w:p>
        </w:tc>
        <w:tc>
          <w:tcPr>
            <w:tcW w:w="2268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Mild</w:t>
            </w:r>
          </w:p>
        </w:tc>
        <w:tc>
          <w:tcPr>
            <w:tcW w:w="2551" w:type="dxa"/>
          </w:tcPr>
          <w:p w:rsidR="002A06C6" w:rsidRPr="00BD219B" w:rsidRDefault="00BD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3686" w:type="dxa"/>
          </w:tcPr>
          <w:p w:rsidR="002A06C6" w:rsidRPr="00BD219B" w:rsidRDefault="00BD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Definite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17% (8 to 28)</w:t>
            </w:r>
          </w:p>
        </w:tc>
        <w:tc>
          <w:tcPr>
            <w:tcW w:w="3686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42% (21 to 64)</w:t>
            </w: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268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11% (6 to 17)</w:t>
            </w:r>
          </w:p>
        </w:tc>
        <w:tc>
          <w:tcPr>
            <w:tcW w:w="3686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47% (18 to 76)</w:t>
            </w: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24% (6 to 49)</w:t>
            </w:r>
          </w:p>
        </w:tc>
        <w:tc>
          <w:tcPr>
            <w:tcW w:w="3686" w:type="dxa"/>
          </w:tcPr>
          <w:p w:rsidR="002A06C6" w:rsidRPr="00BD219B" w:rsidRDefault="002A06C6" w:rsidP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29% (8 to 57)</w:t>
            </w:r>
          </w:p>
        </w:tc>
      </w:tr>
      <w:tr w:rsidR="002A06C6" w:rsidRPr="00BD219B" w:rsidTr="00BD219B">
        <w:tc>
          <w:tcPr>
            <w:tcW w:w="11732" w:type="dxa"/>
            <w:gridSpan w:val="4"/>
          </w:tcPr>
          <w:p w:rsidR="002A06C6" w:rsidRPr="00BD219B" w:rsidRDefault="002A06C6" w:rsidP="002A0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b/>
                <w:sz w:val="20"/>
                <w:szCs w:val="20"/>
              </w:rPr>
              <w:t>Knee pain or symptomatic knee osteoarthritis population</w:t>
            </w: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Disease severity</w:t>
            </w:r>
          </w:p>
        </w:tc>
        <w:tc>
          <w:tcPr>
            <w:tcW w:w="2268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Mild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17% (4 to 36)</w:t>
            </w:r>
          </w:p>
        </w:tc>
        <w:tc>
          <w:tcPr>
            <w:tcW w:w="3686" w:type="dxa"/>
          </w:tcPr>
          <w:p w:rsidR="002A06C6" w:rsidRPr="00BD219B" w:rsidRDefault="002A06C6" w:rsidP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26% (12 to 44)</w:t>
            </w: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Definite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21% (13 to 30)</w:t>
            </w:r>
          </w:p>
        </w:tc>
        <w:tc>
          <w:tcPr>
            <w:tcW w:w="3686" w:type="dxa"/>
          </w:tcPr>
          <w:p w:rsidR="002A06C6" w:rsidRPr="00BD219B" w:rsidRDefault="002A06C6" w:rsidP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37% (27 to 48)</w:t>
            </w: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268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20% (16 to 24)</w:t>
            </w:r>
          </w:p>
        </w:tc>
        <w:tc>
          <w:tcPr>
            <w:tcW w:w="3686" w:type="dxa"/>
          </w:tcPr>
          <w:p w:rsidR="002A06C6" w:rsidRPr="00BD219B" w:rsidRDefault="002A06C6" w:rsidP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36% (18 to 57)</w:t>
            </w: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34% (23 to 46)</w:t>
            </w:r>
          </w:p>
        </w:tc>
        <w:tc>
          <w:tcPr>
            <w:tcW w:w="3686" w:type="dxa"/>
          </w:tcPr>
          <w:p w:rsidR="002A06C6" w:rsidRPr="00BD219B" w:rsidRDefault="002A06C6" w:rsidP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39% (17 to 63)</w:t>
            </w: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268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&gt;50 years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06C6" w:rsidRPr="00BD219B" w:rsidRDefault="002A06C6" w:rsidP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≤50 years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18% (10 to 28)</w:t>
            </w:r>
          </w:p>
        </w:tc>
        <w:tc>
          <w:tcPr>
            <w:tcW w:w="3686" w:type="dxa"/>
          </w:tcPr>
          <w:p w:rsidR="002A06C6" w:rsidRPr="00BD219B" w:rsidRDefault="002A06C6" w:rsidP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37% (28 to 47)</w:t>
            </w:r>
          </w:p>
        </w:tc>
      </w:tr>
      <w:tr w:rsidR="002A06C6" w:rsidRPr="00BD219B" w:rsidTr="00BD219B">
        <w:tc>
          <w:tcPr>
            <w:tcW w:w="11732" w:type="dxa"/>
            <w:gridSpan w:val="4"/>
          </w:tcPr>
          <w:p w:rsidR="002A06C6" w:rsidRPr="00BD219B" w:rsidRDefault="002A06C6" w:rsidP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b/>
                <w:sz w:val="20"/>
                <w:szCs w:val="20"/>
              </w:rPr>
              <w:t>Radiographic and symptomatic knee osteoarthritis</w:t>
            </w:r>
          </w:p>
        </w:tc>
      </w:tr>
      <w:tr w:rsidR="00BD219B" w:rsidRPr="00BD219B" w:rsidTr="00BD219B">
        <w:tc>
          <w:tcPr>
            <w:tcW w:w="3227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Disease severity</w:t>
            </w:r>
          </w:p>
        </w:tc>
        <w:tc>
          <w:tcPr>
            <w:tcW w:w="2268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Mild</w:t>
            </w:r>
          </w:p>
        </w:tc>
        <w:tc>
          <w:tcPr>
            <w:tcW w:w="2551" w:type="dxa"/>
          </w:tcPr>
          <w:p w:rsidR="002A06C6" w:rsidRPr="00BD219B" w:rsidRDefault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20% (5 to 43)</w:t>
            </w:r>
          </w:p>
        </w:tc>
        <w:tc>
          <w:tcPr>
            <w:tcW w:w="3686" w:type="dxa"/>
          </w:tcPr>
          <w:p w:rsidR="002A06C6" w:rsidRPr="00BD219B" w:rsidRDefault="00BD219B" w:rsidP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</w:tr>
      <w:tr w:rsidR="00BD219B" w:rsidRPr="00BD219B" w:rsidTr="00BD219B">
        <w:trPr>
          <w:trHeight w:val="175"/>
        </w:trPr>
        <w:tc>
          <w:tcPr>
            <w:tcW w:w="3227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6C6" w:rsidRPr="00BD219B" w:rsidRDefault="002A06C6" w:rsidP="007A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19B">
              <w:rPr>
                <w:rFonts w:ascii="Times New Roman" w:hAnsi="Times New Roman" w:cs="Times New Roman"/>
                <w:sz w:val="20"/>
                <w:szCs w:val="20"/>
              </w:rPr>
              <w:t>Definite</w:t>
            </w:r>
          </w:p>
        </w:tc>
        <w:tc>
          <w:tcPr>
            <w:tcW w:w="2551" w:type="dxa"/>
          </w:tcPr>
          <w:p w:rsidR="002A06C6" w:rsidRPr="00BD219B" w:rsidRDefault="00BD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  <w:tc>
          <w:tcPr>
            <w:tcW w:w="3686" w:type="dxa"/>
          </w:tcPr>
          <w:p w:rsidR="002A06C6" w:rsidRPr="00BD219B" w:rsidRDefault="00BD219B" w:rsidP="002A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</w:p>
        </w:tc>
      </w:tr>
    </w:tbl>
    <w:p w:rsidR="002A06C6" w:rsidRPr="00BD219B" w:rsidRDefault="00BD219B" w:rsidP="00BD219B">
      <w:pPr>
        <w:ind w:right="1194"/>
        <w:rPr>
          <w:rFonts w:ascii="Times New Roman" w:hAnsi="Times New Roman" w:cs="Times New Roman"/>
          <w:sz w:val="20"/>
          <w:szCs w:val="20"/>
        </w:rPr>
      </w:pPr>
      <w:r w:rsidRPr="00BD219B">
        <w:rPr>
          <w:rFonts w:ascii="Times New Roman" w:hAnsi="Times New Roman" w:cs="Times New Roman"/>
          <w:sz w:val="20"/>
          <w:szCs w:val="20"/>
        </w:rPr>
        <w:t>Note. Data is presented as percent (95% confidence interval)</w:t>
      </w:r>
      <w:r>
        <w:rPr>
          <w:rFonts w:ascii="Times New Roman" w:hAnsi="Times New Roman" w:cs="Times New Roman"/>
          <w:sz w:val="20"/>
          <w:szCs w:val="20"/>
        </w:rPr>
        <w:t>. PFOA, patellofemoral joint osteoarthritis, TFOA, tibiofemoral joint osteoarthritis; ND, no data to conduct analysis.</w:t>
      </w:r>
      <w:bookmarkStart w:id="0" w:name="_GoBack"/>
      <w:bookmarkEnd w:id="0"/>
    </w:p>
    <w:p w:rsidR="002A06C6" w:rsidRDefault="002A06C6" w:rsidP="002A06C6"/>
    <w:p w:rsidR="002A06C6" w:rsidRDefault="002A06C6"/>
    <w:sectPr w:rsidR="002A06C6" w:rsidSect="00BD21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C6"/>
    <w:rsid w:val="002A06C6"/>
    <w:rsid w:val="00302DB3"/>
    <w:rsid w:val="00A64975"/>
    <w:rsid w:val="00BD219B"/>
    <w:rsid w:val="00EA024C"/>
    <w:rsid w:val="00E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Macintosh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hhart</dc:creator>
  <cp:lastModifiedBy>Harvi</cp:lastModifiedBy>
  <cp:revision>2</cp:revision>
  <dcterms:created xsi:type="dcterms:W3CDTF">2016-12-13T21:03:00Z</dcterms:created>
  <dcterms:modified xsi:type="dcterms:W3CDTF">2016-12-13T21:03:00Z</dcterms:modified>
</cp:coreProperties>
</file>