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5F" w:rsidRPr="00FF47DD" w:rsidRDefault="00747DD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Supplementary Table 2: Explanation of diagnostic criterion 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6095"/>
        <w:gridCol w:w="1984"/>
        <w:gridCol w:w="1139"/>
        <w:gridCol w:w="1271"/>
      </w:tblGrid>
      <w:tr w:rsidR="002C6D5F" w:rsidRPr="00A6310E" w:rsidTr="00FE6E01">
        <w:trPr>
          <w:trHeight w:val="529"/>
        </w:trPr>
        <w:tc>
          <w:tcPr>
            <w:tcW w:w="3119" w:type="dxa"/>
            <w:vAlign w:val="center"/>
          </w:tcPr>
          <w:p w:rsidR="002C6D5F" w:rsidRPr="00A6310E" w:rsidRDefault="006B0101" w:rsidP="002C6D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Diagnostic criteria</w:t>
            </w:r>
          </w:p>
        </w:tc>
        <w:tc>
          <w:tcPr>
            <w:tcW w:w="993" w:type="dxa"/>
            <w:vAlign w:val="center"/>
          </w:tcPr>
          <w:p w:rsidR="002C6D5F" w:rsidRPr="00A6310E" w:rsidRDefault="002C6D5F" w:rsidP="00D86B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b/>
                <w:sz w:val="20"/>
                <w:szCs w:val="20"/>
              </w:rPr>
              <w:t>Scoring</w:t>
            </w:r>
          </w:p>
        </w:tc>
        <w:tc>
          <w:tcPr>
            <w:tcW w:w="6095" w:type="dxa"/>
            <w:vAlign w:val="center"/>
          </w:tcPr>
          <w:p w:rsidR="002C6D5F" w:rsidRPr="00A6310E" w:rsidRDefault="002C6D5F" w:rsidP="00D86B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b/>
                <w:sz w:val="20"/>
                <w:szCs w:val="20"/>
              </w:rPr>
              <w:t>Brief explanation</w:t>
            </w:r>
          </w:p>
        </w:tc>
        <w:tc>
          <w:tcPr>
            <w:tcW w:w="1984" w:type="dxa"/>
            <w:vAlign w:val="center"/>
          </w:tcPr>
          <w:p w:rsidR="002C6D5F" w:rsidRPr="00A6310E" w:rsidRDefault="002C6D5F" w:rsidP="00D86B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b/>
                <w:sz w:val="20"/>
                <w:szCs w:val="20"/>
              </w:rPr>
              <w:t>Feature</w:t>
            </w:r>
          </w:p>
        </w:tc>
        <w:tc>
          <w:tcPr>
            <w:tcW w:w="1139" w:type="dxa"/>
            <w:vAlign w:val="center"/>
          </w:tcPr>
          <w:p w:rsidR="002C6D5F" w:rsidRPr="00A6310E" w:rsidRDefault="002C6D5F" w:rsidP="00FE6E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b/>
                <w:sz w:val="20"/>
                <w:szCs w:val="20"/>
              </w:rPr>
              <w:t>Mild</w:t>
            </w:r>
            <w:r w:rsidR="00FE6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above</w:t>
            </w:r>
          </w:p>
        </w:tc>
        <w:tc>
          <w:tcPr>
            <w:tcW w:w="1271" w:type="dxa"/>
            <w:vAlign w:val="center"/>
          </w:tcPr>
          <w:p w:rsidR="002C6D5F" w:rsidRPr="00A6310E" w:rsidRDefault="002C6D5F" w:rsidP="00FE6E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b/>
                <w:sz w:val="20"/>
                <w:szCs w:val="20"/>
              </w:rPr>
              <w:t>Definite</w:t>
            </w:r>
            <w:r w:rsidR="00FE6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above</w:t>
            </w:r>
          </w:p>
        </w:tc>
      </w:tr>
      <w:tr w:rsidR="00FE6E01" w:rsidRPr="00A6310E" w:rsidTr="00FE6E01">
        <w:tc>
          <w:tcPr>
            <w:tcW w:w="3119" w:type="dxa"/>
            <w:vAlign w:val="center"/>
          </w:tcPr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Kellgren and Lawrence</w:t>
            </w:r>
          </w:p>
        </w:tc>
        <w:tc>
          <w:tcPr>
            <w:tcW w:w="993" w:type="dxa"/>
            <w:vAlign w:val="center"/>
          </w:tcPr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  <w:tc>
          <w:tcPr>
            <w:tcW w:w="6095" w:type="dxa"/>
            <w:vAlign w:val="center"/>
          </w:tcPr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= No narrowing of joint and osteophytes; </w:t>
            </w:r>
          </w:p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= Doubtful narrowing of joint space and possible osteophytic lipping; </w:t>
            </w:r>
          </w:p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definite osteophytes and possible narrowing of joint space; </w:t>
            </w:r>
          </w:p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= Moderate multiple osteophytes, definite narrowing of joint space, some sclerosis and possible deformity of bone contour; </w:t>
            </w:r>
          </w:p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= large osteophytes, marked narrowing of joint space, severe sclerosis, and definite deformity of bone contour</w:t>
            </w:r>
          </w:p>
        </w:tc>
        <w:tc>
          <w:tcPr>
            <w:tcW w:w="1984" w:type="dxa"/>
          </w:tcPr>
          <w:p w:rsidR="008E4198" w:rsidRPr="00A6310E" w:rsidRDefault="008E4198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Osteophytes, </w:t>
            </w:r>
            <w:r w:rsidR="00A6310E">
              <w:rPr>
                <w:rFonts w:ascii="Times New Roman" w:hAnsi="Times New Roman" w:cs="Times New Roman"/>
                <w:sz w:val="20"/>
                <w:szCs w:val="20"/>
              </w:rPr>
              <w:t>JSN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, sclerosis, bone contour</w:t>
            </w:r>
          </w:p>
        </w:tc>
        <w:tc>
          <w:tcPr>
            <w:tcW w:w="1139" w:type="dxa"/>
            <w:vAlign w:val="center"/>
          </w:tcPr>
          <w:p w:rsidR="008E4198" w:rsidRPr="00A6310E" w:rsidRDefault="00A6310E" w:rsidP="008E41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1" w:type="dxa"/>
            <w:vAlign w:val="center"/>
          </w:tcPr>
          <w:p w:rsidR="008E4198" w:rsidRPr="00A6310E" w:rsidRDefault="00A6310E" w:rsidP="008E41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</w:tr>
      <w:tr w:rsidR="00FE6E01" w:rsidRPr="00A6310E" w:rsidTr="00FE6E01">
        <w:tc>
          <w:tcPr>
            <w:tcW w:w="3119" w:type="dxa"/>
            <w:vAlign w:val="center"/>
          </w:tcPr>
          <w:p w:rsidR="008E4198" w:rsidRPr="00A6310E" w:rsidRDefault="008E4198" w:rsidP="00CC5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International Knee Documentation Committee </w:t>
            </w:r>
          </w:p>
        </w:tc>
        <w:tc>
          <w:tcPr>
            <w:tcW w:w="993" w:type="dxa"/>
            <w:vAlign w:val="center"/>
          </w:tcPr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A-D</w:t>
            </w:r>
          </w:p>
        </w:tc>
        <w:tc>
          <w:tcPr>
            <w:tcW w:w="6095" w:type="dxa"/>
            <w:vAlign w:val="center"/>
          </w:tcPr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A = normal; </w:t>
            </w:r>
          </w:p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B = remodelling;</w:t>
            </w:r>
          </w:p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C = narrowing of the joint by less than 50%;</w:t>
            </w:r>
          </w:p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D = Narrowing of the joint by more 50%</w:t>
            </w:r>
          </w:p>
        </w:tc>
        <w:tc>
          <w:tcPr>
            <w:tcW w:w="1984" w:type="dxa"/>
          </w:tcPr>
          <w:p w:rsidR="008E4198" w:rsidRPr="00A6310E" w:rsidRDefault="00A6310E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JSN</w:t>
            </w:r>
          </w:p>
        </w:tc>
        <w:tc>
          <w:tcPr>
            <w:tcW w:w="1139" w:type="dxa"/>
            <w:vAlign w:val="center"/>
          </w:tcPr>
          <w:p w:rsidR="008E4198" w:rsidRPr="00A6310E" w:rsidRDefault="00A6310E" w:rsidP="008E41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≥B</w:t>
            </w:r>
          </w:p>
        </w:tc>
        <w:tc>
          <w:tcPr>
            <w:tcW w:w="1271" w:type="dxa"/>
            <w:vAlign w:val="center"/>
          </w:tcPr>
          <w:p w:rsidR="008E4198" w:rsidRPr="00A6310E" w:rsidRDefault="00A6310E" w:rsidP="008E41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≥C</w:t>
            </w:r>
          </w:p>
        </w:tc>
      </w:tr>
      <w:tr w:rsidR="00FE6E01" w:rsidRPr="00A6310E" w:rsidTr="00FE6E01">
        <w:tc>
          <w:tcPr>
            <w:tcW w:w="3119" w:type="dxa"/>
            <w:vAlign w:val="center"/>
          </w:tcPr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Fairbank</w:t>
            </w:r>
          </w:p>
        </w:tc>
        <w:tc>
          <w:tcPr>
            <w:tcW w:w="993" w:type="dxa"/>
            <w:vAlign w:val="center"/>
          </w:tcPr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6095" w:type="dxa"/>
            <w:vAlign w:val="center"/>
          </w:tcPr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0 = Normal;</w:t>
            </w:r>
          </w:p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1 = Mild changes;</w:t>
            </w:r>
          </w:p>
          <w:p w:rsidR="00A6310E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2 = moderate changes;</w:t>
            </w:r>
          </w:p>
          <w:p w:rsidR="008E4198" w:rsidRPr="00A6310E" w:rsidRDefault="008E4198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3 = severe changes</w:t>
            </w:r>
          </w:p>
        </w:tc>
        <w:tc>
          <w:tcPr>
            <w:tcW w:w="1984" w:type="dxa"/>
          </w:tcPr>
          <w:p w:rsidR="008E4198" w:rsidRPr="00A6310E" w:rsidRDefault="00A6310E" w:rsidP="008E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JSN</w:t>
            </w:r>
            <w:r w:rsidR="008E4198" w:rsidRPr="00A6310E">
              <w:rPr>
                <w:rFonts w:ascii="Times New Roman" w:hAnsi="Times New Roman" w:cs="Times New Roman"/>
                <w:sz w:val="20"/>
                <w:szCs w:val="20"/>
              </w:rPr>
              <w:t>, flattening of femoral articular surface, ridge from the femoral condyle margin</w:t>
            </w:r>
          </w:p>
        </w:tc>
        <w:tc>
          <w:tcPr>
            <w:tcW w:w="1139" w:type="dxa"/>
            <w:vAlign w:val="center"/>
          </w:tcPr>
          <w:p w:rsidR="008E4198" w:rsidRPr="00A6310E" w:rsidRDefault="00A6310E" w:rsidP="008E41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1" w:type="dxa"/>
            <w:vAlign w:val="center"/>
          </w:tcPr>
          <w:p w:rsidR="008E4198" w:rsidRPr="00A6310E" w:rsidRDefault="00A6310E" w:rsidP="008E41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</w:tr>
      <w:tr w:rsidR="00FE6E01" w:rsidRPr="00A6310E" w:rsidTr="00FE6E01">
        <w:tc>
          <w:tcPr>
            <w:tcW w:w="3119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OARSI/Altman</w:t>
            </w:r>
          </w:p>
        </w:tc>
        <w:tc>
          <w:tcPr>
            <w:tcW w:w="993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6095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0= No features of osteoarthritis (none); 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1= definite osteophytes, possible narrowing of joint space (minimal); 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2= Moderate multiple osteophytes, definite narrowing of joint space, some subchondral sclerosis (moderate);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3= large osteophytes, marked narrowing of joint space, severe subchondral sclerosis (severe)</w:t>
            </w:r>
          </w:p>
        </w:tc>
        <w:tc>
          <w:tcPr>
            <w:tcW w:w="1984" w:type="dxa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Osteophytes,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JSN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, subchondral sclerosis</w:t>
            </w:r>
          </w:p>
        </w:tc>
        <w:tc>
          <w:tcPr>
            <w:tcW w:w="1139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1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</w:tr>
      <w:tr w:rsidR="00FE6E01" w:rsidRPr="00A6310E" w:rsidTr="00FE6E01">
        <w:tc>
          <w:tcPr>
            <w:tcW w:w="3119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Ahlback</w:t>
            </w:r>
          </w:p>
        </w:tc>
        <w:tc>
          <w:tcPr>
            <w:tcW w:w="993" w:type="dxa"/>
            <w:vAlign w:val="center"/>
          </w:tcPr>
          <w:p w:rsidR="00A6310E" w:rsidRPr="00A6310E" w:rsidRDefault="00FE6E01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310E" w:rsidRPr="00A6310E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6095" w:type="dxa"/>
            <w:vAlign w:val="center"/>
          </w:tcPr>
          <w:p w:rsidR="00FE6E01" w:rsidRDefault="00FE6E01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Normal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1 = Joint space narrowing of less than 50%; 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= joint space obliteration;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= bone-bone attrition;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4 = moderate bone attrition</w:t>
            </w:r>
          </w:p>
        </w:tc>
        <w:tc>
          <w:tcPr>
            <w:tcW w:w="1984" w:type="dxa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JSN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, bone attrition</w:t>
            </w:r>
          </w:p>
        </w:tc>
        <w:tc>
          <w:tcPr>
            <w:tcW w:w="1139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1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</w:tr>
      <w:tr w:rsidR="00FE6E01" w:rsidRPr="00A6310E" w:rsidTr="00FE6E01">
        <w:tc>
          <w:tcPr>
            <w:tcW w:w="3119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Modified Ahlback</w:t>
            </w:r>
          </w:p>
        </w:tc>
        <w:tc>
          <w:tcPr>
            <w:tcW w:w="993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0-6</w:t>
            </w:r>
          </w:p>
        </w:tc>
        <w:tc>
          <w:tcPr>
            <w:tcW w:w="6095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0 = Normal;</w:t>
            </w:r>
          </w:p>
          <w:p w:rsidR="00FE6E01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1 = Minimal but definite JSN;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2 = Moderate JSN (50% JSN); </w:t>
            </w:r>
          </w:p>
          <w:p w:rsidR="00FE6E01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3 = Severe JSN (75% JSN);</w:t>
            </w:r>
          </w:p>
          <w:p w:rsidR="00FE6E01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4 = Obliteration of the joint space but no attrition; </w:t>
            </w:r>
          </w:p>
          <w:p w:rsidR="00FE6E01" w:rsidRDefault="00A6310E" w:rsidP="00FE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5 = &lt;5mm attrition; </w:t>
            </w:r>
          </w:p>
          <w:p w:rsidR="00A6310E" w:rsidRPr="00A6310E" w:rsidRDefault="00A6310E" w:rsidP="00FE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>= ≥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5mm bone attrition</w:t>
            </w:r>
          </w:p>
        </w:tc>
        <w:tc>
          <w:tcPr>
            <w:tcW w:w="1984" w:type="dxa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JSN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, bone attrition</w:t>
            </w:r>
          </w:p>
        </w:tc>
        <w:tc>
          <w:tcPr>
            <w:tcW w:w="1139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1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</w:tr>
      <w:tr w:rsidR="00A6310E" w:rsidRPr="00A6310E" w:rsidTr="00FE6E01">
        <w:tc>
          <w:tcPr>
            <w:tcW w:w="3119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Line drawing atlas</w:t>
            </w:r>
          </w:p>
        </w:tc>
        <w:tc>
          <w:tcPr>
            <w:tcW w:w="993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6095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JSN 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0 = No JSN, 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= 33% JSN  (2/3 of the normal);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 xml:space="preserve">2 = 66% JSN (1/3 the normal); 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3 = 99% JSN (bone on bone)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i/>
                <w:sz w:val="20"/>
                <w:szCs w:val="20"/>
              </w:rPr>
              <w:t>Osteophytes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= no osteophytes;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1 =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1/3 the length and width of the grade 3 osteophytes;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= 2/3 length and width of the grade 3 osteophytes</w:t>
            </w:r>
          </w:p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= grade 3 osteophytes</w:t>
            </w:r>
          </w:p>
        </w:tc>
        <w:tc>
          <w:tcPr>
            <w:tcW w:w="1984" w:type="dxa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JSN</w:t>
            </w: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, osteophytes</w:t>
            </w:r>
          </w:p>
        </w:tc>
        <w:tc>
          <w:tcPr>
            <w:tcW w:w="1139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1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</w:tr>
      <w:tr w:rsidR="00A6310E" w:rsidRPr="00A6310E" w:rsidTr="00FE6E01">
        <w:tc>
          <w:tcPr>
            <w:tcW w:w="3119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Americ</w:t>
            </w:r>
            <w:r w:rsidR="00CC5731">
              <w:rPr>
                <w:rFonts w:ascii="Times New Roman" w:hAnsi="Times New Roman" w:cs="Times New Roman"/>
                <w:sz w:val="20"/>
                <w:szCs w:val="20"/>
              </w:rPr>
              <w:t xml:space="preserve">an College of Rheumatology </w:t>
            </w:r>
          </w:p>
        </w:tc>
        <w:tc>
          <w:tcPr>
            <w:tcW w:w="993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Knee pain on most days of the previous month, demonstrated osteophytes on x-ray, experienced pain or difficulty in getting up from sitting or climbing stairs</w:t>
            </w:r>
          </w:p>
        </w:tc>
        <w:tc>
          <w:tcPr>
            <w:tcW w:w="1984" w:type="dxa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0E">
              <w:rPr>
                <w:rFonts w:ascii="Times New Roman" w:hAnsi="Times New Roman" w:cs="Times New Roman"/>
                <w:sz w:val="20"/>
                <w:szCs w:val="20"/>
              </w:rPr>
              <w:t>Pain and osteophytes</w:t>
            </w:r>
          </w:p>
        </w:tc>
        <w:tc>
          <w:tcPr>
            <w:tcW w:w="1139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A6310E" w:rsidRPr="00A6310E" w:rsidRDefault="00A6310E" w:rsidP="00A63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6BB" w:rsidRPr="00FE6E01" w:rsidRDefault="002C6D5F">
      <w:pPr>
        <w:rPr>
          <w:rFonts w:ascii="Times New Roman" w:hAnsi="Times New Roman" w:cs="Times New Roman"/>
          <w:sz w:val="20"/>
          <w:szCs w:val="20"/>
        </w:rPr>
      </w:pPr>
      <w:r w:rsidRPr="00FE6E01">
        <w:rPr>
          <w:rFonts w:ascii="Times New Roman" w:hAnsi="Times New Roman" w:cs="Times New Roman"/>
          <w:sz w:val="20"/>
          <w:szCs w:val="20"/>
        </w:rPr>
        <w:t xml:space="preserve"> </w:t>
      </w:r>
      <w:r w:rsidR="00FE6E01" w:rsidRPr="00FE6E01">
        <w:rPr>
          <w:rFonts w:ascii="Times New Roman" w:hAnsi="Times New Roman" w:cs="Times New Roman"/>
          <w:sz w:val="20"/>
          <w:szCs w:val="20"/>
        </w:rPr>
        <w:t>Abbreviations as follows: JSN, Joint space narrowing; OARSI, Osteoarthritis Research Society International</w:t>
      </w:r>
    </w:p>
    <w:sectPr w:rsidR="009B16BB" w:rsidRPr="00FE6E01" w:rsidSect="002C6D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5F"/>
    <w:rsid w:val="001B6F4A"/>
    <w:rsid w:val="002C34B0"/>
    <w:rsid w:val="002C6D5F"/>
    <w:rsid w:val="002F06B7"/>
    <w:rsid w:val="006B0101"/>
    <w:rsid w:val="00747DD0"/>
    <w:rsid w:val="008E4198"/>
    <w:rsid w:val="008F4452"/>
    <w:rsid w:val="009B16BB"/>
    <w:rsid w:val="00A6310E"/>
    <w:rsid w:val="00C67711"/>
    <w:rsid w:val="00CC5731"/>
    <w:rsid w:val="00E05A6D"/>
    <w:rsid w:val="00FE6E01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 Hart</dc:creator>
  <cp:keywords/>
  <dc:description/>
  <cp:lastModifiedBy>Harvi</cp:lastModifiedBy>
  <cp:revision>2</cp:revision>
  <dcterms:created xsi:type="dcterms:W3CDTF">2016-12-13T20:48:00Z</dcterms:created>
  <dcterms:modified xsi:type="dcterms:W3CDTF">2016-12-13T20:48:00Z</dcterms:modified>
</cp:coreProperties>
</file>