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557" w:rsidRPr="00431582" w:rsidRDefault="00A67557" w:rsidP="00A67557">
      <w:pPr>
        <w:spacing w:after="200" w:line="240" w:lineRule="auto"/>
        <w:rPr>
          <w:rFonts w:ascii="Arial" w:eastAsia="Arial" w:hAnsi="Arial" w:cs="Arial"/>
          <w:b/>
          <w:bCs/>
          <w:color w:val="000000"/>
          <w:sz w:val="20"/>
          <w:szCs w:val="16"/>
        </w:rPr>
      </w:pPr>
      <w:r w:rsidRPr="002D13BD">
        <w:rPr>
          <w:rFonts w:ascii="Arial" w:eastAsia="Arial" w:hAnsi="Arial" w:cs="Arial"/>
          <w:b/>
          <w:bCs/>
          <w:color w:val="000000"/>
          <w:sz w:val="20"/>
          <w:szCs w:val="16"/>
        </w:rPr>
        <w:t>Supplement Table 1</w:t>
      </w:r>
      <w:r w:rsidRPr="002D13BD">
        <w:rPr>
          <w:rFonts w:ascii="Arial" w:eastAsia="Arial" w:hAnsi="Arial" w:cs="Arial"/>
          <w:b/>
          <w:bCs/>
          <w:color w:val="000000"/>
          <w:sz w:val="20"/>
          <w:szCs w:val="16"/>
        </w:rPr>
        <w:tab/>
      </w:r>
      <w:r w:rsidRPr="002D13BD">
        <w:rPr>
          <w:rFonts w:ascii="Arial" w:eastAsia="Arial" w:hAnsi="Arial" w:cs="Arial"/>
          <w:b/>
          <w:bCs/>
          <w:color w:val="000000"/>
          <w:sz w:val="20"/>
          <w:szCs w:val="16"/>
        </w:rPr>
        <w:tab/>
        <w:t>Palatability changes with days of treatment</w:t>
      </w:r>
      <w:r w:rsidRPr="00DF236B">
        <w:rPr>
          <w:rFonts w:ascii="Arial" w:eastAsia="Arial" w:hAnsi="Arial" w:cs="Arial"/>
          <w:b/>
          <w:bCs/>
          <w:color w:val="000000"/>
          <w:sz w:val="20"/>
          <w:szCs w:val="1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52"/>
        <w:gridCol w:w="1808"/>
        <w:gridCol w:w="1247"/>
        <w:gridCol w:w="1808"/>
        <w:gridCol w:w="1135"/>
        <w:gridCol w:w="1808"/>
        <w:gridCol w:w="1247"/>
        <w:gridCol w:w="1808"/>
        <w:gridCol w:w="1135"/>
      </w:tblGrid>
      <w:tr w:rsidR="00A67557" w:rsidRPr="00CE7446" w:rsidTr="007473C1">
        <w:trPr>
          <w:trHeight w:val="486"/>
        </w:trPr>
        <w:tc>
          <w:tcPr>
            <w:tcW w:w="700" w:type="pct"/>
            <w:vMerge w:val="restar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Compare Days</w:t>
            </w:r>
          </w:p>
        </w:tc>
        <w:tc>
          <w:tcPr>
            <w:tcW w:w="2150" w:type="pct"/>
            <w:gridSpan w:val="4"/>
            <w:tcBorders>
              <w:right w:val="single" w:sz="12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Prednisolone base</w:t>
            </w:r>
          </w:p>
        </w:tc>
        <w:tc>
          <w:tcPr>
            <w:tcW w:w="2150" w:type="pct"/>
            <w:gridSpan w:val="4"/>
            <w:tcBorders>
              <w:left w:val="single" w:sz="12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Prednisolone Sodium Phosphate</w:t>
            </w:r>
          </w:p>
        </w:tc>
      </w:tr>
      <w:tr w:rsidR="00A67557" w:rsidRPr="00CE7446" w:rsidTr="007473C1">
        <w:trPr>
          <w:trHeight w:val="120"/>
        </w:trPr>
        <w:tc>
          <w:tcPr>
            <w:tcW w:w="700" w:type="pct"/>
            <w:vMerge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1095" w:type="pct"/>
            <w:gridSpan w:val="2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Bidi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1055" w:type="pct"/>
            <w:gridSpan w:val="2"/>
            <w:tcBorders>
              <w:right w:val="single" w:sz="12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color w:val="000000"/>
                <w:sz w:val="18"/>
                <w:szCs w:val="18"/>
              </w:rPr>
              <w:t>UK</w:t>
            </w:r>
          </w:p>
        </w:tc>
        <w:tc>
          <w:tcPr>
            <w:tcW w:w="1095" w:type="pct"/>
            <w:gridSpan w:val="2"/>
            <w:tcBorders>
              <w:left w:val="single" w:sz="12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Bidi"/>
                <w:b/>
                <w:bCs/>
                <w:color w:val="000000"/>
                <w:sz w:val="18"/>
                <w:szCs w:val="18"/>
              </w:rPr>
              <w:t>SA</w:t>
            </w:r>
          </w:p>
        </w:tc>
        <w:tc>
          <w:tcPr>
            <w:tcW w:w="1055" w:type="pct"/>
            <w:gridSpan w:val="2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color w:val="000000"/>
                <w:sz w:val="18"/>
                <w:szCs w:val="18"/>
              </w:rPr>
              <w:t>UK</w:t>
            </w:r>
          </w:p>
        </w:tc>
      </w:tr>
      <w:tr w:rsidR="00A67557" w:rsidRPr="00CE7446" w:rsidTr="007473C1">
        <w:trPr>
          <w:trHeight w:val="105"/>
        </w:trPr>
        <w:tc>
          <w:tcPr>
            <w:tcW w:w="700" w:type="pct"/>
            <w:vMerge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vAlign w:val="center"/>
          </w:tcPr>
          <w:p w:rsidR="00A67557" w:rsidRDefault="00A67557" w:rsidP="007473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Mean of taste</w:t>
            </w:r>
          </w:p>
        </w:tc>
        <w:tc>
          <w:tcPr>
            <w:tcW w:w="447" w:type="pct"/>
            <w:vAlign w:val="center"/>
          </w:tcPr>
          <w:p w:rsidR="00A67557" w:rsidRDefault="00A67557" w:rsidP="007473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Mean of taste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64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7557" w:rsidRDefault="00A67557" w:rsidP="007473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Mean of taste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vAlign w:val="center"/>
          </w:tcPr>
          <w:p w:rsidR="00A67557" w:rsidRDefault="00A67557" w:rsidP="007473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  <w:tc>
          <w:tcPr>
            <w:tcW w:w="648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Mean of taste</w:t>
            </w:r>
          </w:p>
        </w:tc>
        <w:tc>
          <w:tcPr>
            <w:tcW w:w="406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P-value</w:t>
            </w:r>
          </w:p>
        </w:tc>
      </w:tr>
      <w:tr w:rsidR="00A67557" w:rsidRPr="00CE7446" w:rsidTr="007473C1">
        <w:trPr>
          <w:trHeight w:val="185"/>
        </w:trPr>
        <w:tc>
          <w:tcPr>
            <w:tcW w:w="700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Day 1 vs Day 2</w:t>
            </w:r>
          </w:p>
        </w:tc>
        <w:tc>
          <w:tcPr>
            <w:tcW w:w="648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>1.12 vs 1.42</w:t>
            </w:r>
          </w:p>
        </w:tc>
        <w:tc>
          <w:tcPr>
            <w:tcW w:w="447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color w:val="000000"/>
                <w:sz w:val="18"/>
                <w:szCs w:val="18"/>
              </w:rPr>
              <w:t>0</w:t>
            </w:r>
            <w:r w:rsidRPr="00CE7446">
              <w:rPr>
                <w:rFonts w:cstheme="minorBidi"/>
                <w:b/>
                <w:bCs/>
                <w:sz w:val="18"/>
                <w:szCs w:val="18"/>
              </w:rPr>
              <w:t>.025*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>1.39 vs 1.61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color w:val="000000"/>
                <w:sz w:val="18"/>
                <w:szCs w:val="18"/>
              </w:rPr>
              <w:t>0</w:t>
            </w:r>
            <w:r w:rsidRPr="00CE7446">
              <w:rPr>
                <w:rFonts w:cstheme="minorBidi"/>
                <w:b/>
                <w:bCs/>
                <w:sz w:val="18"/>
                <w:szCs w:val="18"/>
              </w:rPr>
              <w:t>.061</w:t>
            </w:r>
          </w:p>
        </w:tc>
        <w:tc>
          <w:tcPr>
            <w:tcW w:w="64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>1.62 vs 2.11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0.001*</w:t>
            </w:r>
          </w:p>
        </w:tc>
        <w:tc>
          <w:tcPr>
            <w:tcW w:w="648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>2.19 vs 2.21</w:t>
            </w:r>
          </w:p>
        </w:tc>
        <w:tc>
          <w:tcPr>
            <w:tcW w:w="406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0.075</w:t>
            </w:r>
          </w:p>
        </w:tc>
      </w:tr>
      <w:tr w:rsidR="00A67557" w:rsidRPr="00CE7446" w:rsidTr="007473C1">
        <w:tc>
          <w:tcPr>
            <w:tcW w:w="700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Day 2 vs Day 3</w:t>
            </w:r>
          </w:p>
        </w:tc>
        <w:tc>
          <w:tcPr>
            <w:tcW w:w="648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>1.42 vs 1.67</w:t>
            </w:r>
          </w:p>
        </w:tc>
        <w:tc>
          <w:tcPr>
            <w:tcW w:w="447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0.004*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>1.61 vs 1.97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0.019*</w:t>
            </w:r>
          </w:p>
        </w:tc>
        <w:tc>
          <w:tcPr>
            <w:tcW w:w="64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>2.11 vs 2.38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0.075</w:t>
            </w:r>
          </w:p>
        </w:tc>
        <w:tc>
          <w:tcPr>
            <w:tcW w:w="648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>2.21 vs 2.54</w:t>
            </w:r>
          </w:p>
        </w:tc>
        <w:tc>
          <w:tcPr>
            <w:tcW w:w="406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0.136</w:t>
            </w:r>
          </w:p>
        </w:tc>
      </w:tr>
      <w:tr w:rsidR="00A67557" w:rsidRPr="00CE7446" w:rsidTr="007473C1">
        <w:tc>
          <w:tcPr>
            <w:tcW w:w="700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Day 1 vs Day 3</w:t>
            </w:r>
          </w:p>
        </w:tc>
        <w:tc>
          <w:tcPr>
            <w:tcW w:w="648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>1.12 vs 1.67</w:t>
            </w:r>
          </w:p>
        </w:tc>
        <w:tc>
          <w:tcPr>
            <w:tcW w:w="447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˂0.0001*</w:t>
            </w:r>
          </w:p>
        </w:tc>
        <w:tc>
          <w:tcPr>
            <w:tcW w:w="648" w:type="pct"/>
            <w:tcBorders>
              <w:right w:val="single" w:sz="4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>1.39 vs 1.97</w:t>
            </w:r>
          </w:p>
        </w:tc>
        <w:tc>
          <w:tcPr>
            <w:tcW w:w="406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0.01*</w:t>
            </w:r>
          </w:p>
        </w:tc>
        <w:tc>
          <w:tcPr>
            <w:tcW w:w="648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 xml:space="preserve">1.62 vs 2.38 </w:t>
            </w:r>
          </w:p>
        </w:tc>
        <w:tc>
          <w:tcPr>
            <w:tcW w:w="447" w:type="pct"/>
            <w:tcBorders>
              <w:left w:val="single" w:sz="4" w:space="0" w:color="auto"/>
            </w:tcBorders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˂0.0001*</w:t>
            </w:r>
          </w:p>
        </w:tc>
        <w:tc>
          <w:tcPr>
            <w:tcW w:w="648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>
              <w:rPr>
                <w:rFonts w:cstheme="minorBidi"/>
                <w:b/>
                <w:bCs/>
                <w:sz w:val="18"/>
                <w:szCs w:val="18"/>
              </w:rPr>
              <w:t>2.19 vs 2.54</w:t>
            </w:r>
          </w:p>
        </w:tc>
        <w:tc>
          <w:tcPr>
            <w:tcW w:w="406" w:type="pct"/>
            <w:vAlign w:val="center"/>
          </w:tcPr>
          <w:p w:rsidR="00A67557" w:rsidRPr="00CE7446" w:rsidRDefault="00A67557" w:rsidP="007473C1">
            <w:pPr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 w:rsidRPr="00CE7446">
              <w:rPr>
                <w:rFonts w:cstheme="minorBidi"/>
                <w:b/>
                <w:bCs/>
                <w:sz w:val="18"/>
                <w:szCs w:val="18"/>
              </w:rPr>
              <w:t>0.0451*</w:t>
            </w:r>
          </w:p>
        </w:tc>
      </w:tr>
    </w:tbl>
    <w:p w:rsidR="00A67557" w:rsidRDefault="00A67557" w:rsidP="00A67557">
      <w:pPr>
        <w:tabs>
          <w:tab w:val="left" w:pos="3750"/>
        </w:tabs>
        <w:spacing w:after="200" w:line="276" w:lineRule="auto"/>
        <w:rPr>
          <w:rFonts w:ascii="Arial" w:eastAsia="Arial" w:hAnsi="Arial" w:cs="Arial"/>
          <w:b/>
          <w:bCs/>
          <w:color w:val="000000"/>
          <w:sz w:val="20"/>
          <w:szCs w:val="16"/>
        </w:rPr>
      </w:pPr>
      <w:r w:rsidRPr="00DF236B">
        <w:rPr>
          <w:rFonts w:ascii="Arial" w:eastAsia="Arial" w:hAnsi="Arial" w:cs="Arial"/>
          <w:color w:val="000000"/>
          <w:sz w:val="20"/>
          <w:szCs w:val="20"/>
        </w:rPr>
        <w:t xml:space="preserve">* Significant results, </w:t>
      </w:r>
      <w:proofErr w:type="spellStart"/>
      <w:r w:rsidRPr="00DF236B">
        <w:rPr>
          <w:rFonts w:ascii="Arial" w:eastAsia="Arial" w:hAnsi="Arial" w:cs="Arial"/>
          <w:color w:val="000000"/>
          <w:sz w:val="20"/>
          <w:szCs w:val="20"/>
        </w:rPr>
        <w:t>McNemar</w:t>
      </w:r>
      <w:proofErr w:type="spellEnd"/>
      <w:r w:rsidRPr="00DF236B">
        <w:rPr>
          <w:rFonts w:ascii="Arial" w:eastAsia="Arial" w:hAnsi="Arial" w:cs="Arial"/>
          <w:color w:val="000000"/>
          <w:sz w:val="20"/>
          <w:szCs w:val="20"/>
        </w:rPr>
        <w:t>-Bowker test.</w:t>
      </w:r>
      <w:r>
        <w:rPr>
          <w:rFonts w:ascii="Arial" w:eastAsia="Arial" w:hAnsi="Arial" w:cs="Arial"/>
          <w:b/>
          <w:bCs/>
          <w:color w:val="000000"/>
          <w:sz w:val="20"/>
          <w:szCs w:val="16"/>
        </w:rPr>
        <w:t xml:space="preserve"> </w:t>
      </w:r>
    </w:p>
    <w:p w:rsidR="00E127B8" w:rsidRDefault="00E127B8">
      <w:pPr>
        <w:spacing w:line="259" w:lineRule="auto"/>
        <w:rPr>
          <w:rFonts w:ascii="Arial" w:eastAsia="Arial" w:hAnsi="Arial" w:cs="Arial"/>
          <w:b/>
          <w:bCs/>
          <w:color w:val="000000"/>
          <w:sz w:val="20"/>
          <w:szCs w:val="16"/>
        </w:rPr>
      </w:pPr>
      <w:r>
        <w:rPr>
          <w:rFonts w:ascii="Arial" w:eastAsia="Arial" w:hAnsi="Arial" w:cs="Arial"/>
          <w:b/>
          <w:bCs/>
          <w:color w:val="000000"/>
          <w:sz w:val="20"/>
          <w:szCs w:val="16"/>
        </w:rPr>
        <w:br w:type="page"/>
      </w:r>
    </w:p>
    <w:p w:rsidR="00A67557" w:rsidRPr="00945727" w:rsidRDefault="00A67557" w:rsidP="00A67557">
      <w:pPr>
        <w:spacing w:line="259" w:lineRule="auto"/>
        <w:rPr>
          <w:rFonts w:ascii="Arial" w:eastAsia="Arial" w:hAnsi="Arial" w:cs="Arial"/>
          <w:b/>
          <w:bCs/>
          <w:color w:val="000000"/>
          <w:sz w:val="20"/>
          <w:szCs w:val="16"/>
        </w:rPr>
      </w:pPr>
      <w:bookmarkStart w:id="0" w:name="_GoBack"/>
      <w:bookmarkEnd w:id="0"/>
      <w:r w:rsidRPr="00FC6492">
        <w:rPr>
          <w:rFonts w:ascii="Arial" w:eastAsia="Arial" w:hAnsi="Arial" w:cs="Arial"/>
          <w:b/>
          <w:bCs/>
          <w:color w:val="000000"/>
          <w:sz w:val="20"/>
          <w:szCs w:val="16"/>
        </w:rPr>
        <w:lastRenderedPageBreak/>
        <w:t>Supplement Table 2</w:t>
      </w:r>
      <w:r w:rsidRPr="00FC6492">
        <w:rPr>
          <w:rFonts w:ascii="Arial" w:eastAsia="Arial" w:hAnsi="Arial" w:cs="Arial"/>
          <w:b/>
          <w:bCs/>
          <w:color w:val="000000"/>
          <w:sz w:val="20"/>
          <w:szCs w:val="16"/>
        </w:rPr>
        <w:tab/>
        <w:t>UK cost of different corticosteroid formulations</w:t>
      </w:r>
    </w:p>
    <w:tbl>
      <w:tblPr>
        <w:tblStyle w:val="TableGrid"/>
        <w:tblW w:w="5000" w:type="pct"/>
        <w:jc w:val="center"/>
        <w:tblLook w:val="0000" w:firstRow="0" w:lastRow="0" w:firstColumn="0" w:lastColumn="0" w:noHBand="0" w:noVBand="0"/>
      </w:tblPr>
      <w:tblGrid>
        <w:gridCol w:w="2656"/>
        <w:gridCol w:w="2949"/>
        <w:gridCol w:w="1852"/>
        <w:gridCol w:w="6491"/>
      </w:tblGrid>
      <w:tr w:rsidR="00A67557" w:rsidRPr="008A7698" w:rsidTr="007473C1">
        <w:trPr>
          <w:trHeight w:val="1391"/>
          <w:jc w:val="center"/>
        </w:trPr>
        <w:tc>
          <w:tcPr>
            <w:tcW w:w="2009" w:type="pct"/>
            <w:gridSpan w:val="2"/>
            <w:vAlign w:val="center"/>
          </w:tcPr>
          <w:p w:rsidR="00A67557" w:rsidRPr="00F3227C" w:rsidRDefault="00A67557" w:rsidP="007473C1">
            <w:pPr>
              <w:autoSpaceDE w:val="0"/>
              <w:autoSpaceDN w:val="0"/>
              <w:adjustRightInd w:val="0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00F3227C">
              <w:rPr>
                <w:rFonts w:cstheme="minorBidi"/>
                <w:b/>
                <w:bCs/>
                <w:sz w:val="18"/>
                <w:szCs w:val="18"/>
              </w:rPr>
              <w:t>Oral corticosteroids</w:t>
            </w:r>
          </w:p>
          <w:p w:rsidR="00A67557" w:rsidRPr="008A7698" w:rsidRDefault="00A67557" w:rsidP="007473C1">
            <w:pPr>
              <w:autoSpaceDE w:val="0"/>
              <w:autoSpaceDN w:val="0"/>
              <w:adjustRightInd w:val="0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00F3227C">
              <w:rPr>
                <w:rFonts w:cstheme="minorBidi"/>
                <w:b/>
                <w:bCs/>
                <w:sz w:val="18"/>
                <w:szCs w:val="18"/>
              </w:rPr>
              <w:t xml:space="preserve">(Drug Tariff price) </w:t>
            </w:r>
            <w:r w:rsidRPr="00F3227C">
              <w:rPr>
                <w:sz w:val="18"/>
                <w:szCs w:val="18"/>
              </w:rPr>
              <w:fldChar w:fldCharType="begin" w:fldLock="1"/>
            </w:r>
            <w:r>
              <w:rPr>
                <w:sz w:val="18"/>
                <w:szCs w:val="18"/>
              </w:rPr>
              <w:instrText>ADDIN CSL_CITATION { "citationItems" : [ { "id" : "ITEM-1", "itemData" : { "ISBN" : "9780857110879", "URL" : "https://www.medicinescomplete.com/mc/bnfc/current/index.htm", "accessed" : { "date-parts" : [ [ "2016", "9", "20" ] ] }, "author" : [ { "dropping-particle" : "", "family" : "Medicines Complete", "given" : "", "non-dropping-particle" : "", "parse-names" : false, "suffix" : "" } ], "id" : "ITEM-1", "issued" : { "date-parts" : [ [ "0" ] ] }, "title" : "BNF for Children", "type" : "webpage" }, "uris" : [ "http://www.mendeley.com/documents/?uuid=82622e1a-6612-4e16-b78e-92753f1522dc" ] } ], "mendeley" : { "formattedCitation" : "[14]", "plainTextFormattedCitation" : "[14]", "previouslyFormattedCitation" : "[14]" }, "properties" : { "noteIndex" : 0 }, "schema" : "https://github.com/citation-style-language/schema/raw/master/csl-citation.json" }</w:instrText>
            </w:r>
            <w:r w:rsidRPr="00F3227C">
              <w:rPr>
                <w:sz w:val="18"/>
                <w:szCs w:val="18"/>
              </w:rPr>
              <w:fldChar w:fldCharType="separate"/>
            </w:r>
            <w:r w:rsidRPr="00A63816">
              <w:rPr>
                <w:noProof/>
                <w:sz w:val="18"/>
                <w:szCs w:val="18"/>
              </w:rPr>
              <w:t>[14]</w:t>
            </w:r>
            <w:r w:rsidRPr="00F3227C">
              <w:rPr>
                <w:sz w:val="18"/>
                <w:szCs w:val="18"/>
              </w:rPr>
              <w:fldChar w:fldCharType="end"/>
            </w:r>
          </w:p>
        </w:tc>
        <w:tc>
          <w:tcPr>
            <w:tcW w:w="664" w:type="pct"/>
            <w:tcBorders>
              <w:right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Price / unit</w:t>
            </w:r>
          </w:p>
        </w:tc>
        <w:tc>
          <w:tcPr>
            <w:tcW w:w="2327" w:type="pct"/>
            <w:tcBorders>
              <w:left w:val="single" w:sz="12" w:space="0" w:color="auto"/>
            </w:tcBorders>
            <w:vAlign w:val="center"/>
          </w:tcPr>
          <w:p w:rsidR="00A67557" w:rsidRPr="002D13BD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2D13BD">
              <w:rPr>
                <w:rFonts w:cstheme="minorBidi"/>
                <w:b/>
                <w:bCs/>
                <w:color w:val="000000"/>
                <w:sz w:val="18"/>
                <w:szCs w:val="18"/>
              </w:rPr>
              <w:t>Treatment cost of one dose for child weighing 20kg receiving 2mg/kg/day of prednisolone or 0.3mg/kg/day of dexamethasone</w:t>
            </w:r>
          </w:p>
        </w:tc>
      </w:tr>
      <w:tr w:rsidR="00A67557" w:rsidRPr="008A7698" w:rsidTr="007473C1">
        <w:trPr>
          <w:trHeight w:val="347"/>
          <w:jc w:val="center"/>
        </w:trPr>
        <w:tc>
          <w:tcPr>
            <w:tcW w:w="952" w:type="pct"/>
            <w:vMerge w:val="restart"/>
            <w:tcBorders>
              <w:top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sz w:val="18"/>
                <w:szCs w:val="18"/>
              </w:rPr>
              <w:t>Prednisolone base</w:t>
            </w:r>
          </w:p>
        </w:tc>
        <w:tc>
          <w:tcPr>
            <w:tcW w:w="1057" w:type="pct"/>
            <w:tcBorders>
              <w:top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Prednisolone 5mg tablets</w:t>
            </w:r>
          </w:p>
        </w:tc>
        <w:tc>
          <w:tcPr>
            <w:tcW w:w="66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sz w:val="18"/>
                <w:szCs w:val="18"/>
              </w:rPr>
              <w:t>3p/tablet</w:t>
            </w:r>
          </w:p>
        </w:tc>
        <w:tc>
          <w:tcPr>
            <w:tcW w:w="232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7557" w:rsidRPr="002D13BD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2D13BD">
              <w:rPr>
                <w:rFonts w:cstheme="minorBidi"/>
                <w:b/>
                <w:bCs/>
                <w:color w:val="000000"/>
                <w:sz w:val="18"/>
                <w:szCs w:val="18"/>
              </w:rPr>
              <w:t>£0.24</w:t>
            </w:r>
          </w:p>
        </w:tc>
      </w:tr>
      <w:tr w:rsidR="00A67557" w:rsidRPr="008A7698" w:rsidTr="007473C1">
        <w:trPr>
          <w:trHeight w:val="690"/>
          <w:jc w:val="center"/>
        </w:trPr>
        <w:tc>
          <w:tcPr>
            <w:tcW w:w="952" w:type="pct"/>
            <w:vMerge/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tcBorders>
              <w:bottom w:val="single" w:sz="4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Prednisolone 5mg/5ml oral solution unit dose</w:t>
            </w:r>
          </w:p>
        </w:tc>
        <w:tc>
          <w:tcPr>
            <w:tcW w:w="664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sz w:val="18"/>
                <w:szCs w:val="18"/>
              </w:rPr>
              <w:t>23p/ml</w:t>
            </w:r>
          </w:p>
        </w:tc>
        <w:tc>
          <w:tcPr>
            <w:tcW w:w="2327" w:type="pc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67557" w:rsidRPr="002D13BD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2D13BD">
              <w:rPr>
                <w:rFonts w:cstheme="minorBidi"/>
                <w:b/>
                <w:bCs/>
                <w:color w:val="000000"/>
                <w:sz w:val="18"/>
                <w:szCs w:val="18"/>
              </w:rPr>
              <w:t>£9.20</w:t>
            </w:r>
          </w:p>
        </w:tc>
      </w:tr>
      <w:tr w:rsidR="00A67557" w:rsidRPr="008A7698" w:rsidTr="007473C1">
        <w:trPr>
          <w:trHeight w:val="123"/>
          <w:jc w:val="center"/>
        </w:trPr>
        <w:tc>
          <w:tcPr>
            <w:tcW w:w="952" w:type="pct"/>
            <w:vMerge/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Prednisolone 10mg/ml oral solution sugar free</w:t>
            </w:r>
          </w:p>
        </w:tc>
        <w:tc>
          <w:tcPr>
            <w:tcW w:w="664" w:type="pct"/>
            <w:tcBorders>
              <w:bottom w:val="nil"/>
              <w:right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£</w:t>
            </w:r>
            <w:r w:rsidRPr="008A7698">
              <w:rPr>
                <w:rFonts w:cstheme="minorBidi"/>
                <w:b/>
                <w:bCs/>
                <w:sz w:val="18"/>
                <w:szCs w:val="18"/>
              </w:rPr>
              <w:t>1.85/ml</w:t>
            </w:r>
          </w:p>
        </w:tc>
        <w:tc>
          <w:tcPr>
            <w:tcW w:w="2327" w:type="pct"/>
            <w:tcBorders>
              <w:left w:val="single" w:sz="12" w:space="0" w:color="auto"/>
            </w:tcBorders>
            <w:vAlign w:val="center"/>
          </w:tcPr>
          <w:p w:rsidR="00A67557" w:rsidRPr="002D13BD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2D13BD">
              <w:rPr>
                <w:rFonts w:cstheme="minorBidi"/>
                <w:b/>
                <w:bCs/>
                <w:color w:val="000000"/>
                <w:sz w:val="18"/>
                <w:szCs w:val="18"/>
              </w:rPr>
              <w:t>£7.40</w:t>
            </w:r>
          </w:p>
        </w:tc>
      </w:tr>
      <w:tr w:rsidR="00A67557" w:rsidRPr="008A7698" w:rsidTr="007473C1">
        <w:trPr>
          <w:trHeight w:val="696"/>
          <w:jc w:val="center"/>
        </w:trPr>
        <w:tc>
          <w:tcPr>
            <w:tcW w:w="952" w:type="pct"/>
            <w:tcBorders>
              <w:top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Prednisolone sodium phosphate</w:t>
            </w:r>
          </w:p>
        </w:tc>
        <w:tc>
          <w:tcPr>
            <w:tcW w:w="1057" w:type="pct"/>
            <w:tcBorders>
              <w:top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Prednisolone 5mg soluble tablets</w:t>
            </w:r>
          </w:p>
        </w:tc>
        <w:tc>
          <w:tcPr>
            <w:tcW w:w="66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£</w:t>
            </w:r>
            <w:r w:rsidRPr="008A7698">
              <w:rPr>
                <w:rFonts w:cstheme="minorBidi"/>
                <w:b/>
                <w:bCs/>
                <w:sz w:val="18"/>
                <w:szCs w:val="18"/>
              </w:rPr>
              <w:t>1.78/tablet</w:t>
            </w:r>
          </w:p>
        </w:tc>
        <w:tc>
          <w:tcPr>
            <w:tcW w:w="232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7557" w:rsidRPr="002D13BD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2D13BD">
              <w:rPr>
                <w:rFonts w:cstheme="minorBidi"/>
                <w:b/>
                <w:bCs/>
                <w:color w:val="000000"/>
                <w:sz w:val="18"/>
                <w:szCs w:val="18"/>
              </w:rPr>
              <w:t>£14.24</w:t>
            </w:r>
          </w:p>
        </w:tc>
      </w:tr>
      <w:tr w:rsidR="00A67557" w:rsidRPr="008A7698" w:rsidTr="007473C1">
        <w:trPr>
          <w:trHeight w:val="135"/>
          <w:jc w:val="center"/>
        </w:trPr>
        <w:tc>
          <w:tcPr>
            <w:tcW w:w="952" w:type="pct"/>
            <w:vMerge w:val="restart"/>
            <w:tcBorders>
              <w:top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Dexamethasone</w:t>
            </w:r>
          </w:p>
        </w:tc>
        <w:tc>
          <w:tcPr>
            <w:tcW w:w="1057" w:type="pct"/>
            <w:tcBorders>
              <w:top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Dexamethasone 2mg soluble tablets sugar free</w:t>
            </w:r>
          </w:p>
        </w:tc>
        <w:tc>
          <w:tcPr>
            <w:tcW w:w="664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sz w:val="18"/>
                <w:szCs w:val="18"/>
              </w:rPr>
              <w:t>68p/tablet</w:t>
            </w:r>
          </w:p>
        </w:tc>
        <w:tc>
          <w:tcPr>
            <w:tcW w:w="232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7557" w:rsidRPr="002D13BD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2D13BD">
              <w:rPr>
                <w:rFonts w:cstheme="minorBidi"/>
                <w:b/>
                <w:bCs/>
                <w:color w:val="000000"/>
                <w:sz w:val="18"/>
                <w:szCs w:val="18"/>
              </w:rPr>
              <w:t>£2.04</w:t>
            </w:r>
          </w:p>
        </w:tc>
      </w:tr>
      <w:tr w:rsidR="00A67557" w:rsidRPr="008A7698" w:rsidTr="007473C1">
        <w:trPr>
          <w:trHeight w:val="135"/>
          <w:jc w:val="center"/>
        </w:trPr>
        <w:tc>
          <w:tcPr>
            <w:tcW w:w="952" w:type="pct"/>
            <w:vMerge/>
            <w:tcBorders>
              <w:top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Dexamethasone 2mg tablets</w:t>
            </w:r>
          </w:p>
        </w:tc>
        <w:tc>
          <w:tcPr>
            <w:tcW w:w="664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sz w:val="18"/>
                <w:szCs w:val="18"/>
              </w:rPr>
              <w:t>98p/tablet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7557" w:rsidRPr="002D13BD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2D13BD">
              <w:rPr>
                <w:rFonts w:cstheme="minorBidi"/>
                <w:b/>
                <w:bCs/>
                <w:color w:val="000000"/>
                <w:sz w:val="18"/>
                <w:szCs w:val="18"/>
              </w:rPr>
              <w:t>£2.94</w:t>
            </w:r>
          </w:p>
        </w:tc>
      </w:tr>
      <w:tr w:rsidR="00A67557" w:rsidRPr="008A7698" w:rsidTr="007473C1">
        <w:trPr>
          <w:trHeight w:val="315"/>
          <w:jc w:val="center"/>
        </w:trPr>
        <w:tc>
          <w:tcPr>
            <w:tcW w:w="952" w:type="pct"/>
            <w:vMerge/>
            <w:tcBorders>
              <w:top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Dexamethasone 10mg/5ml oral solution sugar free</w:t>
            </w:r>
          </w:p>
        </w:tc>
        <w:tc>
          <w:tcPr>
            <w:tcW w:w="664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sz w:val="18"/>
                <w:szCs w:val="18"/>
              </w:rPr>
              <w:t>63p/ml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7557" w:rsidRPr="002D13BD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2D13BD">
              <w:rPr>
                <w:rFonts w:cstheme="minorBidi"/>
                <w:b/>
                <w:bCs/>
                <w:color w:val="000000"/>
                <w:sz w:val="18"/>
                <w:szCs w:val="18"/>
              </w:rPr>
              <w:t>£1.89</w:t>
            </w:r>
          </w:p>
        </w:tc>
      </w:tr>
      <w:tr w:rsidR="00A67557" w:rsidRPr="008A7698" w:rsidTr="007473C1">
        <w:trPr>
          <w:trHeight w:val="645"/>
          <w:jc w:val="center"/>
        </w:trPr>
        <w:tc>
          <w:tcPr>
            <w:tcW w:w="952" w:type="pct"/>
            <w:vMerge/>
            <w:tcBorders>
              <w:top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57" w:type="pct"/>
            <w:tcBorders>
              <w:top w:val="single" w:sz="4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color w:val="000000"/>
                <w:sz w:val="18"/>
                <w:szCs w:val="18"/>
              </w:rPr>
              <w:t>Dexamethasone 2mg/5ml oral solution sugar free</w:t>
            </w:r>
          </w:p>
        </w:tc>
        <w:tc>
          <w:tcPr>
            <w:tcW w:w="664" w:type="pc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A67557" w:rsidRPr="008A7698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sz w:val="18"/>
                <w:szCs w:val="18"/>
              </w:rPr>
            </w:pPr>
            <w:r w:rsidRPr="008A7698">
              <w:rPr>
                <w:rFonts w:cstheme="minorBidi"/>
                <w:b/>
                <w:bCs/>
                <w:sz w:val="18"/>
                <w:szCs w:val="18"/>
              </w:rPr>
              <w:t>28p/ml</w:t>
            </w:r>
          </w:p>
        </w:tc>
        <w:tc>
          <w:tcPr>
            <w:tcW w:w="2327" w:type="pc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A67557" w:rsidRPr="002D13BD" w:rsidRDefault="00A67557" w:rsidP="007473C1">
            <w:pPr>
              <w:autoSpaceDE w:val="0"/>
              <w:autoSpaceDN w:val="0"/>
              <w:adjustRightInd w:val="0"/>
              <w:ind w:left="60" w:right="60"/>
              <w:jc w:val="center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2D13BD">
              <w:rPr>
                <w:rFonts w:cstheme="minorBidi"/>
                <w:b/>
                <w:bCs/>
                <w:color w:val="000000"/>
                <w:sz w:val="18"/>
                <w:szCs w:val="18"/>
              </w:rPr>
              <w:t>£4.20</w:t>
            </w:r>
          </w:p>
        </w:tc>
      </w:tr>
    </w:tbl>
    <w:p w:rsidR="002C235E" w:rsidRDefault="002C235E"/>
    <w:sectPr w:rsidR="002C235E" w:rsidSect="00E127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57"/>
    <w:rsid w:val="000251E7"/>
    <w:rsid w:val="00053CB4"/>
    <w:rsid w:val="00171179"/>
    <w:rsid w:val="00175B5A"/>
    <w:rsid w:val="00205437"/>
    <w:rsid w:val="00254EEE"/>
    <w:rsid w:val="002C235E"/>
    <w:rsid w:val="003477BE"/>
    <w:rsid w:val="00797CB1"/>
    <w:rsid w:val="009D0919"/>
    <w:rsid w:val="00A67557"/>
    <w:rsid w:val="00AE0C64"/>
    <w:rsid w:val="00AF6999"/>
    <w:rsid w:val="00CF5BE9"/>
    <w:rsid w:val="00D33FBC"/>
    <w:rsid w:val="00E1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071828-035F-4470-8FB0-2E7C4341D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557"/>
    <w:pPr>
      <w:spacing w:line="360" w:lineRule="auto"/>
    </w:pPr>
    <w:rPr>
      <w:rFonts w:asciiTheme="minorBidi" w:hAnsi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7557"/>
    <w:pPr>
      <w:spacing w:after="0" w:line="240" w:lineRule="auto"/>
    </w:pPr>
    <w:rPr>
      <w:rFonts w:ascii="Calibri" w:eastAsia="PMingLiU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Nottingham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Aljebab Fahad</dc:creator>
  <cp:keywords/>
  <dc:description/>
  <cp:lastModifiedBy>Aljebab Fahad</cp:lastModifiedBy>
  <cp:revision>2</cp:revision>
  <dcterms:created xsi:type="dcterms:W3CDTF">2017-04-01T12:49:00Z</dcterms:created>
  <dcterms:modified xsi:type="dcterms:W3CDTF">2017-04-01T13:02:00Z</dcterms:modified>
</cp:coreProperties>
</file>