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40" w:rsidRDefault="00EF3255" w:rsidP="00502D6A">
      <w:pPr>
        <w:pStyle w:val="Title"/>
        <w:jc w:val="center"/>
      </w:pPr>
      <w:r>
        <w:t>IEEE Saint Louis Section Strategic Plan</w:t>
      </w:r>
    </w:p>
    <w:p w:rsidR="00502D6A" w:rsidRPr="00502D6A" w:rsidRDefault="00502D6A" w:rsidP="00502D6A">
      <w:pPr>
        <w:jc w:val="center"/>
        <w:rPr>
          <w:rStyle w:val="SubtleEmphasis"/>
        </w:rPr>
      </w:pPr>
      <w:r w:rsidRPr="00502D6A">
        <w:rPr>
          <w:rStyle w:val="SubtleEmphasis"/>
        </w:rPr>
        <w:t>3 to 5 Year Plan</w:t>
      </w:r>
    </w:p>
    <w:p w:rsidR="00EF3255" w:rsidRDefault="00EF3255" w:rsidP="00502D6A">
      <w:pPr>
        <w:pStyle w:val="Subtitle"/>
        <w:jc w:val="center"/>
        <w:rPr>
          <w:rStyle w:val="SubtleEmphasis"/>
        </w:rPr>
      </w:pPr>
      <w:r w:rsidRPr="00502D6A">
        <w:rPr>
          <w:rStyle w:val="SubtleEmphasis"/>
        </w:rPr>
        <w:t>January 1, 2016</w:t>
      </w:r>
    </w:p>
    <w:p w:rsidR="00EF3255" w:rsidRDefault="00EF3255" w:rsidP="00502D6A">
      <w:pPr>
        <w:pStyle w:val="Heading1"/>
      </w:pPr>
      <w:r>
        <w:t>Mission</w:t>
      </w:r>
    </w:p>
    <w:p w:rsidR="00EF3255" w:rsidRDefault="00EF3255">
      <w:r w:rsidRPr="00EF3255">
        <w:t>IEEE</w:t>
      </w:r>
      <w:r>
        <w:t xml:space="preserve"> (</w:t>
      </w:r>
      <w:r w:rsidRPr="00A21C15">
        <w:rPr>
          <w:rStyle w:val="IntenseEmphasis"/>
        </w:rPr>
        <w:t>Saint Louis Section</w:t>
      </w:r>
      <w:r>
        <w:t>)</w:t>
      </w:r>
      <w:r w:rsidRPr="00EF3255">
        <w:t xml:space="preserve"> fosters technological innovation and excellence for the benefit of humanity.</w:t>
      </w:r>
    </w:p>
    <w:p w:rsidR="00EF3255" w:rsidRDefault="00EF3255" w:rsidP="00502D6A">
      <w:pPr>
        <w:pStyle w:val="Heading1"/>
      </w:pPr>
      <w:r>
        <w:t>Vision</w:t>
      </w:r>
    </w:p>
    <w:p w:rsidR="00EF3255" w:rsidRDefault="00EF3255">
      <w:r w:rsidRPr="00EF3255">
        <w:t xml:space="preserve">IEEE </w:t>
      </w:r>
      <w:r>
        <w:t>(</w:t>
      </w:r>
      <w:r w:rsidRPr="00A21C15">
        <w:rPr>
          <w:rStyle w:val="IntenseEmphasis"/>
        </w:rPr>
        <w:t>Saint Louis Section</w:t>
      </w:r>
      <w:r>
        <w:t xml:space="preserve">) </w:t>
      </w:r>
      <w:r w:rsidRPr="00EF3255">
        <w:t xml:space="preserve">will be essential to the technical community and to technical professionals everywhere, and be universally recognized for the contributions of technology and of technical professionals in </w:t>
      </w:r>
      <w:proofErr w:type="gramStart"/>
      <w:r w:rsidRPr="00EF3255">
        <w:t>improving  conditions</w:t>
      </w:r>
      <w:proofErr w:type="gramEnd"/>
      <w:r w:rsidRPr="00EF3255">
        <w:t>.</w:t>
      </w:r>
    </w:p>
    <w:p w:rsidR="00EF3255" w:rsidRDefault="00EF3255" w:rsidP="00502D6A">
      <w:pPr>
        <w:pStyle w:val="Heading1"/>
      </w:pPr>
      <w:r>
        <w:t>Core Values</w:t>
      </w:r>
    </w:p>
    <w:p w:rsidR="00EF3255" w:rsidRDefault="00EF3255" w:rsidP="00EF3255">
      <w:r w:rsidRPr="000B196B">
        <w:rPr>
          <w:rStyle w:val="Strong"/>
        </w:rPr>
        <w:t>Trust:</w:t>
      </w:r>
      <w:r>
        <w:t xml:space="preserve"> being a trusted and unbiased source of technical information, and forums, for technical dialog and collaboration.</w:t>
      </w:r>
    </w:p>
    <w:p w:rsidR="00EF3255" w:rsidRDefault="00EF3255" w:rsidP="00EF3255">
      <w:r w:rsidRPr="000B196B">
        <w:rPr>
          <w:rStyle w:val="Strong"/>
        </w:rPr>
        <w:t>Growth and nurturing:</w:t>
      </w:r>
      <w:r>
        <w:t xml:space="preserve"> encouraging education as a fundamental activity of engineers, scientists, and technologists at all levels and at all times; ensuring a pipeline of students to preserve the profession.</w:t>
      </w:r>
    </w:p>
    <w:p w:rsidR="00EF3255" w:rsidRDefault="00EF3255" w:rsidP="00EF3255">
      <w:r w:rsidRPr="000B196B">
        <w:rPr>
          <w:rStyle w:val="Strong"/>
        </w:rPr>
        <w:t>Global community building:</w:t>
      </w:r>
      <w:r>
        <w:t xml:space="preserve"> cultivating active, vibrant, and honest exchange among cross-disciplinary and interdisciplinary global communities of technical professionals.</w:t>
      </w:r>
    </w:p>
    <w:p w:rsidR="00EF3255" w:rsidRDefault="00EF3255" w:rsidP="00EF3255">
      <w:r w:rsidRPr="000B196B">
        <w:rPr>
          <w:rStyle w:val="Strong"/>
        </w:rPr>
        <w:t xml:space="preserve">Partnership: </w:t>
      </w:r>
      <w:r>
        <w:t>promoting a culture of respect for the employee and volunteer, valuing contributions at all levels of the organization, investing in training and development to enhance capabilities, empowering individuals to make a positive difference, and building a membership organization based on a strong volunteer-staff partnership to serve the profession.</w:t>
      </w:r>
    </w:p>
    <w:p w:rsidR="00EF3255" w:rsidRDefault="00EF3255" w:rsidP="00EF3255">
      <w:r w:rsidRPr="000B196B">
        <w:rPr>
          <w:rStyle w:val="Strong"/>
        </w:rPr>
        <w:t>Service to humanity:</w:t>
      </w:r>
      <w:r>
        <w:t xml:space="preserve"> leveraging science, technology, and engineering to benefit human welfare; promoting public awareness and understanding of the engineering profession.</w:t>
      </w:r>
    </w:p>
    <w:p w:rsidR="00EF3255" w:rsidRDefault="00EF3255" w:rsidP="00EF3255">
      <w:r w:rsidRPr="000B196B">
        <w:rPr>
          <w:rStyle w:val="Strong"/>
        </w:rPr>
        <w:t>Integrity in action:</w:t>
      </w:r>
      <w:r>
        <w:t xml:space="preserve"> fostering a professional climate in which engineers and scientists continue to be respected for their exemplary ethical behavior and volunteerism.</w:t>
      </w:r>
    </w:p>
    <w:p w:rsidR="00EF3255" w:rsidRDefault="00530F04" w:rsidP="008354EB">
      <w:pPr>
        <w:pStyle w:val="Heading1"/>
      </w:pPr>
      <w:r>
        <w:lastRenderedPageBreak/>
        <w:t>Goal 1</w:t>
      </w:r>
    </w:p>
    <w:p w:rsidR="00EF3255" w:rsidRDefault="00EF3255" w:rsidP="008354EB">
      <w:pPr>
        <w:keepNext/>
        <w:keepLines/>
      </w:pPr>
      <w:r>
        <w:t xml:space="preserve">Expand and enable dynamic, nimble, flexible, and diverse communities to help individuals from around the </w:t>
      </w:r>
      <w:r w:rsidR="00AD6C57" w:rsidRPr="00AD6C57">
        <w:t>area</w:t>
      </w:r>
      <w:r w:rsidR="00BE5592">
        <w:t xml:space="preserve"> </w:t>
      </w:r>
      <w:r>
        <w:t>to share, collaborate, network, debate, and engage with one another.</w:t>
      </w:r>
    </w:p>
    <w:tbl>
      <w:tblPr>
        <w:tblStyle w:val="TableGrid"/>
        <w:tblW w:w="0" w:type="auto"/>
        <w:tblLook w:val="04A0" w:firstRow="1" w:lastRow="0" w:firstColumn="1" w:lastColumn="0" w:noHBand="0" w:noVBand="1"/>
      </w:tblPr>
      <w:tblGrid>
        <w:gridCol w:w="1345"/>
        <w:gridCol w:w="5580"/>
        <w:gridCol w:w="2160"/>
      </w:tblGrid>
      <w:tr w:rsidR="00BE5592" w:rsidTr="002F022A">
        <w:tc>
          <w:tcPr>
            <w:tcW w:w="1345" w:type="dxa"/>
          </w:tcPr>
          <w:p w:rsidR="00BE5592" w:rsidRDefault="00BE5592" w:rsidP="008354EB">
            <w:pPr>
              <w:keepNext/>
              <w:keepLines/>
              <w:spacing w:before="40" w:after="40" w:line="252" w:lineRule="auto"/>
            </w:pPr>
            <w:r>
              <w:t>Action Steps</w:t>
            </w:r>
          </w:p>
        </w:tc>
        <w:tc>
          <w:tcPr>
            <w:tcW w:w="5580" w:type="dxa"/>
          </w:tcPr>
          <w:p w:rsidR="00BE5592" w:rsidRDefault="002F022A" w:rsidP="008354EB">
            <w:pPr>
              <w:keepNext/>
              <w:keepLines/>
              <w:spacing w:before="40" w:after="40" w:line="252" w:lineRule="auto"/>
            </w:pPr>
            <w:r>
              <w:t>Description</w:t>
            </w:r>
          </w:p>
        </w:tc>
        <w:tc>
          <w:tcPr>
            <w:tcW w:w="2160" w:type="dxa"/>
          </w:tcPr>
          <w:p w:rsidR="00BE5592" w:rsidRDefault="00BE5592" w:rsidP="008354EB">
            <w:pPr>
              <w:keepNext/>
              <w:keepLines/>
              <w:spacing w:before="40" w:after="40" w:line="252" w:lineRule="auto"/>
            </w:pPr>
            <w:r>
              <w:t>Evaluation Measure</w:t>
            </w:r>
          </w:p>
        </w:tc>
      </w:tr>
      <w:tr w:rsidR="00BE5592" w:rsidTr="002F022A">
        <w:tc>
          <w:tcPr>
            <w:tcW w:w="1345" w:type="dxa"/>
          </w:tcPr>
          <w:p w:rsidR="00BE5592" w:rsidRDefault="00BE5592" w:rsidP="008354EB">
            <w:pPr>
              <w:keepNext/>
              <w:keepLines/>
              <w:spacing w:before="40" w:after="40" w:line="252" w:lineRule="auto"/>
            </w:pPr>
            <w:r>
              <w:t>1.1</w:t>
            </w:r>
          </w:p>
        </w:tc>
        <w:tc>
          <w:tcPr>
            <w:tcW w:w="5580" w:type="dxa"/>
          </w:tcPr>
          <w:p w:rsidR="00BE5592" w:rsidRDefault="00006C30" w:rsidP="008354EB">
            <w:pPr>
              <w:keepNext/>
              <w:keepLines/>
              <w:spacing w:before="40" w:after="40" w:line="252" w:lineRule="auto"/>
            </w:pPr>
            <w:r>
              <w:t xml:space="preserve">Promote the IEEE Saint Louis Section brand and </w:t>
            </w:r>
            <w:r w:rsidR="003932E1">
              <w:t xml:space="preserve">prestigious </w:t>
            </w:r>
            <w:r>
              <w:t xml:space="preserve">history </w:t>
            </w:r>
            <w:r w:rsidR="003932E1">
              <w:t>through an improved marketing effort</w:t>
            </w:r>
            <w:r>
              <w:t>.</w:t>
            </w:r>
          </w:p>
        </w:tc>
        <w:tc>
          <w:tcPr>
            <w:tcW w:w="2160" w:type="dxa"/>
          </w:tcPr>
          <w:p w:rsidR="00BE5592" w:rsidRDefault="008B2CFA" w:rsidP="008354EB">
            <w:pPr>
              <w:keepNext/>
              <w:keepLines/>
              <w:spacing w:before="40" w:after="40" w:line="252" w:lineRule="auto"/>
            </w:pPr>
            <w:r>
              <w:t>Survey the membership.</w:t>
            </w:r>
          </w:p>
        </w:tc>
      </w:tr>
      <w:tr w:rsidR="00BE5592" w:rsidTr="002F022A">
        <w:tc>
          <w:tcPr>
            <w:tcW w:w="1345" w:type="dxa"/>
          </w:tcPr>
          <w:p w:rsidR="00BE5592" w:rsidRDefault="00BE5592" w:rsidP="008354EB">
            <w:pPr>
              <w:keepNext/>
              <w:keepLines/>
              <w:spacing w:before="40" w:after="40" w:line="252" w:lineRule="auto"/>
            </w:pPr>
            <w:r>
              <w:t>1.2</w:t>
            </w:r>
          </w:p>
        </w:tc>
        <w:tc>
          <w:tcPr>
            <w:tcW w:w="5580" w:type="dxa"/>
          </w:tcPr>
          <w:p w:rsidR="00BE5592" w:rsidRDefault="006C61BD" w:rsidP="008354EB">
            <w:pPr>
              <w:keepNext/>
              <w:keepLines/>
              <w:spacing w:before="40" w:after="40" w:line="252" w:lineRule="auto"/>
            </w:pPr>
            <w:r>
              <w:t xml:space="preserve">Develop membership recruitment effort to focus on student members and industry members.  </w:t>
            </w:r>
          </w:p>
        </w:tc>
        <w:tc>
          <w:tcPr>
            <w:tcW w:w="2160" w:type="dxa"/>
          </w:tcPr>
          <w:p w:rsidR="00BE5592" w:rsidRDefault="008B2CFA" w:rsidP="008354EB">
            <w:pPr>
              <w:keepNext/>
              <w:keepLines/>
              <w:spacing w:before="40" w:after="40" w:line="252" w:lineRule="auto"/>
            </w:pPr>
            <w:r>
              <w:t>5% increase in membership in each category.</w:t>
            </w:r>
          </w:p>
        </w:tc>
      </w:tr>
      <w:tr w:rsidR="00BE5592" w:rsidTr="002F022A">
        <w:tc>
          <w:tcPr>
            <w:tcW w:w="1345" w:type="dxa"/>
          </w:tcPr>
          <w:p w:rsidR="00BE5592" w:rsidRDefault="00CD4DB9" w:rsidP="008354EB">
            <w:pPr>
              <w:keepNext/>
              <w:keepLines/>
              <w:spacing w:before="40" w:after="40" w:line="252" w:lineRule="auto"/>
            </w:pPr>
            <w:r>
              <w:t>1.</w:t>
            </w:r>
            <w:r w:rsidR="008B2CFA">
              <w:t>3</w:t>
            </w:r>
          </w:p>
        </w:tc>
        <w:tc>
          <w:tcPr>
            <w:tcW w:w="5580" w:type="dxa"/>
          </w:tcPr>
          <w:p w:rsidR="00BE5592" w:rsidRDefault="00027C16" w:rsidP="008354EB">
            <w:pPr>
              <w:keepNext/>
              <w:keepLines/>
              <w:spacing w:before="40" w:after="40" w:line="252" w:lineRule="auto"/>
            </w:pPr>
            <w:r>
              <w:t>Expand internal</w:t>
            </w:r>
            <w:r w:rsidR="00EA7BDF">
              <w:t xml:space="preserve"> Section leadership o</w:t>
            </w:r>
            <w:r>
              <w:t xml:space="preserve">pportunities </w:t>
            </w:r>
            <w:r w:rsidR="00EA7BDF">
              <w:t>by increased recruitment for Committee and Task Force positions</w:t>
            </w:r>
            <w:r>
              <w:t>.</w:t>
            </w:r>
            <w:r w:rsidR="00CE77C0">
              <w:t xml:space="preserve">  </w:t>
            </w:r>
          </w:p>
        </w:tc>
        <w:tc>
          <w:tcPr>
            <w:tcW w:w="2160" w:type="dxa"/>
          </w:tcPr>
          <w:p w:rsidR="00BE5592" w:rsidRDefault="008B2CFA" w:rsidP="008354EB">
            <w:pPr>
              <w:keepNext/>
              <w:keepLines/>
              <w:spacing w:before="40" w:after="40" w:line="252" w:lineRule="auto"/>
            </w:pPr>
            <w:r>
              <w:t>Active participation from e</w:t>
            </w:r>
            <w:r w:rsidR="00AD6C57">
              <w:t>ach voting position of the Ex Comm</w:t>
            </w:r>
            <w:r>
              <w:t>.</w:t>
            </w:r>
          </w:p>
        </w:tc>
      </w:tr>
      <w:tr w:rsidR="00CD4DB9" w:rsidTr="002F022A">
        <w:tc>
          <w:tcPr>
            <w:tcW w:w="1345" w:type="dxa"/>
          </w:tcPr>
          <w:p w:rsidR="00CD4DB9" w:rsidRDefault="00CD4DB9" w:rsidP="008354EB">
            <w:pPr>
              <w:keepNext/>
              <w:keepLines/>
              <w:spacing w:before="40" w:after="40" w:line="252" w:lineRule="auto"/>
            </w:pPr>
            <w:r>
              <w:t>1.</w:t>
            </w:r>
            <w:r w:rsidR="008B2CFA">
              <w:t>4</w:t>
            </w:r>
          </w:p>
        </w:tc>
        <w:tc>
          <w:tcPr>
            <w:tcW w:w="5580" w:type="dxa"/>
          </w:tcPr>
          <w:p w:rsidR="00CD4DB9" w:rsidRDefault="00CE77C0" w:rsidP="008354EB">
            <w:pPr>
              <w:keepNext/>
              <w:keepLines/>
              <w:spacing w:before="40" w:after="40" w:line="252" w:lineRule="auto"/>
            </w:pPr>
            <w:r>
              <w:t xml:space="preserve">Develop some best practices to help retain student membership:  Engage more faculty into the branches, develop mentorship opportunities with regular members, and promote student branch operations </w:t>
            </w:r>
            <w:r w:rsidR="008B2CFA">
              <w:t>using SLU</w:t>
            </w:r>
            <w:r>
              <w:t xml:space="preserve"> SB and MS&amp;T SB</w:t>
            </w:r>
            <w:r w:rsidR="008B2CFA">
              <w:t xml:space="preserve"> as examples</w:t>
            </w:r>
            <w:r>
              <w:t>.</w:t>
            </w:r>
          </w:p>
        </w:tc>
        <w:tc>
          <w:tcPr>
            <w:tcW w:w="2160" w:type="dxa"/>
          </w:tcPr>
          <w:p w:rsidR="00CD4DB9" w:rsidRDefault="008B2CFA" w:rsidP="008354EB">
            <w:pPr>
              <w:keepNext/>
              <w:keepLines/>
              <w:spacing w:before="40" w:after="40" w:line="252" w:lineRule="auto"/>
            </w:pPr>
            <w:r>
              <w:t>Survey each student branch member.</w:t>
            </w:r>
          </w:p>
        </w:tc>
      </w:tr>
      <w:tr w:rsidR="00CD4DB9" w:rsidTr="002F022A">
        <w:tc>
          <w:tcPr>
            <w:tcW w:w="1345" w:type="dxa"/>
          </w:tcPr>
          <w:p w:rsidR="00CD4DB9" w:rsidRDefault="00CD4DB9" w:rsidP="008354EB">
            <w:pPr>
              <w:keepNext/>
              <w:keepLines/>
              <w:spacing w:before="40" w:after="40" w:line="252" w:lineRule="auto"/>
            </w:pPr>
            <w:r>
              <w:t>1.</w:t>
            </w:r>
            <w:r w:rsidR="008B2CFA">
              <w:t>5</w:t>
            </w:r>
          </w:p>
        </w:tc>
        <w:tc>
          <w:tcPr>
            <w:tcW w:w="5580" w:type="dxa"/>
          </w:tcPr>
          <w:p w:rsidR="00CD4DB9" w:rsidRDefault="003932E1" w:rsidP="008354EB">
            <w:pPr>
              <w:keepNext/>
              <w:keepLines/>
              <w:spacing w:before="40" w:after="40" w:line="252" w:lineRule="auto"/>
            </w:pPr>
            <w:r>
              <w:t xml:space="preserve">Recognize and show case top achievements in the Section through an annual </w:t>
            </w:r>
            <w:r w:rsidR="00322848">
              <w:t>Winter Social/</w:t>
            </w:r>
            <w:r>
              <w:t>Award’s Ceremony</w:t>
            </w:r>
            <w:r w:rsidR="00CE77C0">
              <w:t>.</w:t>
            </w:r>
          </w:p>
        </w:tc>
        <w:tc>
          <w:tcPr>
            <w:tcW w:w="2160" w:type="dxa"/>
          </w:tcPr>
          <w:p w:rsidR="00CD4DB9" w:rsidRDefault="00322848" w:rsidP="008354EB">
            <w:pPr>
              <w:keepNext/>
              <w:keepLines/>
              <w:spacing w:before="40" w:after="40" w:line="252" w:lineRule="auto"/>
            </w:pPr>
            <w:r>
              <w:t>Multiple award nominees for each category</w:t>
            </w:r>
          </w:p>
        </w:tc>
      </w:tr>
    </w:tbl>
    <w:p w:rsidR="00BE5592" w:rsidRDefault="00BE5592" w:rsidP="008354EB">
      <w:pPr>
        <w:keepNext/>
        <w:keepLines/>
      </w:pPr>
    </w:p>
    <w:p w:rsidR="00BE5592" w:rsidRDefault="00530F04" w:rsidP="008354EB">
      <w:pPr>
        <w:pStyle w:val="Heading1"/>
      </w:pPr>
      <w:r>
        <w:t>Goal 2</w:t>
      </w:r>
    </w:p>
    <w:p w:rsidR="00EF3255" w:rsidRDefault="00EF3255" w:rsidP="008354EB">
      <w:pPr>
        <w:keepNext/>
        <w:keepLines/>
      </w:pPr>
      <w:r>
        <w:t xml:space="preserve">Provide technically vital forums for the discussion, development, and dissemination of authoritative knowledge related to traditional technologies, while focusing more of our resources towards serving the professionals working on emerging and disruptive technologies. </w:t>
      </w:r>
    </w:p>
    <w:tbl>
      <w:tblPr>
        <w:tblStyle w:val="TableGrid"/>
        <w:tblW w:w="0" w:type="auto"/>
        <w:tblLook w:val="04A0" w:firstRow="1" w:lastRow="0" w:firstColumn="1" w:lastColumn="0" w:noHBand="0" w:noVBand="1"/>
      </w:tblPr>
      <w:tblGrid>
        <w:gridCol w:w="1345"/>
        <w:gridCol w:w="5580"/>
        <w:gridCol w:w="2160"/>
      </w:tblGrid>
      <w:tr w:rsidR="00CD4DB9" w:rsidTr="00F073F2">
        <w:tc>
          <w:tcPr>
            <w:tcW w:w="1345" w:type="dxa"/>
          </w:tcPr>
          <w:p w:rsidR="00CD4DB9" w:rsidRDefault="00CD4DB9" w:rsidP="008354EB">
            <w:pPr>
              <w:keepNext/>
              <w:keepLines/>
              <w:spacing w:before="40" w:after="40" w:line="252" w:lineRule="auto"/>
            </w:pPr>
            <w:r>
              <w:t>Action Steps</w:t>
            </w:r>
          </w:p>
        </w:tc>
        <w:tc>
          <w:tcPr>
            <w:tcW w:w="5580" w:type="dxa"/>
          </w:tcPr>
          <w:p w:rsidR="00CD4DB9" w:rsidRDefault="00CD4DB9" w:rsidP="008354EB">
            <w:pPr>
              <w:keepNext/>
              <w:keepLines/>
              <w:spacing w:before="40" w:after="40" w:line="252" w:lineRule="auto"/>
            </w:pPr>
            <w:r>
              <w:t>Description</w:t>
            </w:r>
          </w:p>
        </w:tc>
        <w:tc>
          <w:tcPr>
            <w:tcW w:w="2160" w:type="dxa"/>
          </w:tcPr>
          <w:p w:rsidR="00CD4DB9" w:rsidRDefault="00CD4DB9" w:rsidP="008354EB">
            <w:pPr>
              <w:keepNext/>
              <w:keepLines/>
              <w:spacing w:before="40" w:after="40" w:line="252" w:lineRule="auto"/>
            </w:pPr>
            <w:r>
              <w:t>Evaluation Measure</w:t>
            </w:r>
          </w:p>
        </w:tc>
      </w:tr>
      <w:tr w:rsidR="00CD4DB9" w:rsidTr="00F073F2">
        <w:tc>
          <w:tcPr>
            <w:tcW w:w="1345" w:type="dxa"/>
          </w:tcPr>
          <w:p w:rsidR="00CD4DB9" w:rsidRDefault="00CD4DB9" w:rsidP="008354EB">
            <w:pPr>
              <w:keepNext/>
              <w:keepLines/>
              <w:spacing w:before="40" w:after="40" w:line="252" w:lineRule="auto"/>
            </w:pPr>
            <w:r>
              <w:t>2.1</w:t>
            </w:r>
          </w:p>
        </w:tc>
        <w:tc>
          <w:tcPr>
            <w:tcW w:w="5580" w:type="dxa"/>
          </w:tcPr>
          <w:p w:rsidR="00CD4DB9" w:rsidRDefault="006C61BD" w:rsidP="008354EB">
            <w:pPr>
              <w:keepNext/>
              <w:keepLines/>
              <w:spacing w:before="40" w:after="40" w:line="252" w:lineRule="auto"/>
            </w:pPr>
            <w:r>
              <w:t xml:space="preserve">Improve the participation of students at the Region competitions.  </w:t>
            </w:r>
          </w:p>
        </w:tc>
        <w:tc>
          <w:tcPr>
            <w:tcW w:w="2160" w:type="dxa"/>
          </w:tcPr>
          <w:p w:rsidR="00CD4DB9" w:rsidRDefault="008B2CFA" w:rsidP="008354EB">
            <w:pPr>
              <w:keepNext/>
              <w:keepLines/>
              <w:spacing w:before="40" w:after="40" w:line="252" w:lineRule="auto"/>
            </w:pPr>
            <w:r>
              <w:t xml:space="preserve">At least one </w:t>
            </w:r>
            <w:r w:rsidR="00322848">
              <w:t xml:space="preserve">Section </w:t>
            </w:r>
            <w:r>
              <w:t>student member</w:t>
            </w:r>
            <w:r w:rsidR="00322848">
              <w:t xml:space="preserve"> in each R5 </w:t>
            </w:r>
            <w:r>
              <w:t>c</w:t>
            </w:r>
            <w:r w:rsidR="00322848">
              <w:t>ompetition</w:t>
            </w:r>
          </w:p>
        </w:tc>
      </w:tr>
      <w:tr w:rsidR="00CD4DB9" w:rsidTr="00F073F2">
        <w:tc>
          <w:tcPr>
            <w:tcW w:w="1345" w:type="dxa"/>
          </w:tcPr>
          <w:p w:rsidR="00CD4DB9" w:rsidRDefault="0019217C" w:rsidP="008354EB">
            <w:pPr>
              <w:keepNext/>
              <w:keepLines/>
              <w:spacing w:before="40" w:after="40" w:line="252" w:lineRule="auto"/>
            </w:pPr>
            <w:r>
              <w:t>2</w:t>
            </w:r>
            <w:r w:rsidR="00CD4DB9">
              <w:t>.2</w:t>
            </w:r>
          </w:p>
        </w:tc>
        <w:tc>
          <w:tcPr>
            <w:tcW w:w="5580" w:type="dxa"/>
          </w:tcPr>
          <w:p w:rsidR="00CD4DB9" w:rsidRDefault="006C61BD" w:rsidP="008354EB">
            <w:pPr>
              <w:keepNext/>
              <w:keepLines/>
              <w:spacing w:before="40" w:after="40" w:line="252" w:lineRule="auto"/>
            </w:pPr>
            <w:r>
              <w:t xml:space="preserve">Create more opportunities for members to participate in </w:t>
            </w:r>
            <w:r w:rsidR="009E38E8">
              <w:t>technical seminars</w:t>
            </w:r>
            <w:r>
              <w:t>, higher quality programs and plant tours that provide optional PDH credit for Professional Engineers.</w:t>
            </w:r>
          </w:p>
        </w:tc>
        <w:tc>
          <w:tcPr>
            <w:tcW w:w="2160" w:type="dxa"/>
          </w:tcPr>
          <w:p w:rsidR="00CD4DB9" w:rsidRDefault="006C61BD" w:rsidP="008354EB">
            <w:pPr>
              <w:keepNext/>
              <w:keepLines/>
              <w:spacing w:before="40" w:after="40" w:line="252" w:lineRule="auto"/>
            </w:pPr>
            <w:r>
              <w:t>15 hours of PDH per year</w:t>
            </w:r>
          </w:p>
        </w:tc>
      </w:tr>
    </w:tbl>
    <w:p w:rsidR="00BE5592" w:rsidRDefault="00BE5592" w:rsidP="008354EB">
      <w:pPr>
        <w:keepNext/>
        <w:keepLines/>
      </w:pPr>
    </w:p>
    <w:p w:rsidR="00BE5592" w:rsidRDefault="00530F04" w:rsidP="00BE5592">
      <w:pPr>
        <w:pStyle w:val="Heading1"/>
      </w:pPr>
      <w:r>
        <w:t>Goal 3</w:t>
      </w:r>
    </w:p>
    <w:p w:rsidR="00EF3255" w:rsidRDefault="00EF3255" w:rsidP="00EF3255">
      <w:r>
        <w:t xml:space="preserve">Lead humanitarian efforts around the </w:t>
      </w:r>
      <w:r w:rsidR="00AD6C57" w:rsidRPr="00AD6C57">
        <w:t>area</w:t>
      </w:r>
      <w:r w:rsidR="00BE5592">
        <w:t xml:space="preserve"> </w:t>
      </w:r>
      <w:r>
        <w:t xml:space="preserve">to use technology to solve the </w:t>
      </w:r>
      <w:r w:rsidR="00AD6C57">
        <w:t>area’s</w:t>
      </w:r>
      <w:r>
        <w:t xml:space="preserve"> most challenging problems.</w:t>
      </w:r>
    </w:p>
    <w:p w:rsidR="00BE5592" w:rsidRDefault="00BE5592" w:rsidP="00EF3255"/>
    <w:p w:rsidR="00BE5592" w:rsidRDefault="00530F04" w:rsidP="008354EB">
      <w:pPr>
        <w:pStyle w:val="Heading1"/>
      </w:pPr>
      <w:r>
        <w:t>Goal 4</w:t>
      </w:r>
    </w:p>
    <w:p w:rsidR="00EF3255" w:rsidRDefault="00EF3255" w:rsidP="008354EB">
      <w:pPr>
        <w:keepNext/>
        <w:keepLines/>
        <w:rPr>
          <w:rFonts w:ascii="MS Gothic" w:hAnsi="MS Gothic" w:cs="MS Gothic"/>
        </w:rPr>
      </w:pPr>
      <w:r>
        <w:t xml:space="preserve">Leverage IEEE’s technology-related insight to provide governments, NGOs and other organizations, and the public with innovative and practical recommendations to address public policy issues. </w:t>
      </w:r>
      <w:r>
        <w:rPr>
          <w:rFonts w:ascii="MS Gothic" w:hAnsi="MS Gothic" w:cs="MS Gothic"/>
        </w:rPr>
        <w:t> </w:t>
      </w:r>
    </w:p>
    <w:tbl>
      <w:tblPr>
        <w:tblStyle w:val="TableGrid"/>
        <w:tblW w:w="0" w:type="auto"/>
        <w:tblLook w:val="04A0" w:firstRow="1" w:lastRow="0" w:firstColumn="1" w:lastColumn="0" w:noHBand="0" w:noVBand="1"/>
      </w:tblPr>
      <w:tblGrid>
        <w:gridCol w:w="1345"/>
        <w:gridCol w:w="5580"/>
        <w:gridCol w:w="2160"/>
      </w:tblGrid>
      <w:tr w:rsidR="00CD4DB9" w:rsidTr="00F073F2">
        <w:tc>
          <w:tcPr>
            <w:tcW w:w="1345" w:type="dxa"/>
          </w:tcPr>
          <w:p w:rsidR="00CD4DB9" w:rsidRDefault="00CD4DB9" w:rsidP="008354EB">
            <w:pPr>
              <w:keepNext/>
              <w:keepLines/>
              <w:spacing w:before="40" w:after="40" w:line="252" w:lineRule="auto"/>
            </w:pPr>
            <w:r>
              <w:t>Action Steps</w:t>
            </w:r>
          </w:p>
        </w:tc>
        <w:tc>
          <w:tcPr>
            <w:tcW w:w="5580" w:type="dxa"/>
          </w:tcPr>
          <w:p w:rsidR="00CD4DB9" w:rsidRDefault="00CD4DB9" w:rsidP="008354EB">
            <w:pPr>
              <w:keepNext/>
              <w:keepLines/>
              <w:spacing w:before="40" w:after="40" w:line="252" w:lineRule="auto"/>
            </w:pPr>
            <w:r>
              <w:t>Description</w:t>
            </w:r>
          </w:p>
        </w:tc>
        <w:tc>
          <w:tcPr>
            <w:tcW w:w="2160" w:type="dxa"/>
          </w:tcPr>
          <w:p w:rsidR="00CD4DB9" w:rsidRDefault="00CD4DB9" w:rsidP="008354EB">
            <w:pPr>
              <w:keepNext/>
              <w:keepLines/>
              <w:spacing w:before="40" w:after="40" w:line="252" w:lineRule="auto"/>
            </w:pPr>
            <w:r>
              <w:t>Evaluation Measure</w:t>
            </w:r>
          </w:p>
        </w:tc>
      </w:tr>
      <w:tr w:rsidR="00CD4DB9" w:rsidTr="00F073F2">
        <w:tc>
          <w:tcPr>
            <w:tcW w:w="1345" w:type="dxa"/>
          </w:tcPr>
          <w:p w:rsidR="00CD4DB9" w:rsidRDefault="0019217C" w:rsidP="008354EB">
            <w:pPr>
              <w:keepNext/>
              <w:keepLines/>
              <w:spacing w:before="40" w:after="40" w:line="252" w:lineRule="auto"/>
            </w:pPr>
            <w:r>
              <w:t>4</w:t>
            </w:r>
            <w:r w:rsidR="00CD4DB9">
              <w:t>.1</w:t>
            </w:r>
          </w:p>
        </w:tc>
        <w:tc>
          <w:tcPr>
            <w:tcW w:w="5580" w:type="dxa"/>
          </w:tcPr>
          <w:p w:rsidR="00CD4DB9" w:rsidRDefault="00E95E85" w:rsidP="008354EB">
            <w:pPr>
              <w:keepNext/>
              <w:keepLines/>
              <w:spacing w:before="40" w:after="40" w:line="252" w:lineRule="auto"/>
            </w:pPr>
            <w:r>
              <w:t xml:space="preserve">Promote Section involvement in government lobbying outreach through the </w:t>
            </w:r>
            <w:r w:rsidR="00530F04">
              <w:t xml:space="preserve">PACE </w:t>
            </w:r>
            <w:r>
              <w:t>Congressional Visit Days and network with local elected officials.</w:t>
            </w:r>
          </w:p>
        </w:tc>
        <w:tc>
          <w:tcPr>
            <w:tcW w:w="2160" w:type="dxa"/>
          </w:tcPr>
          <w:p w:rsidR="00CD4DB9" w:rsidRDefault="00530F04" w:rsidP="008354EB">
            <w:pPr>
              <w:keepNext/>
              <w:keepLines/>
              <w:spacing w:before="40" w:after="40" w:line="252" w:lineRule="auto"/>
            </w:pPr>
            <w:r>
              <w:t>Send Section Representati</w:t>
            </w:r>
            <w:r w:rsidR="008354EB">
              <w:t>v</w:t>
            </w:r>
            <w:r w:rsidR="00AD6C57">
              <w:t>e at CVD and a</w:t>
            </w:r>
            <w:bookmarkStart w:id="0" w:name="_GoBack"/>
            <w:bookmarkEnd w:id="0"/>
            <w:r w:rsidR="00AD6C57">
              <w:t xml:space="preserve">d </w:t>
            </w:r>
            <w:r>
              <w:t>hoc Fly-ins</w:t>
            </w:r>
          </w:p>
        </w:tc>
      </w:tr>
    </w:tbl>
    <w:p w:rsidR="00BE5592" w:rsidRDefault="00BE5592" w:rsidP="008354EB">
      <w:pPr>
        <w:keepNext/>
        <w:keepLines/>
        <w:rPr>
          <w:rFonts w:ascii="MS Gothic" w:hAnsi="MS Gothic" w:cs="MS Gothic"/>
        </w:rPr>
      </w:pPr>
    </w:p>
    <w:p w:rsidR="00BE5592" w:rsidRDefault="00BE5592" w:rsidP="008354EB">
      <w:pPr>
        <w:pStyle w:val="Heading1"/>
      </w:pPr>
      <w:r>
        <w:t>Goal 5</w:t>
      </w:r>
    </w:p>
    <w:p w:rsidR="00BE5592" w:rsidRDefault="00CA7B29" w:rsidP="008354EB">
      <w:pPr>
        <w:keepNext/>
        <w:keepLines/>
      </w:pPr>
      <w:r>
        <w:t>Continue to be g</w:t>
      </w:r>
      <w:r w:rsidR="0019217C">
        <w:t>ood stewards of Section funds</w:t>
      </w:r>
      <w:r w:rsidR="00BE5592">
        <w:t>.</w:t>
      </w:r>
    </w:p>
    <w:tbl>
      <w:tblPr>
        <w:tblStyle w:val="TableGrid"/>
        <w:tblW w:w="0" w:type="auto"/>
        <w:tblLook w:val="04A0" w:firstRow="1" w:lastRow="0" w:firstColumn="1" w:lastColumn="0" w:noHBand="0" w:noVBand="1"/>
      </w:tblPr>
      <w:tblGrid>
        <w:gridCol w:w="1345"/>
        <w:gridCol w:w="5580"/>
        <w:gridCol w:w="2160"/>
      </w:tblGrid>
      <w:tr w:rsidR="00CD4DB9" w:rsidTr="00F073F2">
        <w:tc>
          <w:tcPr>
            <w:tcW w:w="1345" w:type="dxa"/>
          </w:tcPr>
          <w:p w:rsidR="00CD4DB9" w:rsidRDefault="00CD4DB9" w:rsidP="008354EB">
            <w:pPr>
              <w:keepNext/>
              <w:keepLines/>
              <w:spacing w:before="40" w:after="40" w:line="252" w:lineRule="auto"/>
            </w:pPr>
            <w:r>
              <w:t>Action Steps</w:t>
            </w:r>
          </w:p>
        </w:tc>
        <w:tc>
          <w:tcPr>
            <w:tcW w:w="5580" w:type="dxa"/>
          </w:tcPr>
          <w:p w:rsidR="00CD4DB9" w:rsidRDefault="00CD4DB9" w:rsidP="008354EB">
            <w:pPr>
              <w:keepNext/>
              <w:keepLines/>
              <w:spacing w:before="40" w:after="40" w:line="252" w:lineRule="auto"/>
            </w:pPr>
            <w:r>
              <w:t>Description</w:t>
            </w:r>
          </w:p>
        </w:tc>
        <w:tc>
          <w:tcPr>
            <w:tcW w:w="2160" w:type="dxa"/>
          </w:tcPr>
          <w:p w:rsidR="00CD4DB9" w:rsidRDefault="00CD4DB9" w:rsidP="008354EB">
            <w:pPr>
              <w:keepNext/>
              <w:keepLines/>
              <w:spacing w:before="40" w:after="40" w:line="252" w:lineRule="auto"/>
            </w:pPr>
            <w:r>
              <w:t>Evaluation Measure</w:t>
            </w:r>
          </w:p>
        </w:tc>
      </w:tr>
      <w:tr w:rsidR="00CD4DB9" w:rsidTr="00F073F2">
        <w:tc>
          <w:tcPr>
            <w:tcW w:w="1345" w:type="dxa"/>
          </w:tcPr>
          <w:p w:rsidR="00CD4DB9" w:rsidRDefault="0019217C" w:rsidP="008354EB">
            <w:pPr>
              <w:keepNext/>
              <w:keepLines/>
              <w:spacing w:before="40" w:after="40" w:line="252" w:lineRule="auto"/>
            </w:pPr>
            <w:r>
              <w:t>5</w:t>
            </w:r>
            <w:r w:rsidR="00CD4DB9">
              <w:t>.1</w:t>
            </w:r>
          </w:p>
        </w:tc>
        <w:tc>
          <w:tcPr>
            <w:tcW w:w="5580" w:type="dxa"/>
          </w:tcPr>
          <w:p w:rsidR="00CD4DB9" w:rsidRDefault="00CA7B29" w:rsidP="008354EB">
            <w:pPr>
              <w:keepNext/>
              <w:keepLines/>
              <w:spacing w:before="40" w:after="40" w:line="252" w:lineRule="auto"/>
            </w:pPr>
            <w:r>
              <w:t>Maintain a solid financial position with sufficient reserves in the long term savings account.</w:t>
            </w:r>
          </w:p>
        </w:tc>
        <w:tc>
          <w:tcPr>
            <w:tcW w:w="2160" w:type="dxa"/>
          </w:tcPr>
          <w:p w:rsidR="00CD4DB9" w:rsidRDefault="007207C3" w:rsidP="007207C3">
            <w:pPr>
              <w:keepNext/>
              <w:keepLines/>
              <w:spacing w:before="40" w:after="40" w:line="252" w:lineRule="auto"/>
            </w:pPr>
            <w:r>
              <w:t>Reserves to be twice annual expenditures</w:t>
            </w:r>
          </w:p>
        </w:tc>
      </w:tr>
      <w:tr w:rsidR="00CD4DB9" w:rsidTr="00F073F2">
        <w:tc>
          <w:tcPr>
            <w:tcW w:w="1345" w:type="dxa"/>
          </w:tcPr>
          <w:p w:rsidR="00CD4DB9" w:rsidRDefault="0019217C" w:rsidP="008354EB">
            <w:pPr>
              <w:keepNext/>
              <w:keepLines/>
              <w:spacing w:before="40" w:after="40" w:line="252" w:lineRule="auto"/>
            </w:pPr>
            <w:r>
              <w:t>5</w:t>
            </w:r>
            <w:r w:rsidR="00CD4DB9">
              <w:t>.2</w:t>
            </w:r>
          </w:p>
        </w:tc>
        <w:tc>
          <w:tcPr>
            <w:tcW w:w="5580" w:type="dxa"/>
          </w:tcPr>
          <w:p w:rsidR="00CD4DB9" w:rsidRDefault="00CA7B29" w:rsidP="008354EB">
            <w:pPr>
              <w:keepNext/>
              <w:keepLines/>
              <w:spacing w:before="40" w:after="40" w:line="252" w:lineRule="auto"/>
            </w:pPr>
            <w:r>
              <w:t xml:space="preserve">Utilize member connections to Section corporations in order to raise funds for new and novel revenue </w:t>
            </w:r>
            <w:r w:rsidR="00530F04">
              <w:t>streams and properly acknowledge their generosity</w:t>
            </w:r>
            <w:r>
              <w:t>.</w:t>
            </w:r>
          </w:p>
        </w:tc>
        <w:tc>
          <w:tcPr>
            <w:tcW w:w="2160" w:type="dxa"/>
          </w:tcPr>
          <w:p w:rsidR="00CD4DB9" w:rsidRDefault="00394C57" w:rsidP="008354EB">
            <w:pPr>
              <w:keepNext/>
              <w:keepLines/>
              <w:spacing w:before="40" w:after="40" w:line="252" w:lineRule="auto"/>
            </w:pPr>
            <w:r>
              <w:t>5% increase in corporate contributions</w:t>
            </w:r>
          </w:p>
        </w:tc>
      </w:tr>
    </w:tbl>
    <w:p w:rsidR="00394C57" w:rsidRDefault="00394C57" w:rsidP="008354EB">
      <w:pPr>
        <w:keepNext/>
        <w:keepLines/>
      </w:pPr>
    </w:p>
    <w:p w:rsidR="008B2CFA" w:rsidRDefault="008B2CFA" w:rsidP="00BE5592"/>
    <w:p w:rsidR="00394C57" w:rsidRDefault="00394C57" w:rsidP="00BE5592">
      <w:r>
        <w:t>IEEE Saint Louis Section</w:t>
      </w:r>
    </w:p>
    <w:p w:rsidR="00394C57" w:rsidRDefault="00394C57" w:rsidP="00BE5592">
      <w:r>
        <w:t>Strategic Planning Committee</w:t>
      </w:r>
    </w:p>
    <w:p w:rsidR="00394C57" w:rsidRDefault="00394C57" w:rsidP="00BE5592">
      <w:r>
        <w:t>November 14, 2015</w:t>
      </w:r>
    </w:p>
    <w:p w:rsidR="00394C57" w:rsidRPr="00BE5592" w:rsidRDefault="00394C57" w:rsidP="00BE5592"/>
    <w:p w:rsidR="00B078A1" w:rsidRDefault="00B078A1" w:rsidP="00EF3255"/>
    <w:sectPr w:rsidR="00B07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037"/>
    <w:rsid w:val="00006C30"/>
    <w:rsid w:val="00027C16"/>
    <w:rsid w:val="000B196B"/>
    <w:rsid w:val="000D48F0"/>
    <w:rsid w:val="00112551"/>
    <w:rsid w:val="0019217C"/>
    <w:rsid w:val="002316BA"/>
    <w:rsid w:val="002F022A"/>
    <w:rsid w:val="00322848"/>
    <w:rsid w:val="00353186"/>
    <w:rsid w:val="003932E1"/>
    <w:rsid w:val="00394C57"/>
    <w:rsid w:val="003D7CCF"/>
    <w:rsid w:val="003E0040"/>
    <w:rsid w:val="003E1B03"/>
    <w:rsid w:val="004762E5"/>
    <w:rsid w:val="00502D6A"/>
    <w:rsid w:val="00530F04"/>
    <w:rsid w:val="00531037"/>
    <w:rsid w:val="00531EE3"/>
    <w:rsid w:val="00672F8D"/>
    <w:rsid w:val="006C61BD"/>
    <w:rsid w:val="006D67EB"/>
    <w:rsid w:val="007207C3"/>
    <w:rsid w:val="007E7757"/>
    <w:rsid w:val="008354EB"/>
    <w:rsid w:val="008B2CFA"/>
    <w:rsid w:val="008E3063"/>
    <w:rsid w:val="009E38E8"/>
    <w:rsid w:val="00A04C26"/>
    <w:rsid w:val="00A21C15"/>
    <w:rsid w:val="00AD6C57"/>
    <w:rsid w:val="00B078A1"/>
    <w:rsid w:val="00BE5592"/>
    <w:rsid w:val="00C223AB"/>
    <w:rsid w:val="00CA7B29"/>
    <w:rsid w:val="00CD4DB9"/>
    <w:rsid w:val="00CE77C0"/>
    <w:rsid w:val="00DA722D"/>
    <w:rsid w:val="00E743E5"/>
    <w:rsid w:val="00E95E85"/>
    <w:rsid w:val="00EA7BDF"/>
    <w:rsid w:val="00EC431A"/>
    <w:rsid w:val="00EF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2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1C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2D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D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2D6A"/>
    <w:rPr>
      <w:rFonts w:eastAsiaTheme="minorEastAsia"/>
      <w:color w:val="5A5A5A" w:themeColor="text1" w:themeTint="A5"/>
      <w:spacing w:val="15"/>
    </w:rPr>
  </w:style>
  <w:style w:type="character" w:styleId="SubtleEmphasis">
    <w:name w:val="Subtle Emphasis"/>
    <w:basedOn w:val="DefaultParagraphFont"/>
    <w:uiPriority w:val="19"/>
    <w:qFormat/>
    <w:rsid w:val="00502D6A"/>
    <w:rPr>
      <w:i/>
      <w:iCs/>
      <w:color w:val="404040" w:themeColor="text1" w:themeTint="BF"/>
    </w:rPr>
  </w:style>
  <w:style w:type="character" w:customStyle="1" w:styleId="Heading1Char">
    <w:name w:val="Heading 1 Char"/>
    <w:basedOn w:val="DefaultParagraphFont"/>
    <w:link w:val="Heading1"/>
    <w:uiPriority w:val="9"/>
    <w:rsid w:val="00502D6A"/>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A21C15"/>
    <w:rPr>
      <w:i/>
      <w:iCs/>
      <w:color w:val="5B9BD5" w:themeColor="accent1"/>
    </w:rPr>
  </w:style>
  <w:style w:type="character" w:customStyle="1" w:styleId="Heading2Char">
    <w:name w:val="Heading 2 Char"/>
    <w:basedOn w:val="DefaultParagraphFont"/>
    <w:link w:val="Heading2"/>
    <w:uiPriority w:val="9"/>
    <w:rsid w:val="00A21C15"/>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BE5592"/>
    <w:rPr>
      <w:b/>
      <w:bCs/>
      <w:smallCaps/>
      <w:color w:val="5B9BD5" w:themeColor="accent1"/>
      <w:spacing w:val="5"/>
    </w:rPr>
  </w:style>
  <w:style w:type="table" w:styleId="TableGrid">
    <w:name w:val="Table Grid"/>
    <w:basedOn w:val="TableNormal"/>
    <w:uiPriority w:val="39"/>
    <w:rsid w:val="00BE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19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2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1C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2D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D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2D6A"/>
    <w:rPr>
      <w:rFonts w:eastAsiaTheme="minorEastAsia"/>
      <w:color w:val="5A5A5A" w:themeColor="text1" w:themeTint="A5"/>
      <w:spacing w:val="15"/>
    </w:rPr>
  </w:style>
  <w:style w:type="character" w:styleId="SubtleEmphasis">
    <w:name w:val="Subtle Emphasis"/>
    <w:basedOn w:val="DefaultParagraphFont"/>
    <w:uiPriority w:val="19"/>
    <w:qFormat/>
    <w:rsid w:val="00502D6A"/>
    <w:rPr>
      <w:i/>
      <w:iCs/>
      <w:color w:val="404040" w:themeColor="text1" w:themeTint="BF"/>
    </w:rPr>
  </w:style>
  <w:style w:type="character" w:customStyle="1" w:styleId="Heading1Char">
    <w:name w:val="Heading 1 Char"/>
    <w:basedOn w:val="DefaultParagraphFont"/>
    <w:link w:val="Heading1"/>
    <w:uiPriority w:val="9"/>
    <w:rsid w:val="00502D6A"/>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A21C15"/>
    <w:rPr>
      <w:i/>
      <w:iCs/>
      <w:color w:val="5B9BD5" w:themeColor="accent1"/>
    </w:rPr>
  </w:style>
  <w:style w:type="character" w:customStyle="1" w:styleId="Heading2Char">
    <w:name w:val="Heading 2 Char"/>
    <w:basedOn w:val="DefaultParagraphFont"/>
    <w:link w:val="Heading2"/>
    <w:uiPriority w:val="9"/>
    <w:rsid w:val="00A21C15"/>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BE5592"/>
    <w:rPr>
      <w:b/>
      <w:bCs/>
      <w:smallCaps/>
      <w:color w:val="5B9BD5" w:themeColor="accent1"/>
      <w:spacing w:val="5"/>
    </w:rPr>
  </w:style>
  <w:style w:type="table" w:styleId="TableGrid">
    <w:name w:val="Table Grid"/>
    <w:basedOn w:val="TableNormal"/>
    <w:uiPriority w:val="39"/>
    <w:rsid w:val="00BE5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1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Becnel, Bob</dc:creator>
  <cp:lastModifiedBy>Greg</cp:lastModifiedBy>
  <cp:revision>2</cp:revision>
  <dcterms:created xsi:type="dcterms:W3CDTF">2015-12-27T12:57:00Z</dcterms:created>
  <dcterms:modified xsi:type="dcterms:W3CDTF">2015-12-27T12:57:00Z</dcterms:modified>
</cp:coreProperties>
</file>